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873" w:rsidRPr="00685873" w:rsidRDefault="00685873" w:rsidP="00685873">
      <w:pPr>
        <w:spacing w:after="250" w:line="276" w:lineRule="auto"/>
        <w:jc w:val="both"/>
        <w:rPr>
          <w:rFonts w:ascii="Arial" w:eastAsia="Times New Roman" w:hAnsi="Arial" w:cs="Times New Roman"/>
          <w:szCs w:val="20"/>
        </w:rPr>
      </w:pPr>
    </w:p>
    <w:p w:rsidR="00685873" w:rsidRPr="00685873" w:rsidRDefault="00685873" w:rsidP="00685873">
      <w:pPr>
        <w:spacing w:before="360" w:after="0" w:line="240" w:lineRule="auto"/>
        <w:jc w:val="center"/>
        <w:rPr>
          <w:rFonts w:ascii="Times New Roman" w:eastAsia="Times New Roman" w:hAnsi="Times New Roman" w:cs="Times New Roman"/>
          <w:b/>
          <w:sz w:val="24"/>
          <w:szCs w:val="24"/>
        </w:rPr>
      </w:pPr>
      <w:bookmarkStart w:id="0" w:name="_Toc40687261"/>
      <w:r w:rsidRPr="00685873">
        <w:rPr>
          <w:rFonts w:ascii="Times New Roman" w:eastAsia="Times New Roman" w:hAnsi="Times New Roman" w:cs="Times New Roman"/>
          <w:b/>
          <w:sz w:val="24"/>
          <w:szCs w:val="24"/>
        </w:rPr>
        <w:t>COMMISSION DELEGATED REGULATION (EU) …/…</w:t>
      </w:r>
    </w:p>
    <w:p w:rsidR="00685873" w:rsidRPr="00685873" w:rsidRDefault="00685873" w:rsidP="00685873">
      <w:pPr>
        <w:spacing w:before="360" w:after="0" w:line="240" w:lineRule="auto"/>
        <w:jc w:val="center"/>
        <w:rPr>
          <w:rFonts w:ascii="Times New Roman" w:eastAsia="Times New Roman" w:hAnsi="Times New Roman" w:cs="Times New Roman"/>
          <w:b/>
          <w:sz w:val="24"/>
          <w:szCs w:val="24"/>
        </w:rPr>
      </w:pPr>
      <w:r w:rsidRPr="00685873">
        <w:rPr>
          <w:rFonts w:ascii="Times New Roman" w:eastAsia="Times New Roman" w:hAnsi="Times New Roman" w:cs="Times New Roman"/>
          <w:b/>
          <w:sz w:val="24"/>
          <w:szCs w:val="24"/>
        </w:rPr>
        <w:t>of XXX</w:t>
      </w:r>
    </w:p>
    <w:p w:rsidR="00685873" w:rsidRPr="00685873" w:rsidRDefault="00685873" w:rsidP="00685873">
      <w:pPr>
        <w:spacing w:before="120" w:after="240" w:line="240" w:lineRule="auto"/>
        <w:jc w:val="center"/>
        <w:rPr>
          <w:rFonts w:ascii="Times New Roman" w:eastAsia="Times New Roman" w:hAnsi="Times New Roman" w:cs="Arial"/>
          <w:b/>
          <w:bCs/>
          <w:sz w:val="28"/>
        </w:rPr>
      </w:pPr>
      <w:r w:rsidRPr="00685873">
        <w:rPr>
          <w:rFonts w:ascii="Times New Roman" w:eastAsia="Times New Roman" w:hAnsi="Times New Roman" w:cs="Arial"/>
          <w:b/>
          <w:bCs/>
          <w:sz w:val="28"/>
        </w:rPr>
        <w:t xml:space="preserve">supplementing Regulation (EU) No 2020/1503 of the European Parliament and of the Council </w:t>
      </w:r>
      <w:proofErr w:type="gramStart"/>
      <w:r w:rsidRPr="00685873">
        <w:rPr>
          <w:rFonts w:ascii="Times New Roman" w:eastAsia="Times New Roman" w:hAnsi="Times New Roman" w:cs="Arial"/>
          <w:b/>
          <w:bCs/>
          <w:sz w:val="28"/>
        </w:rPr>
        <w:t>with regard to</w:t>
      </w:r>
      <w:proofErr w:type="gramEnd"/>
      <w:r w:rsidRPr="00685873">
        <w:rPr>
          <w:rFonts w:ascii="Times New Roman" w:eastAsia="Times New Roman" w:hAnsi="Times New Roman" w:cs="Arial"/>
          <w:b/>
          <w:bCs/>
          <w:sz w:val="28"/>
        </w:rPr>
        <w:t xml:space="preserve"> regulatory technical standards specifying requirements and arrangements for the application for authorisation as a crowdfunding service provider</w:t>
      </w:r>
    </w:p>
    <w:p w:rsidR="00685873" w:rsidRPr="00685873" w:rsidRDefault="00685873" w:rsidP="00685873">
      <w:pPr>
        <w:spacing w:before="360" w:after="360" w:line="240" w:lineRule="auto"/>
        <w:jc w:val="center"/>
        <w:rPr>
          <w:rFonts w:ascii="Times New Roman" w:eastAsia="Arial" w:hAnsi="Times New Roman" w:cs="Times New Roman"/>
          <w:sz w:val="24"/>
        </w:rPr>
      </w:pPr>
      <w:r w:rsidRPr="00685873">
        <w:rPr>
          <w:rFonts w:ascii="Times New Roman" w:eastAsia="Arial" w:hAnsi="Times New Roman" w:cs="Times New Roman"/>
          <w:sz w:val="24"/>
        </w:rPr>
        <w:t>(Text with EEA relevance)</w:t>
      </w:r>
    </w:p>
    <w:p w:rsidR="00685873" w:rsidRPr="00685873" w:rsidRDefault="00685873" w:rsidP="00685873">
      <w:pPr>
        <w:spacing w:before="360" w:after="360" w:line="240" w:lineRule="auto"/>
        <w:jc w:val="both"/>
        <w:rPr>
          <w:rFonts w:ascii="Times New Roman" w:eastAsia="Arial" w:hAnsi="Times New Roman" w:cs="Times New Roman"/>
          <w:noProof/>
          <w:sz w:val="24"/>
          <w:szCs w:val="24"/>
        </w:rPr>
      </w:pPr>
      <w:r w:rsidRPr="00685873">
        <w:rPr>
          <w:rFonts w:ascii="Times New Roman" w:eastAsia="Arial" w:hAnsi="Times New Roman" w:cs="Times New Roman"/>
          <w:sz w:val="24"/>
          <w:szCs w:val="24"/>
        </w:rPr>
        <w:t>THE EUROPEAN COMMISSION,</w:t>
      </w:r>
    </w:p>
    <w:p w:rsidR="00685873" w:rsidRPr="00685873" w:rsidRDefault="00685873" w:rsidP="00685873">
      <w:pPr>
        <w:spacing w:before="120" w:after="120" w:line="240" w:lineRule="auto"/>
        <w:jc w:val="both"/>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 xml:space="preserve">Having regard to the Treaty on the Functioning of the European Union, </w:t>
      </w:r>
    </w:p>
    <w:p w:rsidR="00685873" w:rsidRPr="00685873" w:rsidRDefault="00685873" w:rsidP="00685873">
      <w:pPr>
        <w:spacing w:after="250" w:line="276" w:lineRule="auto"/>
        <w:jc w:val="both"/>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Having regard to Regulation (EU) No 2020/1503 of the European Parliament and of the Council of 7 October 2020 on European crowdfunding service providers for business, and amending Regulation (EU) 2017/1129 and Directive (EU) 2019/1937</w:t>
      </w:r>
      <w:r w:rsidRPr="00685873">
        <w:rPr>
          <w:rFonts w:ascii="Times New Roman" w:eastAsia="Times New Roman" w:hAnsi="Times New Roman" w:cs="Times New Roman"/>
          <w:noProof/>
          <w:color w:val="000000"/>
          <w:sz w:val="24"/>
          <w:szCs w:val="24"/>
          <w:vertAlign w:val="superscript"/>
        </w:rPr>
        <w:footnoteReference w:id="1"/>
      </w:r>
      <w:r w:rsidRPr="00685873">
        <w:rPr>
          <w:rFonts w:ascii="Times New Roman" w:eastAsia="Times New Roman" w:hAnsi="Times New Roman" w:cs="Times New Roman"/>
          <w:noProof/>
          <w:color w:val="000000"/>
          <w:sz w:val="24"/>
          <w:szCs w:val="24"/>
        </w:rPr>
        <w:t>, and in particular the fourth subparagraph of Article 12(16) thereof,</w:t>
      </w:r>
    </w:p>
    <w:p w:rsidR="00685873" w:rsidRPr="00685873" w:rsidRDefault="00685873" w:rsidP="00685873">
      <w:pPr>
        <w:spacing w:after="250" w:line="276" w:lineRule="auto"/>
        <w:jc w:val="both"/>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Whereas:</w:t>
      </w:r>
    </w:p>
    <w:p w:rsidR="00685873" w:rsidRPr="00685873" w:rsidRDefault="00685873" w:rsidP="00685873">
      <w:pPr>
        <w:numPr>
          <w:ilvl w:val="0"/>
          <w:numId w:val="19"/>
        </w:numPr>
        <w:spacing w:before="120" w:after="120" w:line="240"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It is appropriate to set out common standard forms, </w:t>
      </w:r>
      <w:proofErr w:type="gramStart"/>
      <w:r w:rsidRPr="00685873">
        <w:rPr>
          <w:rFonts w:ascii="Times New Roman" w:eastAsia="Times New Roman" w:hAnsi="Times New Roman" w:cs="Times New Roman"/>
          <w:sz w:val="24"/>
          <w:szCs w:val="24"/>
        </w:rPr>
        <w:t>templates</w:t>
      </w:r>
      <w:proofErr w:type="gramEnd"/>
      <w:r w:rsidRPr="00685873">
        <w:rPr>
          <w:rFonts w:ascii="Times New Roman" w:eastAsia="Times New Roman" w:hAnsi="Times New Roman" w:cs="Times New Roman"/>
          <w:sz w:val="24"/>
          <w:szCs w:val="24"/>
        </w:rPr>
        <w:t xml:space="preserve"> and procedures to ensure a uniform mechanism by which competent authorities effectively exercise their powers in respect of </w:t>
      </w:r>
      <w:r w:rsidR="00233671">
        <w:rPr>
          <w:rFonts w:ascii="Times New Roman" w:eastAsia="Times New Roman" w:hAnsi="Times New Roman" w:cs="Times New Roman"/>
          <w:sz w:val="24"/>
          <w:szCs w:val="24"/>
        </w:rPr>
        <w:t>applications for</w:t>
      </w:r>
      <w:r w:rsidRPr="00685873">
        <w:rPr>
          <w:rFonts w:ascii="Times New Roman" w:eastAsia="Times New Roman" w:hAnsi="Times New Roman" w:cs="Times New Roman"/>
          <w:sz w:val="24"/>
          <w:szCs w:val="24"/>
        </w:rPr>
        <w:t xml:space="preserve"> authorisation of </w:t>
      </w:r>
      <w:r w:rsidR="00233671">
        <w:rPr>
          <w:rFonts w:ascii="Times New Roman" w:eastAsia="Times New Roman" w:hAnsi="Times New Roman" w:cs="Times New Roman"/>
          <w:sz w:val="24"/>
          <w:szCs w:val="24"/>
        </w:rPr>
        <w:t xml:space="preserve">prospective </w:t>
      </w:r>
      <w:r w:rsidRPr="00685873">
        <w:rPr>
          <w:rFonts w:ascii="Times New Roman" w:eastAsia="Times New Roman" w:hAnsi="Times New Roman" w:cs="Times New Roman"/>
          <w:sz w:val="24"/>
          <w:szCs w:val="24"/>
        </w:rPr>
        <w:t>crowdfunding service providers.</w:t>
      </w:r>
    </w:p>
    <w:p w:rsidR="00685873" w:rsidRDefault="00685873" w:rsidP="00685873">
      <w:pPr>
        <w:numPr>
          <w:ilvl w:val="0"/>
          <w:numId w:val="19"/>
        </w:numPr>
        <w:spacing w:before="120" w:after="120" w:line="240"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To facilitate communication between a </w:t>
      </w:r>
      <w:r w:rsidR="00233671">
        <w:rPr>
          <w:rFonts w:ascii="Times New Roman" w:eastAsia="Times New Roman" w:hAnsi="Times New Roman" w:cs="Times New Roman"/>
          <w:sz w:val="24"/>
          <w:szCs w:val="24"/>
        </w:rPr>
        <w:t xml:space="preserve">prospective </w:t>
      </w:r>
      <w:r w:rsidRPr="00685873">
        <w:rPr>
          <w:rFonts w:ascii="Times New Roman" w:eastAsia="Times New Roman" w:hAnsi="Times New Roman" w:cs="Times New Roman"/>
          <w:sz w:val="24"/>
          <w:szCs w:val="24"/>
        </w:rPr>
        <w:t xml:space="preserve">crowdfunding service provider and the competent authority, </w:t>
      </w:r>
      <w:r w:rsidR="00233671">
        <w:rPr>
          <w:rFonts w:ascii="Times New Roman" w:eastAsia="Times New Roman" w:hAnsi="Times New Roman" w:cs="Times New Roman"/>
          <w:sz w:val="24"/>
          <w:szCs w:val="24"/>
        </w:rPr>
        <w:t xml:space="preserve">the latter </w:t>
      </w:r>
      <w:r w:rsidRPr="00685873">
        <w:rPr>
          <w:rFonts w:ascii="Times New Roman" w:eastAsia="Times New Roman" w:hAnsi="Times New Roman" w:cs="Times New Roman"/>
          <w:sz w:val="24"/>
          <w:szCs w:val="24"/>
        </w:rPr>
        <w:t xml:space="preserve">should designate a contact point specifically for the purpose of the application process and should </w:t>
      </w:r>
      <w:r w:rsidR="00233671">
        <w:rPr>
          <w:rFonts w:ascii="Times New Roman" w:eastAsia="Times New Roman" w:hAnsi="Times New Roman" w:cs="Times New Roman"/>
          <w:sz w:val="24"/>
          <w:szCs w:val="24"/>
        </w:rPr>
        <w:t>make the relevant contact details public</w:t>
      </w:r>
      <w:r w:rsidR="00771C75">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 xml:space="preserve">t on </w:t>
      </w:r>
      <w:r w:rsidR="00233671">
        <w:rPr>
          <w:rFonts w:ascii="Times New Roman" w:eastAsia="Times New Roman" w:hAnsi="Times New Roman" w:cs="Times New Roman"/>
          <w:sz w:val="24"/>
          <w:szCs w:val="24"/>
        </w:rPr>
        <w:t>its</w:t>
      </w:r>
      <w:r w:rsidRPr="00685873">
        <w:rPr>
          <w:rFonts w:ascii="Times New Roman" w:eastAsia="Times New Roman" w:hAnsi="Times New Roman" w:cs="Times New Roman"/>
          <w:sz w:val="24"/>
          <w:szCs w:val="24"/>
        </w:rPr>
        <w:t xml:space="preserve"> website.</w:t>
      </w:r>
    </w:p>
    <w:p w:rsidR="00350DB7" w:rsidRDefault="00350DB7" w:rsidP="00350DB7">
      <w:pPr>
        <w:numPr>
          <w:ilvl w:val="0"/>
          <w:numId w:val="19"/>
        </w:numPr>
        <w:spacing w:before="120" w:after="120" w:line="240" w:lineRule="auto"/>
        <w:jc w:val="both"/>
        <w:rPr>
          <w:rFonts w:ascii="Times New Roman" w:eastAsia="Times New Roman" w:hAnsi="Times New Roman" w:cs="Times New Roman"/>
          <w:sz w:val="24"/>
          <w:szCs w:val="24"/>
        </w:rPr>
      </w:pPr>
      <w:r w:rsidRPr="00350DB7">
        <w:rPr>
          <w:rFonts w:ascii="Times New Roman" w:eastAsia="Times New Roman" w:hAnsi="Times New Roman" w:cs="Times New Roman"/>
          <w:sz w:val="24"/>
          <w:szCs w:val="24"/>
        </w:rPr>
        <w:t>The principles of mutual recognition and of home M</w:t>
      </w:r>
      <w:r w:rsidRPr="00411A07">
        <w:rPr>
          <w:rFonts w:ascii="Times New Roman" w:eastAsia="Times New Roman" w:hAnsi="Times New Roman" w:cs="Times New Roman"/>
          <w:sz w:val="24"/>
          <w:szCs w:val="24"/>
        </w:rPr>
        <w:t xml:space="preserve">ember State supervision require that the Member States’ competent authorities should not grant or should withdraw authorisation where factors such as the content of programmes of operations, the geographical distribution or the activities actually carried </w:t>
      </w:r>
      <w:r w:rsidRPr="00350DB7">
        <w:rPr>
          <w:rFonts w:ascii="Times New Roman" w:eastAsia="Times New Roman" w:hAnsi="Times New Roman" w:cs="Times New Roman"/>
          <w:sz w:val="24"/>
          <w:szCs w:val="24"/>
        </w:rPr>
        <w:t xml:space="preserve">on indicate clearly that a crowdfunding service provider has opted for the legal system of one Member State for the purpose of evading the stricter standards in force in another Member State within the territory of which it intends to carry out or does carry out the greater part of its activities. A crowdfunding service provider should be authorised in the Member State in which it has its registered office. In addition, where a CSP under its national law has no registered office, it should have its head office in the Member States in which it </w:t>
      </w:r>
      <w:r w:rsidR="00532175" w:rsidRPr="00350DB7">
        <w:rPr>
          <w:rFonts w:ascii="Times New Roman" w:eastAsia="Times New Roman" w:hAnsi="Times New Roman" w:cs="Times New Roman"/>
          <w:sz w:val="24"/>
          <w:szCs w:val="24"/>
        </w:rPr>
        <w:t>carries</w:t>
      </w:r>
      <w:r w:rsidRPr="00350DB7">
        <w:rPr>
          <w:rFonts w:ascii="Times New Roman" w:eastAsia="Times New Roman" w:hAnsi="Times New Roman" w:cs="Times New Roman"/>
          <w:sz w:val="24"/>
          <w:szCs w:val="24"/>
        </w:rPr>
        <w:t xml:space="preserve"> out its business. In addition, the crowdfunding service provider’s head office should always be situated in its home Member </w:t>
      </w:r>
      <w:r w:rsidR="00486DA7" w:rsidRPr="00350DB7">
        <w:rPr>
          <w:rFonts w:ascii="Times New Roman" w:eastAsia="Times New Roman" w:hAnsi="Times New Roman" w:cs="Times New Roman"/>
          <w:sz w:val="24"/>
          <w:szCs w:val="24"/>
        </w:rPr>
        <w:t>State,</w:t>
      </w:r>
      <w:r w:rsidRPr="00350DB7">
        <w:rPr>
          <w:rFonts w:ascii="Times New Roman" w:eastAsia="Times New Roman" w:hAnsi="Times New Roman" w:cs="Times New Roman"/>
          <w:sz w:val="24"/>
          <w:szCs w:val="24"/>
        </w:rPr>
        <w:t xml:space="preserve"> and it should </w:t>
      </w:r>
      <w:proofErr w:type="gramStart"/>
      <w:r w:rsidRPr="00350DB7">
        <w:rPr>
          <w:rFonts w:ascii="Times New Roman" w:eastAsia="Times New Roman" w:hAnsi="Times New Roman" w:cs="Times New Roman"/>
          <w:sz w:val="24"/>
          <w:szCs w:val="24"/>
        </w:rPr>
        <w:t>actually have</w:t>
      </w:r>
      <w:proofErr w:type="gramEnd"/>
      <w:r w:rsidRPr="00350DB7">
        <w:rPr>
          <w:rFonts w:ascii="Times New Roman" w:eastAsia="Times New Roman" w:hAnsi="Times New Roman" w:cs="Times New Roman"/>
          <w:sz w:val="24"/>
          <w:szCs w:val="24"/>
        </w:rPr>
        <w:t xml:space="preserve"> its key activities there.</w:t>
      </w:r>
    </w:p>
    <w:p w:rsidR="004725B8" w:rsidRPr="004725B8" w:rsidRDefault="004725B8" w:rsidP="004725B8">
      <w:pPr>
        <w:numPr>
          <w:ilvl w:val="0"/>
          <w:numId w:val="19"/>
        </w:numPr>
        <w:spacing w:before="120" w:after="120" w:line="240" w:lineRule="auto"/>
        <w:jc w:val="both"/>
        <w:rPr>
          <w:rFonts w:ascii="Times New Roman" w:eastAsia="Times New Roman" w:hAnsi="Times New Roman" w:cs="Times New Roman"/>
          <w:sz w:val="24"/>
          <w:szCs w:val="24"/>
        </w:rPr>
      </w:pPr>
      <w:proofErr w:type="gramStart"/>
      <w:r w:rsidRPr="004725B8">
        <w:rPr>
          <w:rFonts w:ascii="Times New Roman" w:eastAsia="Times New Roman" w:hAnsi="Times New Roman" w:cs="Times New Roman"/>
          <w:sz w:val="24"/>
          <w:szCs w:val="24"/>
        </w:rPr>
        <w:t>In order to</w:t>
      </w:r>
      <w:proofErr w:type="gramEnd"/>
      <w:r w:rsidRPr="004725B8">
        <w:rPr>
          <w:rFonts w:ascii="Times New Roman" w:eastAsia="Times New Roman" w:hAnsi="Times New Roman" w:cs="Times New Roman"/>
          <w:sz w:val="24"/>
          <w:szCs w:val="24"/>
        </w:rPr>
        <w:t xml:space="preserve"> enable the competent authority to carry out a thorough assessment </w:t>
      </w:r>
      <w:r>
        <w:rPr>
          <w:rFonts w:ascii="Times New Roman" w:eastAsia="Times New Roman" w:hAnsi="Times New Roman" w:cs="Times New Roman"/>
          <w:sz w:val="24"/>
          <w:szCs w:val="24"/>
        </w:rPr>
        <w:t>of the completeness of the application, w</w:t>
      </w:r>
      <w:r w:rsidRPr="004725B8">
        <w:rPr>
          <w:rFonts w:ascii="Times New Roman" w:eastAsia="Times New Roman" w:hAnsi="Times New Roman" w:cs="Times New Roman"/>
          <w:sz w:val="24"/>
          <w:szCs w:val="24"/>
        </w:rPr>
        <w:t xml:space="preserve">here the competent authority requires the prospective crowdfunding service provider to provide missing information, the </w:t>
      </w:r>
      <w:r>
        <w:rPr>
          <w:rFonts w:ascii="Times New Roman" w:eastAsia="Times New Roman" w:hAnsi="Times New Roman" w:cs="Times New Roman"/>
          <w:sz w:val="24"/>
          <w:szCs w:val="24"/>
        </w:rPr>
        <w:t xml:space="preserve">time limit </w:t>
      </w:r>
      <w:r w:rsidRPr="004725B8">
        <w:rPr>
          <w:rFonts w:ascii="Times New Roman" w:eastAsia="Times New Roman" w:hAnsi="Times New Roman" w:cs="Times New Roman"/>
          <w:sz w:val="24"/>
          <w:szCs w:val="24"/>
        </w:rPr>
        <w:t>for the completeness assessment</w:t>
      </w:r>
      <w:r>
        <w:rPr>
          <w:rFonts w:ascii="Times New Roman" w:eastAsia="Times New Roman" w:hAnsi="Times New Roman" w:cs="Times New Roman"/>
          <w:sz w:val="24"/>
          <w:szCs w:val="24"/>
        </w:rPr>
        <w:t xml:space="preserve"> referred to in paragraph 4 of Article 12 of Regulation (EU) 2020/1503 </w:t>
      </w:r>
      <w:r w:rsidRPr="004725B8">
        <w:rPr>
          <w:rFonts w:ascii="Times New Roman" w:eastAsia="Times New Roman" w:hAnsi="Times New Roman" w:cs="Times New Roman"/>
          <w:sz w:val="24"/>
          <w:szCs w:val="24"/>
        </w:rPr>
        <w:t>shall be suspended from the date such information is requested until the date it is received</w:t>
      </w:r>
      <w:r>
        <w:rPr>
          <w:rFonts w:ascii="Times New Roman" w:eastAsia="Times New Roman" w:hAnsi="Times New Roman" w:cs="Times New Roman"/>
          <w:sz w:val="24"/>
          <w:szCs w:val="24"/>
        </w:rPr>
        <w:t xml:space="preserve"> by the competent authority. </w:t>
      </w:r>
    </w:p>
    <w:p w:rsidR="00685873" w:rsidRPr="00685873" w:rsidRDefault="00685873" w:rsidP="00685873">
      <w:pPr>
        <w:numPr>
          <w:ilvl w:val="0"/>
          <w:numId w:val="19"/>
        </w:numPr>
        <w:spacing w:before="120" w:after="120" w:line="240" w:lineRule="auto"/>
        <w:jc w:val="both"/>
        <w:rPr>
          <w:rFonts w:ascii="Times New Roman" w:eastAsia="Times New Roman" w:hAnsi="Times New Roman" w:cs="Times New Roman"/>
          <w:sz w:val="24"/>
          <w:szCs w:val="24"/>
        </w:rPr>
      </w:pPr>
      <w:proofErr w:type="gramStart"/>
      <w:r w:rsidRPr="00685873">
        <w:rPr>
          <w:rFonts w:ascii="Times New Roman" w:eastAsia="Times New Roman" w:hAnsi="Times New Roman" w:cs="Times New Roman"/>
          <w:sz w:val="24"/>
          <w:szCs w:val="24"/>
        </w:rPr>
        <w:t>In order to</w:t>
      </w:r>
      <w:proofErr w:type="gramEnd"/>
      <w:r w:rsidRPr="00685873">
        <w:rPr>
          <w:rFonts w:ascii="Times New Roman" w:eastAsia="Times New Roman" w:hAnsi="Times New Roman" w:cs="Times New Roman"/>
          <w:sz w:val="24"/>
          <w:szCs w:val="24"/>
        </w:rPr>
        <w:t xml:space="preserve"> allow </w:t>
      </w:r>
      <w:r w:rsidR="000C1F60">
        <w:rPr>
          <w:rFonts w:ascii="Times New Roman" w:eastAsia="Times New Roman" w:hAnsi="Times New Roman" w:cs="Times New Roman"/>
          <w:sz w:val="24"/>
          <w:szCs w:val="24"/>
        </w:rPr>
        <w:t xml:space="preserve">the </w:t>
      </w:r>
      <w:r w:rsidRPr="00685873">
        <w:rPr>
          <w:rFonts w:ascii="Times New Roman" w:eastAsia="Times New Roman" w:hAnsi="Times New Roman" w:cs="Times New Roman"/>
          <w:sz w:val="24"/>
          <w:szCs w:val="24"/>
        </w:rPr>
        <w:t>competent authorit</w:t>
      </w:r>
      <w:r w:rsidR="000C1F60">
        <w:rPr>
          <w:rFonts w:ascii="Times New Roman" w:eastAsia="Times New Roman" w:hAnsi="Times New Roman" w:cs="Times New Roman"/>
          <w:sz w:val="24"/>
          <w:szCs w:val="24"/>
        </w:rPr>
        <w:t>y</w:t>
      </w:r>
      <w:r w:rsidRPr="00685873">
        <w:rPr>
          <w:rFonts w:ascii="Times New Roman" w:eastAsia="Times New Roman" w:hAnsi="Times New Roman" w:cs="Times New Roman"/>
          <w:sz w:val="24"/>
          <w:szCs w:val="24"/>
        </w:rPr>
        <w:t xml:space="preserve"> to assess whether changes to the information provided in the application for authorisation may affect the procedure </w:t>
      </w:r>
      <w:r w:rsidR="004A4C32">
        <w:rPr>
          <w:rFonts w:ascii="Times New Roman" w:eastAsia="Times New Roman" w:hAnsi="Times New Roman" w:cs="Times New Roman"/>
          <w:sz w:val="24"/>
          <w:szCs w:val="24"/>
        </w:rPr>
        <w:t xml:space="preserve">of </w:t>
      </w:r>
      <w:r w:rsidRPr="00685873">
        <w:rPr>
          <w:rFonts w:ascii="Times New Roman" w:eastAsia="Times New Roman" w:hAnsi="Times New Roman" w:cs="Times New Roman"/>
          <w:sz w:val="24"/>
          <w:szCs w:val="24"/>
        </w:rPr>
        <w:t>authorisation</w:t>
      </w:r>
      <w:r w:rsidR="004A4C32">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 xml:space="preserve">it is appropriate to require applicants to communicate such changes without undue delay. </w:t>
      </w:r>
    </w:p>
    <w:p w:rsidR="00685873" w:rsidRPr="00685873" w:rsidRDefault="00685873" w:rsidP="00685873">
      <w:pPr>
        <w:numPr>
          <w:ilvl w:val="0"/>
          <w:numId w:val="19"/>
        </w:numPr>
        <w:spacing w:before="120" w:after="120" w:line="240"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Regulation (EU) 2016/679 of the European Parliament and of the Council</w:t>
      </w:r>
      <w:r w:rsidRPr="00685873">
        <w:rPr>
          <w:rFonts w:ascii="Times New Roman" w:eastAsia="Times New Roman" w:hAnsi="Times New Roman" w:cs="Times New Roman"/>
          <w:noProof/>
          <w:color w:val="000000"/>
          <w:sz w:val="24"/>
          <w:szCs w:val="24"/>
          <w:vertAlign w:val="superscript"/>
        </w:rPr>
        <w:footnoteReference w:id="2"/>
      </w:r>
      <w:r w:rsidRPr="00685873">
        <w:rPr>
          <w:rFonts w:ascii="Times New Roman" w:eastAsia="Times New Roman" w:hAnsi="Times New Roman" w:cs="Times New Roman"/>
          <w:sz w:val="24"/>
          <w:szCs w:val="24"/>
        </w:rPr>
        <w:t xml:space="preserve"> applies to the processing of personal data by the Member States in the application of this Regulation.</w:t>
      </w:r>
    </w:p>
    <w:p w:rsidR="00685873" w:rsidRPr="00685873" w:rsidRDefault="00685873" w:rsidP="00685873">
      <w:pPr>
        <w:numPr>
          <w:ilvl w:val="0"/>
          <w:numId w:val="19"/>
        </w:numPr>
        <w:spacing w:before="120" w:after="120" w:line="240" w:lineRule="auto"/>
        <w:jc w:val="both"/>
        <w:rPr>
          <w:rFonts w:ascii="Times New Roman" w:eastAsia="Times New Roman" w:hAnsi="Times New Roman" w:cs="Times New Roman"/>
          <w:noProof/>
          <w:sz w:val="24"/>
          <w:szCs w:val="24"/>
        </w:rPr>
      </w:pPr>
      <w:r w:rsidRPr="00685873">
        <w:rPr>
          <w:rFonts w:ascii="Times New Roman" w:eastAsia="Times New Roman" w:hAnsi="Times New Roman" w:cs="Times New Roman"/>
          <w:noProof/>
          <w:sz w:val="24"/>
          <w:szCs w:val="24"/>
        </w:rPr>
        <w:t>This Regulation is based on the draft regulatory technical standards submitted to the Commission by the European Securities and Markets Authority (ESMA).</w:t>
      </w:r>
    </w:p>
    <w:p w:rsidR="00685873" w:rsidRPr="00685873" w:rsidRDefault="00685873" w:rsidP="00685873">
      <w:pPr>
        <w:numPr>
          <w:ilvl w:val="0"/>
          <w:numId w:val="19"/>
        </w:numPr>
        <w:spacing w:before="120" w:after="120" w:line="240" w:lineRule="auto"/>
        <w:jc w:val="both"/>
        <w:rPr>
          <w:rFonts w:ascii="Times New Roman" w:eastAsia="Times New Roman" w:hAnsi="Times New Roman" w:cs="Times New Roman"/>
          <w:noProof/>
          <w:sz w:val="24"/>
          <w:szCs w:val="24"/>
        </w:rPr>
      </w:pPr>
      <w:r w:rsidRPr="00685873">
        <w:rPr>
          <w:rFonts w:ascii="Times New Roman" w:eastAsia="Times New Roman" w:hAnsi="Times New Roman" w:cs="Times New Roman"/>
          <w:noProof/>
          <w:sz w:val="24"/>
          <w:szCs w:val="24"/>
        </w:rPr>
        <w:t>ESMA has conducted open public consultations on the draft regulatory technical standards on which this Regulation is based, analysed the potential related costs and benefits and requested the opinion of the Securities and Markets Stakeholder Group established in accordance with Article 37 of Regulation (EU) 1095/2010 of the European Parliament and of the Council</w:t>
      </w:r>
      <w:r w:rsidRPr="00685873">
        <w:rPr>
          <w:rFonts w:ascii="Times New Roman" w:eastAsia="Times New Roman" w:hAnsi="Times New Roman" w:cs="Times New Roman"/>
          <w:noProof/>
          <w:color w:val="000000"/>
          <w:sz w:val="24"/>
          <w:szCs w:val="24"/>
          <w:vertAlign w:val="superscript"/>
        </w:rPr>
        <w:footnoteReference w:id="3"/>
      </w:r>
      <w:r w:rsidRPr="00685873">
        <w:rPr>
          <w:rFonts w:ascii="Times New Roman" w:eastAsia="Times New Roman" w:hAnsi="Times New Roman" w:cs="Times New Roman"/>
          <w:noProof/>
          <w:sz w:val="24"/>
          <w:szCs w:val="24"/>
        </w:rPr>
        <w:t xml:space="preserve">, </w:t>
      </w:r>
    </w:p>
    <w:bookmarkEnd w:id="0"/>
    <w:p w:rsidR="00685873" w:rsidRPr="00685873" w:rsidRDefault="00685873" w:rsidP="00685873">
      <w:pPr>
        <w:spacing w:after="250" w:line="276"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HAS ADOPTED THIS REGULATION: </w:t>
      </w:r>
    </w:p>
    <w:p w:rsidR="00B60A3B" w:rsidRPr="00424074" w:rsidRDefault="00685873" w:rsidP="00424074">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w:t>
      </w:r>
      <w:r w:rsidRPr="00424074">
        <w:rPr>
          <w:rFonts w:ascii="Times New Roman" w:eastAsia="Times New Roman" w:hAnsi="Times New Roman" w:cs="Times New Roman"/>
          <w:i/>
          <w:noProof/>
          <w:color w:val="000000"/>
          <w:sz w:val="24"/>
          <w:szCs w:val="24"/>
        </w:rPr>
        <w:t xml:space="preserve"> 1</w:t>
      </w:r>
    </w:p>
    <w:p w:rsidR="00685873" w:rsidRPr="00424074" w:rsidRDefault="00685873" w:rsidP="00424074">
      <w:pPr>
        <w:spacing w:before="120" w:after="120" w:line="240" w:lineRule="auto"/>
        <w:jc w:val="center"/>
        <w:rPr>
          <w:rFonts w:ascii="Times New Roman" w:eastAsia="Times New Roman" w:hAnsi="Times New Roman" w:cs="Times New Roman"/>
          <w:i/>
          <w:sz w:val="24"/>
          <w:szCs w:val="24"/>
        </w:rPr>
      </w:pPr>
      <w:r w:rsidRPr="00424074">
        <w:rPr>
          <w:rFonts w:ascii="Times New Roman" w:eastAsia="Times New Roman" w:hAnsi="Times New Roman" w:cs="Times New Roman"/>
          <w:i/>
          <w:sz w:val="24"/>
          <w:szCs w:val="24"/>
        </w:rPr>
        <w:t>Designation of a contact point</w:t>
      </w:r>
    </w:p>
    <w:p w:rsidR="00685873" w:rsidRPr="00685873" w:rsidRDefault="00685873" w:rsidP="00685873">
      <w:pPr>
        <w:spacing w:after="250" w:line="276"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Competent authorities shall designate a contact point for receiving the applications for authorisation as a crowdfunding service provider </w:t>
      </w:r>
      <w:r w:rsidR="004820A8">
        <w:rPr>
          <w:rFonts w:ascii="Times New Roman" w:eastAsia="Times New Roman" w:hAnsi="Times New Roman" w:cs="Times New Roman"/>
          <w:sz w:val="24"/>
          <w:szCs w:val="24"/>
        </w:rPr>
        <w:t xml:space="preserve">pursuant </w:t>
      </w:r>
      <w:r w:rsidRPr="00685873">
        <w:rPr>
          <w:rFonts w:ascii="Times New Roman" w:eastAsia="Times New Roman" w:hAnsi="Times New Roman" w:cs="Times New Roman"/>
          <w:sz w:val="24"/>
          <w:szCs w:val="24"/>
        </w:rPr>
        <w:t xml:space="preserve">to Article 12 of Regulation (EU) No 2020/1503. The </w:t>
      </w:r>
      <w:bookmarkStart w:id="1" w:name="_Hlk80194449"/>
      <w:r w:rsidRPr="00685873">
        <w:rPr>
          <w:rFonts w:ascii="Times New Roman" w:eastAsia="Times New Roman" w:hAnsi="Times New Roman" w:cs="Times New Roman"/>
          <w:sz w:val="24"/>
          <w:szCs w:val="24"/>
        </w:rPr>
        <w:t xml:space="preserve">contact details of the designated contact point </w:t>
      </w:r>
      <w:bookmarkEnd w:id="1"/>
      <w:r w:rsidRPr="00685873">
        <w:rPr>
          <w:rFonts w:ascii="Times New Roman" w:eastAsia="Times New Roman" w:hAnsi="Times New Roman" w:cs="Times New Roman"/>
          <w:sz w:val="24"/>
          <w:szCs w:val="24"/>
        </w:rPr>
        <w:t>shall be</w:t>
      </w:r>
      <w:r w:rsidR="004820A8">
        <w:rPr>
          <w:rFonts w:ascii="Times New Roman" w:eastAsia="Times New Roman" w:hAnsi="Times New Roman" w:cs="Times New Roman"/>
          <w:sz w:val="24"/>
          <w:szCs w:val="24"/>
        </w:rPr>
        <w:t xml:space="preserve"> kept up-to-date and</w:t>
      </w:r>
      <w:r w:rsidRPr="00685873">
        <w:rPr>
          <w:rFonts w:ascii="Times New Roman" w:eastAsia="Times New Roman" w:hAnsi="Times New Roman" w:cs="Times New Roman"/>
          <w:sz w:val="24"/>
          <w:szCs w:val="24"/>
        </w:rPr>
        <w:t xml:space="preserve"> made public </w:t>
      </w:r>
      <w:r w:rsidR="004820A8">
        <w:rPr>
          <w:rFonts w:ascii="Times New Roman" w:eastAsia="Times New Roman" w:hAnsi="Times New Roman" w:cs="Times New Roman"/>
          <w:sz w:val="24"/>
          <w:szCs w:val="24"/>
        </w:rPr>
        <w:t>on the website of each respective competent authority</w:t>
      </w:r>
      <w:r w:rsidRPr="00685873">
        <w:rPr>
          <w:rFonts w:ascii="Times New Roman" w:eastAsia="Times New Roman" w:hAnsi="Times New Roman" w:cs="Times New Roman"/>
          <w:sz w:val="24"/>
          <w:szCs w:val="24"/>
        </w:rPr>
        <w:t>.</w:t>
      </w:r>
    </w:p>
    <w:p w:rsidR="00685873" w:rsidRPr="00685873" w:rsidRDefault="00685873" w:rsidP="00685873">
      <w:pPr>
        <w:keepNext/>
        <w:keepLines/>
        <w:spacing w:before="360" w:after="120" w:line="240" w:lineRule="auto"/>
        <w:jc w:val="center"/>
        <w:rPr>
          <w:rFonts w:ascii="Times New Roman" w:eastAsia="Times New Roman" w:hAnsi="Times New Roman" w:cs="Times New Roman"/>
          <w:i/>
          <w:iCs/>
          <w:sz w:val="24"/>
          <w:szCs w:val="24"/>
        </w:rPr>
      </w:pPr>
      <w:r w:rsidRPr="00685873">
        <w:rPr>
          <w:rFonts w:ascii="Times New Roman" w:eastAsia="Times New Roman" w:hAnsi="Times New Roman" w:cs="Times New Roman"/>
          <w:i/>
          <w:noProof/>
          <w:color w:val="000000"/>
          <w:sz w:val="24"/>
          <w:szCs w:val="24"/>
        </w:rPr>
        <w:t>Article</w:t>
      </w:r>
      <w:r w:rsidRPr="00685873">
        <w:rPr>
          <w:rFonts w:ascii="Times New Roman" w:eastAsia="Times New Roman" w:hAnsi="Times New Roman" w:cs="Times New Roman"/>
          <w:i/>
          <w:iCs/>
          <w:sz w:val="24"/>
          <w:szCs w:val="24"/>
        </w:rPr>
        <w:t xml:space="preserve"> 2</w:t>
      </w:r>
    </w:p>
    <w:p w:rsidR="00685873" w:rsidRPr="00685873" w:rsidRDefault="00685873" w:rsidP="00685873">
      <w:pPr>
        <w:spacing w:before="120" w:after="120" w:line="240" w:lineRule="auto"/>
        <w:jc w:val="center"/>
        <w:rPr>
          <w:rFonts w:ascii="Times New Roman" w:eastAsia="Times New Roman" w:hAnsi="Times New Roman" w:cs="Times New Roman"/>
          <w:i/>
          <w:sz w:val="24"/>
          <w:szCs w:val="24"/>
        </w:rPr>
      </w:pPr>
      <w:r w:rsidRPr="00685873">
        <w:rPr>
          <w:rFonts w:ascii="Times New Roman" w:eastAsia="Times New Roman" w:hAnsi="Times New Roman" w:cs="Times New Roman"/>
          <w:i/>
          <w:sz w:val="24"/>
          <w:szCs w:val="24"/>
        </w:rPr>
        <w:t>Submission of the application for authorisation</w:t>
      </w:r>
      <w:r w:rsidR="00CA1006">
        <w:rPr>
          <w:rFonts w:ascii="Times New Roman" w:eastAsia="Times New Roman" w:hAnsi="Times New Roman" w:cs="Times New Roman"/>
          <w:i/>
          <w:sz w:val="24"/>
          <w:szCs w:val="24"/>
        </w:rPr>
        <w:t xml:space="preserve"> </w:t>
      </w:r>
    </w:p>
    <w:p w:rsidR="00685873" w:rsidRPr="00685873" w:rsidRDefault="00685873" w:rsidP="00685873">
      <w:pPr>
        <w:spacing w:after="250" w:line="276" w:lineRule="auto"/>
        <w:jc w:val="both"/>
        <w:rPr>
          <w:rFonts w:ascii="Times New Roman" w:eastAsia="Times New Roman" w:hAnsi="Times New Roman" w:cs="Times New Roman"/>
          <w:sz w:val="24"/>
          <w:szCs w:val="24"/>
          <w:lang w:val="en-US"/>
        </w:rPr>
      </w:pPr>
      <w:bookmarkStart w:id="2" w:name="_Hlk19264392"/>
      <w:proofErr w:type="gramStart"/>
      <w:r w:rsidRPr="00685873">
        <w:rPr>
          <w:rFonts w:ascii="Times New Roman" w:eastAsia="Times New Roman" w:hAnsi="Times New Roman" w:cs="Times New Roman"/>
          <w:sz w:val="24"/>
          <w:szCs w:val="24"/>
        </w:rPr>
        <w:t>An</w:t>
      </w:r>
      <w:proofErr w:type="gramEnd"/>
      <w:r w:rsidRPr="00685873">
        <w:rPr>
          <w:rFonts w:ascii="Times New Roman" w:eastAsia="Times New Roman" w:hAnsi="Times New Roman" w:cs="Times New Roman"/>
          <w:sz w:val="24"/>
          <w:szCs w:val="24"/>
        </w:rPr>
        <w:t xml:space="preserve"> </w:t>
      </w:r>
      <w:r w:rsidR="00A91C48">
        <w:rPr>
          <w:rFonts w:ascii="Times New Roman" w:eastAsia="Times New Roman" w:hAnsi="Times New Roman" w:cs="Times New Roman"/>
          <w:sz w:val="24"/>
          <w:szCs w:val="24"/>
        </w:rPr>
        <w:t>legal person</w:t>
      </w:r>
      <w:r w:rsidR="00CA1006">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seeking authorisation as a crowdfunding service provider in accordance with Article 12 of Regulation (EU) 2020/1503 shall submit to the competent authority in the Member State the applicant has its registered office and its head office including its key activities</w:t>
      </w:r>
      <w:r w:rsidR="00CA1006">
        <w:rPr>
          <w:rFonts w:ascii="Times New Roman" w:eastAsia="Times New Roman" w:hAnsi="Times New Roman" w:cs="Times New Roman"/>
          <w:sz w:val="24"/>
          <w:szCs w:val="24"/>
        </w:rPr>
        <w:t xml:space="preserve">. </w:t>
      </w:r>
      <w:r w:rsidR="00490FE0">
        <w:rPr>
          <w:rFonts w:ascii="Times New Roman" w:eastAsia="Times New Roman" w:hAnsi="Times New Roman" w:cs="Times New Roman"/>
          <w:sz w:val="24"/>
          <w:szCs w:val="24"/>
        </w:rPr>
        <w:t>Prospective crowdfunding service providers shall submit their</w:t>
      </w:r>
      <w:r w:rsidRPr="00685873">
        <w:rPr>
          <w:rFonts w:ascii="Times New Roman" w:eastAsia="Times New Roman" w:hAnsi="Times New Roman" w:cs="Times New Roman"/>
          <w:sz w:val="24"/>
          <w:szCs w:val="24"/>
        </w:rPr>
        <w:t xml:space="preserve"> application </w:t>
      </w:r>
      <w:r w:rsidR="00490FE0">
        <w:rPr>
          <w:rFonts w:ascii="Times New Roman" w:eastAsia="Times New Roman" w:hAnsi="Times New Roman" w:cs="Times New Roman"/>
          <w:sz w:val="24"/>
          <w:szCs w:val="24"/>
        </w:rPr>
        <w:t xml:space="preserve">for authorisation </w:t>
      </w:r>
      <w:r w:rsidRPr="00685873">
        <w:rPr>
          <w:rFonts w:ascii="Times New Roman" w:eastAsia="Times New Roman" w:hAnsi="Times New Roman" w:cs="Times New Roman"/>
          <w:sz w:val="24"/>
          <w:szCs w:val="24"/>
        </w:rPr>
        <w:t xml:space="preserve">by filling in the </w:t>
      </w:r>
      <w:r w:rsidR="00490FE0">
        <w:rPr>
          <w:rFonts w:ascii="Times New Roman" w:eastAsia="Times New Roman" w:hAnsi="Times New Roman" w:cs="Times New Roman"/>
          <w:sz w:val="24"/>
          <w:szCs w:val="24"/>
        </w:rPr>
        <w:t>standard form</w:t>
      </w:r>
      <w:r w:rsidRPr="00685873">
        <w:rPr>
          <w:rFonts w:ascii="Times New Roman" w:eastAsia="Times New Roman" w:hAnsi="Times New Roman" w:cs="Times New Roman"/>
          <w:sz w:val="24"/>
          <w:szCs w:val="24"/>
        </w:rPr>
        <w:t xml:space="preserve"> set out in the Annex. </w:t>
      </w:r>
    </w:p>
    <w:p w:rsidR="00685873" w:rsidRPr="00685873" w:rsidRDefault="00685873" w:rsidP="00685873">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3</w:t>
      </w:r>
    </w:p>
    <w:p w:rsidR="00685873" w:rsidRPr="00685873" w:rsidRDefault="00685873" w:rsidP="00685873">
      <w:pPr>
        <w:spacing w:before="120" w:after="120" w:line="240" w:lineRule="auto"/>
        <w:jc w:val="center"/>
        <w:rPr>
          <w:rFonts w:ascii="Times New Roman" w:eastAsia="Times New Roman" w:hAnsi="Times New Roman" w:cs="Times New Roman"/>
          <w:i/>
          <w:sz w:val="24"/>
          <w:szCs w:val="24"/>
        </w:rPr>
      </w:pPr>
      <w:r w:rsidRPr="00685873">
        <w:rPr>
          <w:rFonts w:ascii="Times New Roman" w:eastAsia="Times New Roman" w:hAnsi="Times New Roman" w:cs="Times New Roman"/>
          <w:i/>
          <w:sz w:val="24"/>
          <w:szCs w:val="24"/>
        </w:rPr>
        <w:t xml:space="preserve">Acknowledgement of receipt </w:t>
      </w:r>
    </w:p>
    <w:p w:rsidR="00685873" w:rsidRDefault="00685873" w:rsidP="00BF3BDE">
      <w:pPr>
        <w:spacing w:after="250" w:line="276" w:lineRule="auto"/>
        <w:jc w:val="both"/>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sz w:val="24"/>
          <w:szCs w:val="24"/>
        </w:rPr>
        <w:t>Within 10 working days from the receipt of the application and notwithstanding the delay specified in Article 12(4) of Regulation (EU) 2020/1503, the competent authority shall send electronically, on paper</w:t>
      </w:r>
      <w:r w:rsidR="00E80E5F">
        <w:rPr>
          <w:rFonts w:ascii="Times New Roman" w:eastAsia="Times New Roman" w:hAnsi="Times New Roman" w:cs="Times New Roman"/>
          <w:sz w:val="24"/>
          <w:szCs w:val="24"/>
        </w:rPr>
        <w:t>,</w:t>
      </w:r>
      <w:r w:rsidRPr="00685873">
        <w:rPr>
          <w:rFonts w:ascii="Times New Roman" w:eastAsia="Times New Roman" w:hAnsi="Times New Roman" w:cs="Times New Roman"/>
          <w:sz w:val="24"/>
          <w:szCs w:val="24"/>
        </w:rPr>
        <w:t xml:space="preserve"> or </w:t>
      </w:r>
      <w:r w:rsidR="00E80E5F">
        <w:rPr>
          <w:rFonts w:ascii="Times New Roman" w:eastAsia="Times New Roman" w:hAnsi="Times New Roman" w:cs="Times New Roman"/>
          <w:sz w:val="24"/>
          <w:szCs w:val="24"/>
        </w:rPr>
        <w:t xml:space="preserve">in </w:t>
      </w:r>
      <w:r w:rsidRPr="00685873">
        <w:rPr>
          <w:rFonts w:ascii="Times New Roman" w:eastAsia="Times New Roman" w:hAnsi="Times New Roman" w:cs="Times New Roman"/>
          <w:sz w:val="24"/>
          <w:szCs w:val="24"/>
        </w:rPr>
        <w:t>both</w:t>
      </w:r>
      <w:r w:rsidR="00E80E5F">
        <w:rPr>
          <w:rFonts w:ascii="Times New Roman" w:eastAsia="Times New Roman" w:hAnsi="Times New Roman" w:cs="Times New Roman"/>
          <w:sz w:val="24"/>
          <w:szCs w:val="24"/>
        </w:rPr>
        <w:t xml:space="preserve"> forms,</w:t>
      </w:r>
      <w:r w:rsidRPr="00685873">
        <w:rPr>
          <w:rFonts w:ascii="Times New Roman" w:eastAsia="Times New Roman" w:hAnsi="Times New Roman" w:cs="Times New Roman"/>
          <w:sz w:val="24"/>
          <w:szCs w:val="24"/>
        </w:rPr>
        <w:t xml:space="preserve"> an acknowledgement of receipt to the </w:t>
      </w:r>
      <w:r w:rsidR="00EB2D57">
        <w:rPr>
          <w:rFonts w:ascii="Times New Roman" w:eastAsia="Times New Roman" w:hAnsi="Times New Roman" w:cs="Times New Roman"/>
          <w:sz w:val="24"/>
          <w:szCs w:val="24"/>
        </w:rPr>
        <w:t>prospective crowdfunding service provider</w:t>
      </w:r>
      <w:r w:rsidRPr="00685873">
        <w:rPr>
          <w:rFonts w:ascii="Times New Roman" w:eastAsia="Times New Roman" w:hAnsi="Times New Roman" w:cs="Times New Roman"/>
          <w:sz w:val="24"/>
          <w:szCs w:val="24"/>
        </w:rPr>
        <w:t>, which shall include</w:t>
      </w:r>
      <w:r w:rsidR="00E80E5F">
        <w:rPr>
          <w:rFonts w:ascii="Times New Roman" w:eastAsia="Times New Roman" w:hAnsi="Times New Roman" w:cs="Times New Roman"/>
          <w:sz w:val="24"/>
          <w:szCs w:val="24"/>
        </w:rPr>
        <w:t xml:space="preserve"> the</w:t>
      </w:r>
      <w:r w:rsidR="00E80E5F" w:rsidRPr="00685873">
        <w:rPr>
          <w:rFonts w:ascii="Times New Roman" w:eastAsia="Times New Roman" w:hAnsi="Times New Roman" w:cs="Times New Roman"/>
          <w:sz w:val="24"/>
          <w:szCs w:val="24"/>
        </w:rPr>
        <w:t xml:space="preserve"> details of</w:t>
      </w:r>
      <w:r w:rsidR="00EB2D57">
        <w:rPr>
          <w:rFonts w:ascii="Times New Roman" w:eastAsia="Times New Roman" w:hAnsi="Times New Roman" w:cs="Times New Roman"/>
          <w:sz w:val="24"/>
          <w:szCs w:val="24"/>
        </w:rPr>
        <w:t xml:space="preserve"> the</w:t>
      </w:r>
      <w:r w:rsidR="00E80E5F" w:rsidRPr="00685873">
        <w:rPr>
          <w:rFonts w:ascii="Times New Roman" w:eastAsia="Times New Roman" w:hAnsi="Times New Roman" w:cs="Times New Roman"/>
          <w:sz w:val="24"/>
          <w:szCs w:val="24"/>
        </w:rPr>
        <w:t xml:space="preserve"> contact point</w:t>
      </w:r>
      <w:r w:rsidR="00E80E5F">
        <w:rPr>
          <w:rFonts w:ascii="Times New Roman" w:eastAsia="Times New Roman" w:hAnsi="Times New Roman" w:cs="Times New Roman"/>
          <w:sz w:val="24"/>
          <w:szCs w:val="24"/>
        </w:rPr>
        <w:t xml:space="preserve"> designated in accordance with Article 1</w:t>
      </w:r>
      <w:r w:rsidRPr="00685873">
        <w:rPr>
          <w:rFonts w:ascii="Times New Roman" w:eastAsia="Times New Roman" w:hAnsi="Times New Roman" w:cs="Times New Roman"/>
          <w:sz w:val="24"/>
          <w:szCs w:val="24"/>
        </w:rPr>
        <w:t>.</w:t>
      </w:r>
    </w:p>
    <w:p w:rsidR="00685873" w:rsidRPr="00685873" w:rsidRDefault="00685873" w:rsidP="00685873">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4</w:t>
      </w:r>
    </w:p>
    <w:p w:rsidR="00685873" w:rsidRPr="00685873" w:rsidRDefault="008C135B" w:rsidP="00685873">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Time limit</w:t>
      </w:r>
      <w:r w:rsidR="00352D27">
        <w:rPr>
          <w:rFonts w:ascii="Times New Roman" w:eastAsia="Times New Roman" w:hAnsi="Times New Roman" w:cs="Times New Roman"/>
          <w:i/>
          <w:sz w:val="24"/>
          <w:szCs w:val="24"/>
        </w:rPr>
        <w:t xml:space="preserve"> suspension in case of missing information</w:t>
      </w:r>
    </w:p>
    <w:p w:rsidR="00685873" w:rsidRPr="00685873" w:rsidRDefault="00685873" w:rsidP="00685873">
      <w:pPr>
        <w:spacing w:after="250" w:line="276"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Where the competent authority requires the </w:t>
      </w:r>
      <w:r w:rsidR="00A91C48" w:rsidRPr="00685873">
        <w:rPr>
          <w:rFonts w:ascii="Times New Roman" w:eastAsia="Times New Roman" w:hAnsi="Times New Roman" w:cs="Times New Roman"/>
          <w:color w:val="000000"/>
          <w:sz w:val="24"/>
          <w:szCs w:val="24"/>
          <w:lang w:eastAsia="en-GB"/>
        </w:rPr>
        <w:t>prospective crowdfunding service provider</w:t>
      </w:r>
      <w:r w:rsidR="00A91C48" w:rsidRPr="00685873" w:rsidDel="00A91C48">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to provide missing information in accordance with Article 12(4) of Regulation (EU) 2020/1503, the</w:t>
      </w:r>
      <w:r w:rsidR="008C135B">
        <w:rPr>
          <w:rFonts w:ascii="Times New Roman" w:eastAsia="Times New Roman" w:hAnsi="Times New Roman" w:cs="Times New Roman"/>
          <w:sz w:val="24"/>
          <w:szCs w:val="24"/>
        </w:rPr>
        <w:t xml:space="preserve"> time limit</w:t>
      </w:r>
      <w:r w:rsidR="004E5EF8">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 xml:space="preserve">for the completeness assessment provided </w:t>
      </w:r>
      <w:r w:rsidR="00EB2D57">
        <w:rPr>
          <w:rFonts w:ascii="Times New Roman" w:eastAsia="Times New Roman" w:hAnsi="Times New Roman" w:cs="Times New Roman"/>
          <w:sz w:val="24"/>
          <w:szCs w:val="24"/>
        </w:rPr>
        <w:t>there</w:t>
      </w:r>
      <w:r w:rsidRPr="00685873">
        <w:rPr>
          <w:rFonts w:ascii="Times New Roman" w:eastAsia="Times New Roman" w:hAnsi="Times New Roman" w:cs="Times New Roman"/>
          <w:sz w:val="24"/>
          <w:szCs w:val="24"/>
        </w:rPr>
        <w:t xml:space="preserve">in shall be suspended from the date </w:t>
      </w:r>
      <w:r w:rsidR="00034404">
        <w:rPr>
          <w:rFonts w:ascii="Times New Roman" w:eastAsia="Times New Roman" w:hAnsi="Times New Roman" w:cs="Times New Roman"/>
          <w:sz w:val="24"/>
          <w:szCs w:val="24"/>
        </w:rPr>
        <w:t>such</w:t>
      </w:r>
      <w:r w:rsidR="001B771A">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information</w:t>
      </w:r>
      <w:r w:rsidR="001B771A">
        <w:rPr>
          <w:rFonts w:ascii="Times New Roman" w:eastAsia="Times New Roman" w:hAnsi="Times New Roman" w:cs="Times New Roman"/>
          <w:sz w:val="24"/>
          <w:szCs w:val="24"/>
        </w:rPr>
        <w:t xml:space="preserve"> is requested</w:t>
      </w:r>
      <w:r w:rsidRPr="00685873">
        <w:rPr>
          <w:rFonts w:ascii="Times New Roman" w:eastAsia="Times New Roman" w:hAnsi="Times New Roman" w:cs="Times New Roman"/>
          <w:sz w:val="24"/>
          <w:szCs w:val="24"/>
        </w:rPr>
        <w:t xml:space="preserve"> until the date </w:t>
      </w:r>
      <w:r w:rsidR="00034404">
        <w:rPr>
          <w:rFonts w:ascii="Times New Roman" w:eastAsia="Times New Roman" w:hAnsi="Times New Roman" w:cs="Times New Roman"/>
          <w:sz w:val="24"/>
          <w:szCs w:val="24"/>
        </w:rPr>
        <w:t>it is received</w:t>
      </w:r>
      <w:r w:rsidRPr="00685873">
        <w:rPr>
          <w:rFonts w:ascii="Times New Roman" w:eastAsia="Times New Roman" w:hAnsi="Times New Roman" w:cs="Times New Roman"/>
          <w:sz w:val="24"/>
          <w:szCs w:val="24"/>
        </w:rPr>
        <w:t>.</w:t>
      </w:r>
    </w:p>
    <w:p w:rsidR="00685873" w:rsidRPr="00685873" w:rsidRDefault="00685873" w:rsidP="00685873">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5</w:t>
      </w:r>
    </w:p>
    <w:p w:rsidR="00685873" w:rsidRPr="00685873" w:rsidRDefault="00685873" w:rsidP="00685873">
      <w:pPr>
        <w:spacing w:before="120" w:after="120" w:line="240" w:lineRule="auto"/>
        <w:jc w:val="center"/>
        <w:rPr>
          <w:rFonts w:ascii="Times New Roman" w:eastAsia="Times New Roman" w:hAnsi="Times New Roman" w:cs="Times New Roman"/>
          <w:b/>
          <w:bCs/>
          <w:sz w:val="24"/>
          <w:szCs w:val="24"/>
        </w:rPr>
      </w:pPr>
      <w:r w:rsidRPr="00685873">
        <w:rPr>
          <w:rFonts w:ascii="Times New Roman" w:eastAsia="Times New Roman" w:hAnsi="Times New Roman" w:cs="Times New Roman"/>
          <w:i/>
          <w:sz w:val="24"/>
          <w:szCs w:val="24"/>
        </w:rPr>
        <w:t>Notification of changes</w:t>
      </w:r>
    </w:p>
    <w:p w:rsidR="00685873" w:rsidRDefault="00685873" w:rsidP="00685873">
      <w:pPr>
        <w:numPr>
          <w:ilvl w:val="0"/>
          <w:numId w:val="20"/>
        </w:numPr>
        <w:spacing w:before="120" w:after="120" w:line="240" w:lineRule="auto"/>
        <w:jc w:val="both"/>
        <w:rPr>
          <w:rFonts w:ascii="Times New Roman" w:eastAsia="Times New Roman" w:hAnsi="Times New Roman" w:cs="Times New Roman"/>
          <w:iCs/>
          <w:noProof/>
          <w:sz w:val="24"/>
          <w:szCs w:val="24"/>
        </w:rPr>
      </w:pPr>
      <w:r w:rsidRPr="00685873">
        <w:rPr>
          <w:rFonts w:ascii="Times New Roman" w:eastAsia="Times New Roman" w:hAnsi="Times New Roman" w:cs="Times New Roman"/>
          <w:iCs/>
          <w:noProof/>
          <w:sz w:val="24"/>
          <w:szCs w:val="24"/>
        </w:rPr>
        <w:t xml:space="preserve">The </w:t>
      </w:r>
      <w:r w:rsidR="00A91C48" w:rsidRPr="00685873">
        <w:rPr>
          <w:rFonts w:ascii="Times New Roman" w:eastAsia="Times New Roman" w:hAnsi="Times New Roman" w:cs="Times New Roman"/>
          <w:color w:val="000000"/>
          <w:sz w:val="24"/>
          <w:szCs w:val="24"/>
          <w:lang w:eastAsia="en-GB"/>
        </w:rPr>
        <w:t>prospective crowdfunding service provider</w:t>
      </w:r>
      <w:r w:rsidR="00A91C48" w:rsidRPr="00685873" w:rsidDel="00A91C48">
        <w:rPr>
          <w:rFonts w:ascii="Times New Roman" w:eastAsia="Times New Roman" w:hAnsi="Times New Roman" w:cs="Times New Roman"/>
          <w:iCs/>
          <w:noProof/>
          <w:sz w:val="24"/>
          <w:szCs w:val="24"/>
        </w:rPr>
        <w:t xml:space="preserve"> </w:t>
      </w:r>
      <w:r w:rsidRPr="00685873">
        <w:rPr>
          <w:rFonts w:ascii="Times New Roman" w:eastAsia="Times New Roman" w:hAnsi="Times New Roman" w:cs="Times New Roman"/>
          <w:iCs/>
          <w:noProof/>
          <w:sz w:val="24"/>
          <w:szCs w:val="24"/>
        </w:rPr>
        <w:t>shall notify the competent authority of any changes to the information provided in the application for authorisation without undue delay</w:t>
      </w:r>
      <w:r w:rsidR="00552A78">
        <w:rPr>
          <w:rFonts w:ascii="Times New Roman" w:eastAsia="Times New Roman" w:hAnsi="Times New Roman" w:cs="Times New Roman"/>
          <w:iCs/>
          <w:noProof/>
          <w:sz w:val="24"/>
          <w:szCs w:val="24"/>
        </w:rPr>
        <w:t xml:space="preserve">The prospective crowdfunding provider </w:t>
      </w:r>
      <w:r w:rsidR="00537F64">
        <w:rPr>
          <w:rFonts w:ascii="Times New Roman" w:eastAsia="Times New Roman" w:hAnsi="Times New Roman" w:cs="Times New Roman"/>
          <w:iCs/>
          <w:noProof/>
          <w:sz w:val="24"/>
          <w:szCs w:val="24"/>
        </w:rPr>
        <w:t xml:space="preserve">shall provide the updated unformation </w:t>
      </w:r>
      <w:r w:rsidR="009559B1">
        <w:rPr>
          <w:rFonts w:ascii="Times New Roman" w:eastAsia="Times New Roman" w:hAnsi="Times New Roman" w:cs="Times New Roman"/>
          <w:iCs/>
          <w:noProof/>
          <w:sz w:val="24"/>
          <w:szCs w:val="24"/>
        </w:rPr>
        <w:t>by using the standard form set out in the Annex.</w:t>
      </w:r>
    </w:p>
    <w:p w:rsidR="002E33D1" w:rsidRPr="00685873" w:rsidRDefault="002E33D1" w:rsidP="00685873">
      <w:pPr>
        <w:numPr>
          <w:ilvl w:val="0"/>
          <w:numId w:val="20"/>
        </w:numPr>
        <w:spacing w:before="120" w:after="120" w:line="240" w:lineRule="auto"/>
        <w:jc w:val="both"/>
        <w:rPr>
          <w:rFonts w:ascii="Times New Roman" w:eastAsia="Times New Roman" w:hAnsi="Times New Roman" w:cs="Times New Roman"/>
          <w:iCs/>
          <w:noProof/>
          <w:sz w:val="24"/>
          <w:szCs w:val="24"/>
        </w:rPr>
      </w:pPr>
      <w:r w:rsidRPr="002E33D1">
        <w:rPr>
          <w:rFonts w:ascii="Times New Roman" w:eastAsia="Times New Roman" w:hAnsi="Times New Roman" w:cs="Times New Roman"/>
          <w:iCs/>
          <w:noProof/>
          <w:sz w:val="24"/>
          <w:szCs w:val="24"/>
        </w:rPr>
        <w:t>The time limit referred to in paragraph 8 of Article 12 of Regulation (EU) 2020/1503 shall apply from the date on which the updated information is provided by the prospective crowdfunding service provider.</w:t>
      </w:r>
    </w:p>
    <w:bookmarkEnd w:id="2"/>
    <w:p w:rsidR="00685873" w:rsidRPr="00685873" w:rsidRDefault="00685873" w:rsidP="00685873">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6</w:t>
      </w:r>
    </w:p>
    <w:p w:rsidR="00685873" w:rsidRPr="00685873" w:rsidRDefault="00685873" w:rsidP="00685873">
      <w:pPr>
        <w:spacing w:before="120" w:after="120" w:line="240" w:lineRule="auto"/>
        <w:jc w:val="center"/>
        <w:rPr>
          <w:rFonts w:ascii="Times New Roman" w:eastAsia="Times New Roman" w:hAnsi="Times New Roman" w:cs="Times New Roman"/>
          <w:i/>
          <w:sz w:val="24"/>
          <w:szCs w:val="24"/>
        </w:rPr>
      </w:pPr>
      <w:r w:rsidRPr="00685873">
        <w:rPr>
          <w:rFonts w:ascii="Times New Roman" w:eastAsia="Times New Roman" w:hAnsi="Times New Roman" w:cs="Times New Roman"/>
          <w:i/>
          <w:sz w:val="24"/>
          <w:szCs w:val="24"/>
        </w:rPr>
        <w:t>Entry into force and application</w:t>
      </w:r>
    </w:p>
    <w:p w:rsidR="00685873" w:rsidRPr="00685873" w:rsidRDefault="00685873" w:rsidP="00685873">
      <w:pPr>
        <w:spacing w:before="480" w:after="120" w:line="240" w:lineRule="auto"/>
        <w:jc w:val="both"/>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rPr>
        <w:t xml:space="preserve">This Regulation shall enter into force on the twentieth day following that of its publication in the Official Journal of the European Union. </w:t>
      </w:r>
    </w:p>
    <w:p w:rsidR="00685873" w:rsidRPr="00685873" w:rsidRDefault="00685873" w:rsidP="00685873">
      <w:pPr>
        <w:spacing w:after="120" w:line="240" w:lineRule="auto"/>
        <w:jc w:val="both"/>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This Regulation shall be binding in its entirety and directly applicable in all Member States.</w:t>
      </w:r>
    </w:p>
    <w:p w:rsidR="00685873" w:rsidRPr="00685873" w:rsidRDefault="00685873" w:rsidP="00685873">
      <w:pPr>
        <w:keepNext/>
        <w:spacing w:before="120" w:after="0" w:line="240" w:lineRule="auto"/>
        <w:ind w:firstLine="720"/>
        <w:jc w:val="both"/>
        <w:rPr>
          <w:rFonts w:ascii="Times New Roman" w:eastAsia="Times New Roman" w:hAnsi="Times New Roman" w:cs="Times New Roman"/>
          <w:noProof/>
          <w:sz w:val="24"/>
          <w:szCs w:val="24"/>
        </w:rPr>
      </w:pPr>
      <w:r w:rsidRPr="00685873">
        <w:rPr>
          <w:rFonts w:ascii="Times New Roman" w:eastAsia="Times New Roman" w:hAnsi="Times New Roman" w:cs="Times New Roman"/>
          <w:sz w:val="24"/>
          <w:szCs w:val="24"/>
        </w:rPr>
        <w:t xml:space="preserve">Done at Brussels, </w:t>
      </w:r>
    </w:p>
    <w:p w:rsidR="00685873" w:rsidRPr="00685873" w:rsidRDefault="00685873" w:rsidP="00685873">
      <w:pPr>
        <w:keepNext/>
        <w:tabs>
          <w:tab w:val="left" w:pos="4252"/>
        </w:tabs>
        <w:spacing w:before="720" w:after="0" w:line="240" w:lineRule="auto"/>
        <w:jc w:val="both"/>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b/>
        <w:t>For the Commission</w:t>
      </w:r>
    </w:p>
    <w:p w:rsidR="00685873" w:rsidRPr="00685873" w:rsidRDefault="00685873" w:rsidP="00685873">
      <w:pPr>
        <w:tabs>
          <w:tab w:val="left" w:pos="4252"/>
        </w:tabs>
        <w:spacing w:after="0" w:line="240" w:lineRule="auto"/>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b/>
        <w:t>The President</w:t>
      </w:r>
    </w:p>
    <w:p w:rsidR="00685873" w:rsidRPr="00685873" w:rsidRDefault="00685873" w:rsidP="00685873">
      <w:pPr>
        <w:keepNext/>
        <w:tabs>
          <w:tab w:val="left" w:pos="4252"/>
        </w:tabs>
        <w:spacing w:before="720" w:after="0" w:line="240" w:lineRule="auto"/>
        <w:jc w:val="both"/>
        <w:rPr>
          <w:rFonts w:ascii="Times New Roman" w:eastAsia="Times New Roman" w:hAnsi="Times New Roman" w:cs="Times New Roman"/>
          <w:i/>
          <w:noProof/>
          <w:color w:val="000000"/>
          <w:sz w:val="24"/>
          <w:szCs w:val="24"/>
        </w:rPr>
      </w:pPr>
    </w:p>
    <w:p w:rsidR="00685873" w:rsidRPr="00685873" w:rsidRDefault="00685873" w:rsidP="00685873">
      <w:pPr>
        <w:spacing w:after="250" w:line="276" w:lineRule="auto"/>
        <w:jc w:val="right"/>
        <w:rPr>
          <w:rFonts w:ascii="Arial" w:eastAsia="Times New Roman" w:hAnsi="Arial" w:cs="Times New Roman"/>
          <w:b/>
          <w:szCs w:val="20"/>
        </w:rPr>
        <w:sectPr w:rsidR="00685873" w:rsidRPr="00685873" w:rsidSect="00441961">
          <w:footerReference w:type="default" r:id="rId12"/>
          <w:footnotePr>
            <w:numRestart w:val="eachSect"/>
          </w:footnotePr>
          <w:pgSz w:w="11907" w:h="16839"/>
          <w:pgMar w:top="1134" w:right="1417" w:bottom="1134" w:left="1417" w:header="709" w:footer="709" w:gutter="0"/>
          <w:cols w:space="708"/>
          <w:rtlGutter/>
          <w:docGrid w:linePitch="360"/>
        </w:sectPr>
      </w:pPr>
      <w:r w:rsidRPr="00685873">
        <w:rPr>
          <w:rFonts w:ascii="Times New Roman" w:eastAsia="Times New Roman" w:hAnsi="Times New Roman" w:cs="Times New Roman"/>
          <w:i/>
          <w:color w:val="000000"/>
          <w:sz w:val="24"/>
          <w:szCs w:val="24"/>
        </w:rPr>
        <w:tab/>
      </w:r>
      <w:r w:rsidRPr="00685873">
        <w:rPr>
          <w:rFonts w:ascii="Times New Roman" w:eastAsia="Times New Roman" w:hAnsi="Times New Roman" w:cs="Times New Roman"/>
          <w:i/>
          <w:sz w:val="24"/>
          <w:szCs w:val="24"/>
        </w:rPr>
        <w:br/>
      </w:r>
      <w:r w:rsidRPr="00685873">
        <w:rPr>
          <w:rFonts w:ascii="Times New Roman" w:eastAsia="Times New Roman" w:hAnsi="Times New Roman" w:cs="Times New Roman"/>
          <w:i/>
          <w:color w:val="000000"/>
          <w:sz w:val="24"/>
          <w:szCs w:val="24"/>
        </w:rPr>
        <w:tab/>
      </w:r>
    </w:p>
    <w:p w:rsidR="00685873" w:rsidRPr="00685873" w:rsidRDefault="00685873" w:rsidP="00685873">
      <w:pPr>
        <w:spacing w:after="250" w:line="276" w:lineRule="auto"/>
        <w:jc w:val="center"/>
        <w:rPr>
          <w:rFonts w:ascii="Times New Roman" w:eastAsia="Times New Roman" w:hAnsi="Times New Roman" w:cs="Times New Roman"/>
          <w:b/>
          <w:bCs/>
          <w:iCs/>
          <w:sz w:val="24"/>
          <w:szCs w:val="24"/>
          <w:u w:val="single"/>
        </w:rPr>
      </w:pPr>
      <w:r w:rsidRPr="00685873">
        <w:rPr>
          <w:rFonts w:ascii="Times New Roman" w:eastAsia="Times New Roman" w:hAnsi="Times New Roman" w:cs="Times New Roman"/>
          <w:b/>
          <w:bCs/>
          <w:iCs/>
          <w:sz w:val="24"/>
          <w:szCs w:val="24"/>
          <w:u w:val="single"/>
        </w:rPr>
        <w:t>ANNEX</w:t>
      </w:r>
    </w:p>
    <w:p w:rsidR="00685873" w:rsidRPr="00685873" w:rsidRDefault="00685873" w:rsidP="00685873">
      <w:pPr>
        <w:spacing w:after="250" w:line="276" w:lineRule="auto"/>
        <w:jc w:val="center"/>
        <w:rPr>
          <w:rFonts w:ascii="Times New Roman" w:eastAsia="Times New Roman" w:hAnsi="Times New Roman" w:cs="Times New Roman"/>
          <w:i/>
          <w:sz w:val="24"/>
          <w:szCs w:val="24"/>
          <w:u w:val="single"/>
        </w:rPr>
      </w:pPr>
      <w:r w:rsidRPr="00685873">
        <w:rPr>
          <w:rFonts w:ascii="Times New Roman" w:eastAsia="Times New Roman" w:hAnsi="Times New Roman" w:cs="Times New Roman"/>
          <w:i/>
          <w:sz w:val="24"/>
          <w:szCs w:val="24"/>
          <w:u w:val="single"/>
        </w:rPr>
        <w:t>APPLICATION FOR AUTHORISATION AS CROWDFUNDING SERVICE PROVIDER</w:t>
      </w:r>
    </w:p>
    <w:p w:rsidR="00685873" w:rsidRPr="00685873" w:rsidRDefault="00685873" w:rsidP="00685873">
      <w:pPr>
        <w:spacing w:after="250" w:line="276" w:lineRule="auto"/>
        <w:jc w:val="center"/>
        <w:rPr>
          <w:rFonts w:ascii="Times New Roman" w:eastAsia="Times New Roman" w:hAnsi="Times New Roman" w:cs="Times New Roman"/>
          <w:b/>
          <w:bCs/>
          <w:sz w:val="24"/>
          <w:szCs w:val="24"/>
        </w:rPr>
      </w:pPr>
      <w:r w:rsidRPr="00685873">
        <w:rPr>
          <w:rFonts w:ascii="Times New Roman" w:eastAsia="Times New Roman" w:hAnsi="Times New Roman" w:cs="Times New Roman"/>
          <w:b/>
          <w:bCs/>
          <w:sz w:val="24"/>
          <w:szCs w:val="24"/>
        </w:rPr>
        <w:t xml:space="preserve">Information to be provided to the competent authority </w:t>
      </w:r>
    </w:p>
    <w:tbl>
      <w:tblPr>
        <w:tblStyle w:val="TableGrid3"/>
        <w:tblW w:w="14029" w:type="dxa"/>
        <w:tblBorders>
          <w:insideH w:val="none" w:sz="0" w:space="0" w:color="auto"/>
          <w:insideV w:val="none" w:sz="0" w:space="0" w:color="auto"/>
        </w:tblBorders>
        <w:tblLook w:val="04A0" w:firstRow="1" w:lastRow="0" w:firstColumn="1" w:lastColumn="0" w:noHBand="0" w:noVBand="1"/>
      </w:tblPr>
      <w:tblGrid>
        <w:gridCol w:w="14029"/>
      </w:tblGrid>
      <w:tr w:rsidR="00685873" w:rsidRPr="00685873" w:rsidTr="00685873">
        <w:tc>
          <w:tcPr>
            <w:tcW w:w="14029" w:type="dxa"/>
            <w:tcBorders>
              <w:top w:val="single" w:sz="4" w:space="0" w:color="auto"/>
              <w:bottom w:val="single" w:sz="4" w:space="0" w:color="auto"/>
            </w:tcBorders>
            <w:shd w:val="clear" w:color="auto" w:fill="D9D9D9"/>
          </w:tcPr>
          <w:p w:rsidR="00685873" w:rsidRPr="00685873" w:rsidRDefault="00685873" w:rsidP="00685873">
            <w:pPr>
              <w:spacing w:after="250" w:line="276" w:lineRule="auto"/>
              <w:jc w:val="center"/>
              <w:rPr>
                <w:rFonts w:ascii="Times New Roman" w:hAnsi="Times New Roman" w:cs="Times New Roman"/>
                <w:b/>
                <w:bCs/>
                <w:sz w:val="24"/>
                <w:szCs w:val="24"/>
              </w:rPr>
            </w:pPr>
            <w:r w:rsidRPr="00685873">
              <w:rPr>
                <w:rFonts w:ascii="Times New Roman" w:hAnsi="Times New Roman" w:cs="Times New Roman"/>
                <w:b/>
                <w:bCs/>
                <w:sz w:val="24"/>
                <w:szCs w:val="24"/>
              </w:rPr>
              <w:t>CONTENT OF THE APPLICATION</w:t>
            </w:r>
          </w:p>
        </w:tc>
      </w:tr>
      <w:tr w:rsidR="00685873" w:rsidRPr="00685873" w:rsidTr="00685873">
        <w:tc>
          <w:tcPr>
            <w:tcW w:w="14029" w:type="dxa"/>
            <w:tcBorders>
              <w:top w:val="single" w:sz="4" w:space="0" w:color="auto"/>
              <w:bottom w:val="single" w:sz="4" w:space="0" w:color="auto"/>
            </w:tcBorders>
            <w:shd w:val="clear" w:color="auto" w:fill="D9D9D9"/>
          </w:tcPr>
          <w:p w:rsidR="00685873" w:rsidRPr="00685873" w:rsidRDefault="00685873" w:rsidP="00685873">
            <w:pPr>
              <w:spacing w:after="250" w:line="276" w:lineRule="auto"/>
              <w:jc w:val="center"/>
              <w:rPr>
                <w:rFonts w:ascii="Times New Roman" w:hAnsi="Times New Roman" w:cs="Times New Roman"/>
                <w:b/>
                <w:bCs/>
                <w:sz w:val="24"/>
                <w:szCs w:val="24"/>
              </w:rPr>
            </w:pPr>
            <w:r w:rsidRPr="00685873">
              <w:rPr>
                <w:rFonts w:ascii="Times New Roman" w:hAnsi="Times New Roman" w:cs="Times New Roman"/>
                <w:i/>
                <w:iCs/>
                <w:color w:val="000000"/>
                <w:sz w:val="24"/>
                <w:szCs w:val="24"/>
                <w:lang w:eastAsia="en-GB"/>
              </w:rPr>
              <w:t>Prospective crowdfunding service providers</w:t>
            </w:r>
            <w:r w:rsidR="008E348F">
              <w:rPr>
                <w:rFonts w:ascii="Times New Roman" w:hAnsi="Times New Roman" w:cs="Times New Roman"/>
                <w:i/>
                <w:iCs/>
                <w:color w:val="000000"/>
                <w:sz w:val="24"/>
                <w:szCs w:val="24"/>
                <w:lang w:eastAsia="en-GB"/>
              </w:rPr>
              <w:t xml:space="preserve"> (“applicants”)</w:t>
            </w:r>
            <w:r w:rsidRPr="00685873">
              <w:rPr>
                <w:rFonts w:ascii="Times New Roman" w:hAnsi="Times New Roman" w:cs="Times New Roman"/>
                <w:i/>
                <w:iCs/>
                <w:color w:val="000000"/>
                <w:sz w:val="24"/>
                <w:szCs w:val="24"/>
                <w:lang w:eastAsia="en-GB"/>
              </w:rPr>
              <w:t xml:space="preserve"> shall set out the relevant information or make reference to the relevant annexes to the application containing the information on the following</w:t>
            </w:r>
          </w:p>
        </w:tc>
      </w:tr>
    </w:tbl>
    <w:tbl>
      <w:tblPr>
        <w:tblW w:w="1402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1684"/>
        <w:gridCol w:w="2852"/>
        <w:gridCol w:w="1732"/>
        <w:gridCol w:w="2634"/>
        <w:gridCol w:w="10"/>
        <w:gridCol w:w="5112"/>
      </w:tblGrid>
      <w:tr w:rsidR="00685873" w:rsidRPr="00685873" w:rsidTr="00685873">
        <w:trPr>
          <w:trHeight w:val="829"/>
          <w:tblHeader/>
        </w:trPr>
        <w:tc>
          <w:tcPr>
            <w:tcW w:w="4536" w:type="dxa"/>
            <w:gridSpan w:val="2"/>
            <w:shd w:val="clear" w:color="auto" w:fill="E7E6E6"/>
            <w:vAlign w:val="center"/>
          </w:tcPr>
          <w:p w:rsidR="00685873" w:rsidRPr="00685873" w:rsidRDefault="00685873" w:rsidP="00685873">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Field</w:t>
            </w:r>
          </w:p>
        </w:tc>
        <w:tc>
          <w:tcPr>
            <w:tcW w:w="4366" w:type="dxa"/>
            <w:gridSpan w:val="2"/>
            <w:shd w:val="clear" w:color="auto" w:fill="E7E6E6"/>
            <w:vAlign w:val="center"/>
          </w:tcPr>
          <w:p w:rsidR="00685873" w:rsidRPr="00685873" w:rsidRDefault="00685873" w:rsidP="00685873">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Sub-field</w:t>
            </w:r>
          </w:p>
        </w:tc>
        <w:tc>
          <w:tcPr>
            <w:tcW w:w="5122" w:type="dxa"/>
            <w:gridSpan w:val="2"/>
            <w:shd w:val="clear" w:color="auto" w:fill="E7E6E6"/>
            <w:vAlign w:val="center"/>
          </w:tcPr>
          <w:p w:rsidR="00685873" w:rsidRPr="00685873" w:rsidRDefault="00685873" w:rsidP="00685873">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Description</w:t>
            </w:r>
          </w:p>
        </w:tc>
      </w:tr>
      <w:tr w:rsidR="00685873" w:rsidRPr="00685873" w:rsidTr="00685873">
        <w:trPr>
          <w:trHeight w:val="999"/>
        </w:trPr>
        <w:tc>
          <w:tcPr>
            <w:tcW w:w="1684" w:type="dxa"/>
            <w:vMerge w:val="restart"/>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852" w:type="dxa"/>
            <w:vMerge w:val="restart"/>
            <w:shd w:val="clear" w:color="auto" w:fill="FFFFFF"/>
          </w:tcPr>
          <w:p w:rsidR="00685873" w:rsidRPr="00685873" w:rsidRDefault="008E348F" w:rsidP="00685873">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Applicant</w:t>
            </w: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legal name</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legal name of the applicant</w:t>
            </w:r>
          </w:p>
        </w:tc>
      </w:tr>
      <w:tr w:rsidR="00685873" w:rsidRPr="00685873" w:rsidTr="00685873">
        <w:trPr>
          <w:trHeight w:val="985"/>
        </w:trPr>
        <w:tc>
          <w:tcPr>
            <w:tcW w:w="1684"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Trading name(s)</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Trading name(s) to be used to provide the crowdfunding services</w:t>
            </w:r>
          </w:p>
        </w:tc>
      </w:tr>
      <w:tr w:rsidR="00685873" w:rsidRPr="00685873" w:rsidTr="00685873">
        <w:trPr>
          <w:trHeight w:val="970"/>
        </w:trPr>
        <w:tc>
          <w:tcPr>
            <w:tcW w:w="1684"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Internet address</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Internet address of the website operated by the applicant</w:t>
            </w:r>
          </w:p>
        </w:tc>
      </w:tr>
      <w:tr w:rsidR="00685873" w:rsidRPr="00685873" w:rsidTr="00685873">
        <w:trPr>
          <w:trHeight w:val="924"/>
        </w:trPr>
        <w:tc>
          <w:tcPr>
            <w:tcW w:w="1684"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Physical address</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Registered address of the applicant</w:t>
            </w:r>
          </w:p>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r>
      <w:tr w:rsidR="00685873" w:rsidRPr="00685873" w:rsidTr="00685873">
        <w:trPr>
          <w:trHeight w:val="787"/>
        </w:trPr>
        <w:tc>
          <w:tcPr>
            <w:tcW w:w="1684"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National ID/Registration number</w:t>
            </w:r>
            <w:r w:rsidR="00210EE6">
              <w:rPr>
                <w:rFonts w:ascii="Times New Roman" w:eastAsia="Times New Roman" w:hAnsi="Times New Roman" w:cs="Times New Roman"/>
                <w:color w:val="000000"/>
                <w:sz w:val="24"/>
                <w:szCs w:val="24"/>
                <w:lang w:eastAsia="en-GB"/>
              </w:rPr>
              <w:t xml:space="preserve"> </w:t>
            </w:r>
          </w:p>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available)</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National identifier of the </w:t>
            </w:r>
            <w:r w:rsidR="008E348F">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or evidence of the registration with the national register of companies</w:t>
            </w:r>
          </w:p>
        </w:tc>
      </w:tr>
      <w:tr w:rsidR="00685873" w:rsidRPr="00685873" w:rsidTr="00685873">
        <w:trPr>
          <w:trHeight w:val="787"/>
        </w:trPr>
        <w:tc>
          <w:tcPr>
            <w:tcW w:w="1684" w:type="dxa"/>
            <w:vMerge/>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hideMark/>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LEI</w:t>
            </w:r>
          </w:p>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available)</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Legal entity identifier of the </w:t>
            </w:r>
            <w:r w:rsidR="008E348F">
              <w:rPr>
                <w:rFonts w:ascii="Times New Roman" w:eastAsia="Times New Roman" w:hAnsi="Times New Roman" w:cs="Times New Roman"/>
                <w:color w:val="000000"/>
                <w:sz w:val="24"/>
                <w:szCs w:val="24"/>
                <w:lang w:eastAsia="en-GB"/>
              </w:rPr>
              <w:t>applicant</w:t>
            </w:r>
          </w:p>
        </w:tc>
      </w:tr>
      <w:tr w:rsidR="00685873" w:rsidRPr="00685873" w:rsidTr="00685873">
        <w:trPr>
          <w:trHeight w:val="1086"/>
        </w:trPr>
        <w:tc>
          <w:tcPr>
            <w:tcW w:w="1684" w:type="dxa"/>
            <w:vMerge w:val="restart"/>
            <w:shd w:val="clear" w:color="auto" w:fill="FFFFFF"/>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852" w:type="dxa"/>
            <w:vMerge w:val="restart"/>
            <w:shd w:val="clear" w:color="auto" w:fill="FFFFFF"/>
          </w:tcPr>
          <w:p w:rsidR="00685873" w:rsidRPr="00685873" w:rsidRDefault="00685873" w:rsidP="00685873">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Name and contact details of the person in charge of the application</w:t>
            </w:r>
          </w:p>
        </w:tc>
        <w:tc>
          <w:tcPr>
            <w:tcW w:w="1732"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name</w:t>
            </w:r>
          </w:p>
        </w:tc>
        <w:tc>
          <w:tcPr>
            <w:tcW w:w="5122" w:type="dxa"/>
            <w:gridSpan w:val="2"/>
            <w:shd w:val="clear" w:color="auto" w:fill="FFFFFF"/>
            <w:vAlign w:val="center"/>
          </w:tcPr>
          <w:p w:rsidR="00685873" w:rsidRPr="00685873" w:rsidRDefault="00685873" w:rsidP="00685873">
            <w:pPr>
              <w:spacing w:after="0" w:line="240" w:lineRule="auto"/>
              <w:jc w:val="both"/>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first name(s) and surname(s) of the contact person</w:t>
            </w:r>
          </w:p>
        </w:tc>
      </w:tr>
      <w:tr w:rsidR="00FE618B" w:rsidRPr="00685873" w:rsidTr="00685873">
        <w:trPr>
          <w:trHeight w:val="1086"/>
        </w:trPr>
        <w:tc>
          <w:tcPr>
            <w:tcW w:w="1684" w:type="dxa"/>
            <w:vMerge/>
            <w:shd w:val="clear" w:color="auto" w:fill="FFFFFF"/>
          </w:tcPr>
          <w:p w:rsidR="00FE618B" w:rsidRPr="00685873" w:rsidRDefault="00FE618B" w:rsidP="00FE618B">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FE618B" w:rsidRPr="00685873" w:rsidRDefault="00FE618B" w:rsidP="00FE618B">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FE618B" w:rsidRPr="00685873" w:rsidRDefault="00FE618B" w:rsidP="00FE618B">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FE618B" w:rsidRPr="00685873" w:rsidRDefault="00A91C48" w:rsidP="00FE618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r w:rsidR="00FE618B" w:rsidRPr="00685873">
              <w:rPr>
                <w:rFonts w:ascii="Times New Roman" w:eastAsia="Times New Roman" w:hAnsi="Times New Roman" w:cs="Times New Roman"/>
                <w:color w:val="000000"/>
                <w:sz w:val="24"/>
                <w:szCs w:val="24"/>
                <w:lang w:eastAsia="en-GB"/>
              </w:rPr>
              <w:t>unction</w:t>
            </w:r>
            <w:r>
              <w:rPr>
                <w:rFonts w:ascii="Times New Roman" w:eastAsia="Times New Roman" w:hAnsi="Times New Roman" w:cs="Times New Roman"/>
                <w:color w:val="000000"/>
                <w:sz w:val="24"/>
                <w:szCs w:val="24"/>
                <w:lang w:eastAsia="en-GB"/>
              </w:rPr>
              <w:t xml:space="preserve"> </w:t>
            </w:r>
          </w:p>
        </w:tc>
        <w:tc>
          <w:tcPr>
            <w:tcW w:w="5122" w:type="dxa"/>
            <w:gridSpan w:val="2"/>
            <w:shd w:val="clear" w:color="auto" w:fill="FFFFFF"/>
            <w:vAlign w:val="center"/>
          </w:tcPr>
          <w:p w:rsidR="00FE618B" w:rsidRPr="00685873" w:rsidRDefault="00FE618B" w:rsidP="00FE618B">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Function and/or title of the contact person within the </w:t>
            </w:r>
            <w:r w:rsidR="008E348F">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or </w:t>
            </w:r>
            <w:r w:rsidR="008E348F">
              <w:rPr>
                <w:rFonts w:ascii="Times New Roman" w:eastAsia="Times New Roman" w:hAnsi="Times New Roman" w:cs="Times New Roman"/>
                <w:color w:val="000000"/>
                <w:sz w:val="24"/>
                <w:szCs w:val="24"/>
                <w:lang w:eastAsia="en-GB"/>
              </w:rPr>
              <w:t>status as an</w:t>
            </w:r>
            <w:r w:rsidRPr="00685873">
              <w:rPr>
                <w:rFonts w:ascii="Times New Roman" w:eastAsia="Times New Roman" w:hAnsi="Times New Roman" w:cs="Times New Roman"/>
                <w:color w:val="000000"/>
                <w:sz w:val="24"/>
                <w:szCs w:val="24"/>
                <w:lang w:eastAsia="en-GB"/>
              </w:rPr>
              <w:t xml:space="preserve"> external person (</w:t>
            </w:r>
            <w:r w:rsidRPr="004B7B11">
              <w:rPr>
                <w:rFonts w:ascii="Times New Roman" w:eastAsia="Times New Roman" w:hAnsi="Times New Roman" w:cs="Times New Roman"/>
                <w:i/>
                <w:iCs/>
                <w:color w:val="000000"/>
                <w:sz w:val="24"/>
                <w:szCs w:val="24"/>
                <w:lang w:eastAsia="en-GB"/>
              </w:rPr>
              <w:t>e.g.</w:t>
            </w:r>
            <w:r w:rsidR="004B7B11">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consultant, law firm) </w:t>
            </w:r>
            <w:r w:rsidR="008E348F">
              <w:rPr>
                <w:rFonts w:ascii="Times New Roman" w:eastAsia="Times New Roman" w:hAnsi="Times New Roman" w:cs="Times New Roman"/>
                <w:color w:val="000000"/>
                <w:sz w:val="24"/>
                <w:szCs w:val="24"/>
                <w:lang w:eastAsia="en-GB"/>
              </w:rPr>
              <w:t xml:space="preserve">and </w:t>
            </w:r>
            <w:r w:rsidR="008E348F" w:rsidRPr="00685873">
              <w:rPr>
                <w:rFonts w:ascii="Times New Roman" w:eastAsia="Times New Roman" w:hAnsi="Times New Roman" w:cs="Times New Roman"/>
                <w:color w:val="000000"/>
                <w:sz w:val="24"/>
                <w:szCs w:val="24"/>
                <w:lang w:eastAsia="en-GB"/>
              </w:rPr>
              <w:t xml:space="preserve">proof that </w:t>
            </w:r>
            <w:r w:rsidR="00E17F02">
              <w:rPr>
                <w:rFonts w:ascii="Times New Roman" w:eastAsia="Times New Roman" w:hAnsi="Times New Roman" w:cs="Times New Roman"/>
                <w:color w:val="000000"/>
                <w:sz w:val="24"/>
                <w:szCs w:val="24"/>
                <w:lang w:eastAsia="en-GB"/>
              </w:rPr>
              <w:t xml:space="preserve">the </w:t>
            </w:r>
            <w:proofErr w:type="gramStart"/>
            <w:r w:rsidR="00E17F02">
              <w:rPr>
                <w:rFonts w:ascii="Times New Roman" w:eastAsia="Times New Roman" w:hAnsi="Times New Roman" w:cs="Times New Roman"/>
                <w:color w:val="000000"/>
                <w:sz w:val="24"/>
                <w:szCs w:val="24"/>
                <w:lang w:eastAsia="en-GB"/>
              </w:rPr>
              <w:t xml:space="preserve">person </w:t>
            </w:r>
            <w:r w:rsidR="008E348F">
              <w:rPr>
                <w:rFonts w:ascii="Times New Roman" w:eastAsia="Times New Roman" w:hAnsi="Times New Roman" w:cs="Times New Roman"/>
                <w:color w:val="000000"/>
                <w:sz w:val="24"/>
                <w:szCs w:val="24"/>
                <w:lang w:eastAsia="en-GB"/>
              </w:rPr>
              <w:t xml:space="preserve"> </w:t>
            </w:r>
            <w:r w:rsidRPr="00685873">
              <w:rPr>
                <w:rFonts w:ascii="Times New Roman" w:eastAsia="Times New Roman" w:hAnsi="Times New Roman" w:cs="Times New Roman"/>
                <w:color w:val="000000"/>
                <w:sz w:val="24"/>
                <w:szCs w:val="24"/>
                <w:lang w:eastAsia="en-GB"/>
              </w:rPr>
              <w:t>has</w:t>
            </w:r>
            <w:proofErr w:type="gramEnd"/>
            <w:r w:rsidRPr="00685873">
              <w:rPr>
                <w:rFonts w:ascii="Times New Roman" w:eastAsia="Times New Roman" w:hAnsi="Times New Roman" w:cs="Times New Roman"/>
                <w:color w:val="000000"/>
                <w:sz w:val="24"/>
                <w:szCs w:val="24"/>
                <w:lang w:eastAsia="en-GB"/>
              </w:rPr>
              <w:t xml:space="preserve"> the power to file the application</w:t>
            </w:r>
          </w:p>
          <w:p w:rsidR="00FE618B" w:rsidRPr="00685873" w:rsidRDefault="00FE618B" w:rsidP="00FE618B">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086"/>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B65BFE" w:rsidRPr="00685873" w:rsidRDefault="00D0602C"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Postal address (if different from the </w:t>
            </w:r>
            <w:r w:rsidR="00A91C48">
              <w:rPr>
                <w:rFonts w:ascii="Times New Roman" w:eastAsia="Times New Roman" w:hAnsi="Times New Roman" w:cs="Times New Roman"/>
                <w:color w:val="000000"/>
                <w:sz w:val="24"/>
                <w:szCs w:val="24"/>
                <w:lang w:eastAsia="en-GB"/>
              </w:rPr>
              <w:t xml:space="preserve">physical </w:t>
            </w:r>
            <w:r>
              <w:rPr>
                <w:rFonts w:ascii="Times New Roman" w:eastAsia="Times New Roman" w:hAnsi="Times New Roman" w:cs="Times New Roman"/>
                <w:color w:val="000000"/>
                <w:sz w:val="24"/>
                <w:szCs w:val="24"/>
                <w:lang w:eastAsia="en-GB"/>
              </w:rPr>
              <w:t>address of the applicant)</w:t>
            </w:r>
          </w:p>
        </w:tc>
        <w:tc>
          <w:tcPr>
            <w:tcW w:w="5122" w:type="dxa"/>
            <w:gridSpan w:val="2"/>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086"/>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Default="00B65BFE"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 </w:t>
            </w:r>
          </w:p>
        </w:tc>
        <w:tc>
          <w:tcPr>
            <w:tcW w:w="2634" w:type="dxa"/>
            <w:shd w:val="clear" w:color="auto" w:fill="FFFFFF"/>
            <w:vAlign w:val="center"/>
          </w:tcPr>
          <w:p w:rsidR="00B65BFE" w:rsidRDefault="001D6357"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w:t>
            </w:r>
            <w:r w:rsidR="00B65BFE">
              <w:rPr>
                <w:rFonts w:ascii="Times New Roman" w:eastAsia="Times New Roman" w:hAnsi="Times New Roman" w:cs="Times New Roman"/>
                <w:color w:val="000000"/>
                <w:sz w:val="24"/>
                <w:szCs w:val="24"/>
                <w:lang w:eastAsia="en-GB"/>
              </w:rPr>
              <w:t>elephone number</w:t>
            </w:r>
          </w:p>
        </w:tc>
        <w:tc>
          <w:tcPr>
            <w:tcW w:w="5122" w:type="dxa"/>
            <w:gridSpan w:val="2"/>
            <w:shd w:val="clear" w:color="auto" w:fill="FFFFFF"/>
            <w:vAlign w:val="center"/>
          </w:tcPr>
          <w:p w:rsidR="00B65BFE"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20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B65BFE" w:rsidRPr="00685873" w:rsidRDefault="001D6357"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w:t>
            </w:r>
            <w:r w:rsidR="00B65BFE">
              <w:rPr>
                <w:rFonts w:ascii="Times New Roman" w:eastAsia="Times New Roman" w:hAnsi="Times New Roman" w:cs="Times New Roman"/>
                <w:color w:val="000000"/>
                <w:sz w:val="24"/>
                <w:szCs w:val="24"/>
                <w:lang w:eastAsia="en-GB"/>
              </w:rPr>
              <w:t>mail address</w:t>
            </w:r>
          </w:p>
        </w:tc>
        <w:tc>
          <w:tcPr>
            <w:tcW w:w="5122" w:type="dxa"/>
            <w:gridSpan w:val="2"/>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962"/>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852" w:type="dxa"/>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Legal form </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7756" w:type="dxa"/>
            <w:gridSpan w:val="3"/>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Legal form of incorporation under national legislation</w:t>
            </w:r>
          </w:p>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453"/>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852" w:type="dxa"/>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Articles of association </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7756" w:type="dxa"/>
            <w:gridSpan w:val="3"/>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Articles of association and, where available, deed of incorporation</w:t>
            </w:r>
          </w:p>
        </w:tc>
      </w:tr>
      <w:tr w:rsidR="00B65BFE" w:rsidRPr="00685873" w:rsidTr="00685873">
        <w:trPr>
          <w:trHeight w:val="1003"/>
        </w:trPr>
        <w:tc>
          <w:tcPr>
            <w:tcW w:w="1684"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852" w:type="dxa"/>
            <w:vMerge w:val="restart"/>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Programme of operations setting out the types of crowdfunding services that the applicant intends to provide and the crowdfunding platform that it intends to operate, including where and how crowdfunding offers are to be marketed </w:t>
            </w: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types of crowdfunding services</w:t>
            </w:r>
          </w:p>
        </w:tc>
        <w:tc>
          <w:tcPr>
            <w:tcW w:w="5122" w:type="dxa"/>
            <w:gridSpan w:val="2"/>
            <w:shd w:val="clear" w:color="auto" w:fill="FFFFFF"/>
            <w:vAlign w:val="center"/>
            <w:hideMark/>
          </w:tcPr>
          <w:p w:rsidR="00B65BFE" w:rsidRPr="00685873" w:rsidRDefault="00B65BFE" w:rsidP="00B65BFE">
            <w:pPr>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The applicant shall indicate:</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crowdfunding services that the applicant intends to provide (cross as appropriate):</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51401809"/>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Facilitation of granting of loans, which includes the provision of relevant information such as default rates of loans</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106808065"/>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Placing without a firm commitment basis of transferable securities and admitted instruments for crowdfunding purposes and the reception and transmission of orders in relation to those transferable securities and admitted instruments</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(Where the applicant intends to provide</w:t>
            </w:r>
            <w:r w:rsidR="003B4E56">
              <w:rPr>
                <w:rFonts w:ascii="Times New Roman" w:eastAsia="Times New Roman" w:hAnsi="Times New Roman" w:cs="Times New Roman"/>
                <w:sz w:val="24"/>
                <w:szCs w:val="24"/>
                <w:lang w:eastAsia="en-GB"/>
              </w:rPr>
              <w:t xml:space="preserve"> </w:t>
            </w:r>
            <w:r w:rsidRPr="00685873">
              <w:rPr>
                <w:rFonts w:ascii="Times New Roman" w:eastAsia="Times New Roman" w:hAnsi="Times New Roman" w:cs="Times New Roman"/>
                <w:sz w:val="24"/>
                <w:szCs w:val="24"/>
                <w:lang w:eastAsia="en-GB"/>
              </w:rPr>
              <w:t xml:space="preserve">facilitation of granting of loans) </w:t>
            </w:r>
            <w:r w:rsidR="00AD22F1">
              <w:rPr>
                <w:rFonts w:ascii="Times New Roman" w:eastAsia="Times New Roman" w:hAnsi="Times New Roman" w:cs="Times New Roman"/>
                <w:sz w:val="24"/>
                <w:szCs w:val="24"/>
                <w:lang w:eastAsia="en-GB"/>
              </w:rPr>
              <w:t>A</w:t>
            </w:r>
            <w:r w:rsidRPr="00685873">
              <w:rPr>
                <w:rFonts w:ascii="Times New Roman" w:eastAsia="Times New Roman" w:hAnsi="Times New Roman" w:cs="Times New Roman"/>
                <w:sz w:val="24"/>
                <w:szCs w:val="24"/>
                <w:lang w:eastAsia="en-GB"/>
              </w:rPr>
              <w:t xml:space="preserve"> description of the internal arrangements for the provision of </w:t>
            </w:r>
            <w:r w:rsidR="00AD22F1">
              <w:rPr>
                <w:rFonts w:ascii="Times New Roman" w:eastAsia="Times New Roman" w:hAnsi="Times New Roman" w:cs="Times New Roman"/>
                <w:sz w:val="24"/>
                <w:szCs w:val="24"/>
                <w:lang w:eastAsia="en-GB"/>
              </w:rPr>
              <w:t>facilitation of loans</w:t>
            </w:r>
            <w:r w:rsidRPr="00685873">
              <w:rPr>
                <w:rFonts w:ascii="Times New Roman" w:eastAsia="Times New Roman" w:hAnsi="Times New Roman" w:cs="Times New Roman"/>
                <w:sz w:val="24"/>
                <w:szCs w:val="24"/>
                <w:lang w:eastAsia="en-GB"/>
              </w:rPr>
              <w:t xml:space="preserve"> and a description of the contractual arrangements that the applicant will establish with project owners and with investors (with </w:t>
            </w:r>
            <w:proofErr w:type="gramStart"/>
            <w:r w:rsidRPr="00685873">
              <w:rPr>
                <w:rFonts w:ascii="Times New Roman" w:eastAsia="Times New Roman" w:hAnsi="Times New Roman" w:cs="Times New Roman"/>
                <w:sz w:val="24"/>
                <w:szCs w:val="24"/>
                <w:lang w:eastAsia="en-GB"/>
              </w:rPr>
              <w:t>particular reference</w:t>
            </w:r>
            <w:proofErr w:type="gramEnd"/>
            <w:r w:rsidRPr="00685873">
              <w:rPr>
                <w:rFonts w:ascii="Times New Roman" w:eastAsia="Times New Roman" w:hAnsi="Times New Roman" w:cs="Times New Roman"/>
                <w:sz w:val="24"/>
                <w:szCs w:val="24"/>
                <w:lang w:eastAsia="en-GB"/>
              </w:rPr>
              <w:t xml:space="preserve"> to the mandates that investors will give to the applicant) </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Other services or activities that the prospective crowdfunding service provider intends to provide (cross as appropriate):</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448264"/>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Asset safekeeping </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756232645"/>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Payment services </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86944331"/>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Use of special purpose vehicles for the provision of crowdfunding services </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923571730"/>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Application of credit scores to crowdfunding projects</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59573945"/>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Suggestion of the price and / or the interest rate of crowdfunding offers</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43942350"/>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B65BFE" w:rsidRPr="00685873">
              <w:rPr>
                <w:rFonts w:ascii="Times New Roman" w:eastAsia="Times New Roman" w:hAnsi="Times New Roman" w:cs="Times New Roman"/>
                <w:sz w:val="24"/>
                <w:szCs w:val="24"/>
                <w:lang w:eastAsia="en-GB"/>
              </w:rPr>
              <w:t xml:space="preserve"> Operating a bulletin board</w:t>
            </w:r>
          </w:p>
          <w:p w:rsidR="00B65BFE" w:rsidRPr="00685873" w:rsidRDefault="00055711" w:rsidP="00B65BFE">
            <w:pPr>
              <w:spacing w:after="250" w:line="276" w:lineRule="auto"/>
              <w:ind w:left="968"/>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61261908"/>
                <w14:checkbox>
                  <w14:checked w14:val="0"/>
                  <w14:checkedState w14:val="2612" w14:font="MS Gothic"/>
                  <w14:uncheckedState w14:val="2610" w14:font="MS Gothic"/>
                </w14:checkbox>
              </w:sdtPr>
              <w:sdtEndPr/>
              <w:sdtContent>
                <w:r w:rsidR="00B65BFE" w:rsidRPr="00685873">
                  <w:rPr>
                    <w:rFonts w:ascii="Segoe UI Symbol" w:eastAsia="Times New Roman" w:hAnsi="Segoe UI Symbol" w:cs="Segoe UI Symbol"/>
                    <w:sz w:val="24"/>
                    <w:szCs w:val="24"/>
                    <w:lang w:eastAsia="en-GB"/>
                  </w:rPr>
                  <w:t>☐</w:t>
                </w:r>
              </w:sdtContent>
            </w:sdt>
            <w:r w:rsidR="00536F13">
              <w:rPr>
                <w:rFonts w:ascii="Times New Roman" w:eastAsia="Times New Roman" w:hAnsi="Times New Roman" w:cs="Times New Roman"/>
                <w:sz w:val="24"/>
                <w:szCs w:val="24"/>
                <w:lang w:eastAsia="en-GB"/>
              </w:rPr>
              <w:t xml:space="preserve"> </w:t>
            </w:r>
            <w:r w:rsidR="00B65BFE" w:rsidRPr="00685873">
              <w:rPr>
                <w:rFonts w:ascii="Times New Roman" w:eastAsia="Times New Roman" w:hAnsi="Times New Roman" w:cs="Times New Roman"/>
                <w:sz w:val="24"/>
                <w:szCs w:val="24"/>
                <w:lang w:eastAsia="en-GB"/>
              </w:rPr>
              <w:t>Establishing and operating contingency funds</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types of offers that the </w:t>
            </w:r>
            <w:r w:rsidR="00AD22F1">
              <w:rPr>
                <w:rFonts w:ascii="Times New Roman" w:eastAsia="Times New Roman" w:hAnsi="Times New Roman" w:cs="Times New Roman"/>
                <w:sz w:val="24"/>
                <w:szCs w:val="24"/>
                <w:lang w:eastAsia="en-GB"/>
              </w:rPr>
              <w:t>applicant</w:t>
            </w:r>
            <w:r w:rsidRPr="00685873">
              <w:rPr>
                <w:rFonts w:ascii="Times New Roman" w:eastAsia="Times New Roman" w:hAnsi="Times New Roman" w:cs="Times New Roman"/>
                <w:sz w:val="24"/>
                <w:szCs w:val="24"/>
                <w:lang w:eastAsia="en-GB"/>
              </w:rPr>
              <w:t xml:space="preserve"> plans to present (such as loan-based projects, equity-based projects, the type of sector or business activity, the</w:t>
            </w:r>
            <w:r w:rsidR="00CF113E">
              <w:rPr>
                <w:rFonts w:ascii="Times New Roman" w:eastAsia="Times New Roman" w:hAnsi="Times New Roman" w:cs="Times New Roman"/>
                <w:sz w:val="24"/>
                <w:szCs w:val="24"/>
                <w:lang w:eastAsia="en-GB"/>
              </w:rPr>
              <w:t xml:space="preserve"> type of</w:t>
            </w:r>
            <w:r w:rsidRPr="00685873">
              <w:rPr>
                <w:rFonts w:ascii="Times New Roman" w:eastAsia="Times New Roman" w:hAnsi="Times New Roman" w:cs="Times New Roman"/>
                <w:sz w:val="24"/>
                <w:szCs w:val="24"/>
                <w:lang w:eastAsia="en-GB"/>
              </w:rPr>
              <w:t xml:space="preserve"> </w:t>
            </w:r>
            <w:r w:rsidR="00CF113E">
              <w:rPr>
                <w:rFonts w:ascii="Times New Roman" w:eastAsia="Times New Roman" w:hAnsi="Times New Roman" w:cs="Times New Roman"/>
                <w:sz w:val="24"/>
                <w:szCs w:val="24"/>
                <w:lang w:eastAsia="en-GB"/>
              </w:rPr>
              <w:t>investments</w:t>
            </w:r>
            <w:r w:rsidRPr="00685873">
              <w:rPr>
                <w:rFonts w:ascii="Times New Roman" w:eastAsia="Times New Roman" w:hAnsi="Times New Roman" w:cs="Times New Roman"/>
                <w:sz w:val="24"/>
                <w:szCs w:val="24"/>
                <w:lang w:eastAsia="en-GB"/>
              </w:rPr>
              <w:t xml:space="preserve"> to be </w:t>
            </w:r>
            <w:r w:rsidR="00DE6382">
              <w:rPr>
                <w:rFonts w:ascii="Times New Roman" w:eastAsia="Times New Roman" w:hAnsi="Times New Roman" w:cs="Times New Roman"/>
                <w:sz w:val="24"/>
                <w:szCs w:val="24"/>
                <w:lang w:eastAsia="en-GB"/>
              </w:rPr>
              <w:t>offered on the crowdfunding platform</w:t>
            </w:r>
            <w:r w:rsidR="006462B8">
              <w:rPr>
                <w:rFonts w:ascii="Times New Roman" w:eastAsia="Times New Roman" w:hAnsi="Times New Roman" w:cs="Times New Roman"/>
                <w:sz w:val="24"/>
                <w:szCs w:val="24"/>
                <w:lang w:eastAsia="en-GB"/>
              </w:rPr>
              <w:t xml:space="preserve">, </w:t>
            </w:r>
            <w:r w:rsidR="006462B8" w:rsidRPr="006462B8">
              <w:rPr>
                <w:rFonts w:ascii="Times New Roman" w:eastAsia="Times New Roman" w:hAnsi="Times New Roman" w:cs="Times New Roman"/>
                <w:sz w:val="24"/>
                <w:szCs w:val="24"/>
                <w:lang w:eastAsia="en-GB"/>
              </w:rPr>
              <w:t>and types of investors targeted</w:t>
            </w:r>
            <w:r w:rsidRPr="00685873">
              <w:rPr>
                <w:rFonts w:ascii="Times New Roman" w:eastAsia="Times New Roman" w:hAnsi="Times New Roman" w:cs="Times New Roman"/>
                <w:sz w:val="24"/>
                <w:szCs w:val="24"/>
                <w:lang w:eastAsia="en-GB"/>
              </w:rPr>
              <w:t>)</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selection procedure setting out the details of the methods adopted to select the offers to be presented on the crowdfunding platform, including the nature and the extent of the due diligence undertaken in respect of project owners </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arrangements to make public the offers on the crowdfunding platform and how the interests of investors for a crowdfunding project will be communicated to the relevant project owner</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Any other services/activities currently (or intended to be) provided by the applicant not covered by Regulation (EU) 2020/1503 that may be provided according to Union or national law including references to and a copy of the relevant authorisations (where applicable)</w:t>
            </w:r>
          </w:p>
        </w:tc>
      </w:tr>
      <w:tr w:rsidR="00B65BFE" w:rsidRPr="00685873" w:rsidTr="00685873">
        <w:trPr>
          <w:trHeight w:val="1705"/>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Information on the crowdfunding platform </w:t>
            </w:r>
          </w:p>
        </w:tc>
        <w:tc>
          <w:tcPr>
            <w:tcW w:w="5122" w:type="dxa"/>
            <w:gridSpan w:val="2"/>
            <w:shd w:val="clear" w:color="auto" w:fill="FFFFFF"/>
            <w:vAlign w:val="center"/>
            <w:hideMark/>
          </w:tcPr>
          <w:p w:rsidR="00B65BFE" w:rsidRPr="00685873" w:rsidRDefault="00B65BFE" w:rsidP="00B65BFE">
            <w:pPr>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w:t>
            </w:r>
          </w:p>
          <w:p w:rsidR="00B65BFE" w:rsidRPr="00685873" w:rsidRDefault="00B65BFE" w:rsidP="00B65BFE">
            <w:pPr>
              <w:numPr>
                <w:ilvl w:val="0"/>
                <w:numId w:val="16"/>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arrangements to make the information </w:t>
            </w:r>
            <w:r w:rsidR="00AD22F1">
              <w:rPr>
                <w:rFonts w:ascii="Times New Roman" w:eastAsia="Times New Roman" w:hAnsi="Times New Roman" w:cs="Times New Roman"/>
                <w:sz w:val="24"/>
                <w:szCs w:val="24"/>
                <w:lang w:eastAsia="en-GB"/>
              </w:rPr>
              <w:t xml:space="preserve">referred to in </w:t>
            </w:r>
            <w:r w:rsidR="00AD22F1" w:rsidRPr="00685873">
              <w:rPr>
                <w:rFonts w:ascii="Times New Roman" w:eastAsia="Times New Roman" w:hAnsi="Times New Roman" w:cs="Times New Roman"/>
                <w:sz w:val="24"/>
                <w:szCs w:val="24"/>
                <w:lang w:eastAsia="en-GB"/>
              </w:rPr>
              <w:t>Article 19 of Regulation (EU) 2020/1503</w:t>
            </w:r>
            <w:r w:rsidR="00AD22F1">
              <w:rPr>
                <w:rFonts w:ascii="Times New Roman" w:eastAsia="Times New Roman" w:hAnsi="Times New Roman" w:cs="Times New Roman"/>
                <w:sz w:val="24"/>
                <w:szCs w:val="24"/>
                <w:lang w:eastAsia="en-GB"/>
              </w:rPr>
              <w:t xml:space="preserve"> available on </w:t>
            </w:r>
            <w:r w:rsidRPr="00685873">
              <w:rPr>
                <w:rFonts w:ascii="Times New Roman" w:eastAsia="Times New Roman" w:hAnsi="Times New Roman" w:cs="Times New Roman"/>
                <w:sz w:val="24"/>
                <w:szCs w:val="24"/>
                <w:lang w:eastAsia="en-GB"/>
              </w:rPr>
              <w:t xml:space="preserve">the website of </w:t>
            </w:r>
            <w:r w:rsidR="00AD22F1">
              <w:rPr>
                <w:rFonts w:ascii="Times New Roman" w:eastAsia="Times New Roman" w:hAnsi="Times New Roman" w:cs="Times New Roman"/>
                <w:sz w:val="24"/>
                <w:szCs w:val="24"/>
                <w:lang w:eastAsia="en-GB"/>
              </w:rPr>
              <w:t>the applicant’s</w:t>
            </w:r>
            <w:r w:rsidR="00AD22F1" w:rsidRPr="00685873">
              <w:rPr>
                <w:rFonts w:ascii="Times New Roman" w:eastAsia="Times New Roman" w:hAnsi="Times New Roman" w:cs="Times New Roman"/>
                <w:sz w:val="24"/>
                <w:szCs w:val="24"/>
                <w:lang w:eastAsia="en-GB"/>
              </w:rPr>
              <w:t xml:space="preserve"> </w:t>
            </w:r>
            <w:r w:rsidRPr="00685873">
              <w:rPr>
                <w:rFonts w:ascii="Times New Roman" w:eastAsia="Times New Roman" w:hAnsi="Times New Roman" w:cs="Times New Roman"/>
                <w:sz w:val="24"/>
                <w:szCs w:val="24"/>
                <w:lang w:eastAsia="en-GB"/>
              </w:rPr>
              <w:t xml:space="preserve">crowdfunding platform, including relevant IT arrangements </w:t>
            </w:r>
          </w:p>
          <w:p w:rsidR="00B65BFE" w:rsidRPr="00685873" w:rsidRDefault="00B65BFE" w:rsidP="00B65BFE">
            <w:pPr>
              <w:numPr>
                <w:ilvl w:val="0"/>
                <w:numId w:val="16"/>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arrangements to make the crowdfunding platform an internet-based information system, publicly accessible and without discriminatory access </w:t>
            </w:r>
          </w:p>
          <w:p w:rsidR="00B65BFE" w:rsidRPr="00685873" w:rsidRDefault="00230908"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230908">
              <w:rPr>
                <w:rFonts w:ascii="Times New Roman" w:eastAsia="Times New Roman" w:hAnsi="Times New Roman" w:cs="Times New Roman"/>
                <w:sz w:val="24"/>
                <w:szCs w:val="24"/>
                <w:lang w:eastAsia="en-GB"/>
              </w:rPr>
              <w:t xml:space="preserve">the procedures and arrangements for the prompt, fair and expeditious provision of the crowdfunding services, including the description </w:t>
            </w:r>
            <w:proofErr w:type="gramStart"/>
            <w:r w:rsidRPr="00230908">
              <w:rPr>
                <w:rFonts w:ascii="Times New Roman" w:eastAsia="Times New Roman" w:hAnsi="Times New Roman" w:cs="Times New Roman"/>
                <w:sz w:val="24"/>
                <w:szCs w:val="24"/>
                <w:lang w:eastAsia="en-GB"/>
              </w:rPr>
              <w:t>of:</w:t>
            </w:r>
            <w:proofErr w:type="gramEnd"/>
            <w:r w:rsidRPr="00230908">
              <w:rPr>
                <w:rFonts w:ascii="Times New Roman" w:eastAsia="Times New Roman" w:hAnsi="Times New Roman" w:cs="Times New Roman"/>
                <w:sz w:val="24"/>
                <w:szCs w:val="24"/>
                <w:lang w:eastAsia="en-GB"/>
              </w:rPr>
              <w:t xml:space="preserve"> the procedures for the </w:t>
            </w:r>
            <w:r w:rsidR="00620610">
              <w:rPr>
                <w:rFonts w:ascii="Times New Roman" w:eastAsia="Times New Roman" w:hAnsi="Times New Roman" w:cs="Times New Roman"/>
                <w:sz w:val="24"/>
                <w:szCs w:val="24"/>
                <w:lang w:eastAsia="en-GB"/>
              </w:rPr>
              <w:t xml:space="preserve">reception and </w:t>
            </w:r>
            <w:r w:rsidRPr="00230908">
              <w:rPr>
                <w:rFonts w:ascii="Times New Roman" w:eastAsia="Times New Roman" w:hAnsi="Times New Roman" w:cs="Times New Roman"/>
                <w:sz w:val="24"/>
                <w:szCs w:val="24"/>
                <w:lang w:eastAsia="en-GB"/>
              </w:rPr>
              <w:t xml:space="preserve">transmission of </w:t>
            </w:r>
            <w:r w:rsidR="00620610">
              <w:rPr>
                <w:rFonts w:ascii="Times New Roman" w:eastAsia="Times New Roman" w:hAnsi="Times New Roman" w:cs="Times New Roman"/>
                <w:sz w:val="24"/>
                <w:szCs w:val="24"/>
                <w:lang w:eastAsia="en-GB"/>
              </w:rPr>
              <w:t xml:space="preserve">client </w:t>
            </w:r>
            <w:r w:rsidRPr="00230908">
              <w:rPr>
                <w:rFonts w:ascii="Times New Roman" w:eastAsia="Times New Roman" w:hAnsi="Times New Roman" w:cs="Times New Roman"/>
                <w:sz w:val="24"/>
                <w:szCs w:val="24"/>
                <w:lang w:eastAsia="en-GB"/>
              </w:rPr>
              <w:t xml:space="preserve">orders; the systems for processing such orders; and how these procedures and arrangements allow for the </w:t>
            </w:r>
            <w:r w:rsidR="008560B6">
              <w:rPr>
                <w:rFonts w:ascii="Times New Roman" w:eastAsia="Times New Roman" w:hAnsi="Times New Roman" w:cs="Times New Roman"/>
                <w:sz w:val="24"/>
                <w:szCs w:val="24"/>
                <w:lang w:eastAsia="en-GB"/>
              </w:rPr>
              <w:t xml:space="preserve">reception and transmission and </w:t>
            </w:r>
            <w:r w:rsidRPr="00230908">
              <w:rPr>
                <w:rFonts w:ascii="Times New Roman" w:eastAsia="Times New Roman" w:hAnsi="Times New Roman" w:cs="Times New Roman"/>
                <w:sz w:val="24"/>
                <w:szCs w:val="24"/>
                <w:lang w:eastAsia="en-GB"/>
              </w:rPr>
              <w:t xml:space="preserve">execution of the </w:t>
            </w:r>
            <w:r w:rsidR="00620610">
              <w:rPr>
                <w:rFonts w:ascii="Times New Roman" w:eastAsia="Times New Roman" w:hAnsi="Times New Roman" w:cs="Times New Roman"/>
                <w:sz w:val="24"/>
                <w:szCs w:val="24"/>
                <w:lang w:eastAsia="en-GB"/>
              </w:rPr>
              <w:t xml:space="preserve">client </w:t>
            </w:r>
            <w:r w:rsidRPr="00230908">
              <w:rPr>
                <w:rFonts w:ascii="Times New Roman" w:eastAsia="Times New Roman" w:hAnsi="Times New Roman" w:cs="Times New Roman"/>
                <w:sz w:val="24"/>
                <w:szCs w:val="24"/>
                <w:lang w:eastAsia="en-GB"/>
              </w:rPr>
              <w:t>orders on an equal basis.</w:t>
            </w:r>
          </w:p>
          <w:p w:rsidR="00B65BFE" w:rsidRPr="00685873" w:rsidRDefault="00B65BFE" w:rsidP="00B65BFE">
            <w:pPr>
              <w:numPr>
                <w:ilvl w:val="0"/>
                <w:numId w:val="1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 xml:space="preserve">mechanisms that the </w:t>
            </w:r>
            <w:r w:rsidR="00620610">
              <w:rPr>
                <w:rFonts w:ascii="Times New Roman" w:eastAsia="Times New Roman" w:hAnsi="Times New Roman" w:cs="Times New Roman"/>
                <w:sz w:val="24"/>
                <w:szCs w:val="24"/>
                <w:lang w:eastAsia="en-GB"/>
              </w:rPr>
              <w:t>applicant</w:t>
            </w:r>
            <w:r w:rsidRPr="00685873">
              <w:rPr>
                <w:rFonts w:ascii="Times New Roman" w:eastAsia="Times New Roman" w:hAnsi="Times New Roman" w:cs="Times New Roman"/>
                <w:sz w:val="24"/>
                <w:szCs w:val="24"/>
                <w:lang w:eastAsia="en-GB"/>
              </w:rPr>
              <w:t xml:space="preserve"> plans to implement to facilitate the information flows between the project owner and the investors, or between the investors, if applicable</w:t>
            </w:r>
          </w:p>
        </w:tc>
      </w:tr>
      <w:tr w:rsidR="00B65BFE" w:rsidRPr="00685873" w:rsidTr="00685873">
        <w:trPr>
          <w:trHeight w:val="2573"/>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Marketing strategy </w:t>
            </w:r>
          </w:p>
        </w:tc>
        <w:tc>
          <w:tcPr>
            <w:tcW w:w="5122" w:type="dxa"/>
            <w:gridSpan w:val="2"/>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marketing strategy that the prospective crowdfunding service provider plans to use in the Union, including languages of the marketing communications; identification of the Member States where advertisements will be most visible in media and</w:t>
            </w:r>
            <w:r w:rsidR="00640659">
              <w:rPr>
                <w:rFonts w:ascii="Times New Roman" w:eastAsia="Times New Roman" w:hAnsi="Times New Roman" w:cs="Times New Roman"/>
                <w:color w:val="000000"/>
                <w:sz w:val="24"/>
                <w:szCs w:val="24"/>
                <w:lang w:eastAsia="en-GB"/>
              </w:rPr>
              <w:t xml:space="preserve"> </w:t>
            </w:r>
            <w:r w:rsidR="007C426A">
              <w:rPr>
                <w:rFonts w:ascii="Times New Roman" w:eastAsia="Times New Roman" w:hAnsi="Times New Roman" w:cs="Times New Roman"/>
                <w:color w:val="000000"/>
                <w:sz w:val="24"/>
                <w:szCs w:val="24"/>
                <w:lang w:eastAsia="en-GB"/>
              </w:rPr>
              <w:t xml:space="preserve">the </w:t>
            </w:r>
            <w:r w:rsidRPr="00685873">
              <w:rPr>
                <w:rFonts w:ascii="Times New Roman" w:eastAsia="Times New Roman" w:hAnsi="Times New Roman" w:cs="Times New Roman"/>
                <w:color w:val="000000"/>
                <w:sz w:val="24"/>
                <w:szCs w:val="24"/>
                <w:lang w:eastAsia="en-GB"/>
              </w:rPr>
              <w:t xml:space="preserve">expected </w:t>
            </w:r>
            <w:r w:rsidR="007C426A">
              <w:rPr>
                <w:rFonts w:ascii="Times New Roman" w:eastAsia="Times New Roman" w:hAnsi="Times New Roman" w:cs="Times New Roman"/>
                <w:color w:val="000000"/>
                <w:sz w:val="24"/>
                <w:szCs w:val="24"/>
                <w:lang w:eastAsia="en-GB"/>
              </w:rPr>
              <w:t xml:space="preserve">means of communication that will be used </w:t>
            </w:r>
          </w:p>
        </w:tc>
      </w:tr>
      <w:tr w:rsidR="00B65BFE" w:rsidRPr="00685873" w:rsidTr="00685873">
        <w:trPr>
          <w:trHeight w:val="4961"/>
        </w:trPr>
        <w:tc>
          <w:tcPr>
            <w:tcW w:w="1684"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852" w:type="dxa"/>
            <w:vMerge w:val="restart"/>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governance arrangements and internal control mechanism to ensure compliance with Regulation (EU) 2020/1503, including risk-management and accounting procedures</w:t>
            </w: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Governance arrangements</w:t>
            </w:r>
          </w:p>
        </w:tc>
        <w:tc>
          <w:tcPr>
            <w:tcW w:w="5122" w:type="dxa"/>
            <w:gridSpan w:val="2"/>
            <w:shd w:val="clear" w:color="auto" w:fill="FFFFFF"/>
          </w:tcPr>
          <w:p w:rsidR="00B65BFE" w:rsidRPr="00685873" w:rsidRDefault="00B65BFE" w:rsidP="00B65BFE">
            <w:pPr>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w:t>
            </w:r>
          </w:p>
          <w:p w:rsidR="00B65BFE" w:rsidRPr="00685873" w:rsidRDefault="00B65BFE" w:rsidP="00B65BFE">
            <w:pPr>
              <w:numPr>
                <w:ilvl w:val="0"/>
                <w:numId w:val="11"/>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internal structure of the applicant (organisational </w:t>
            </w:r>
            <w:r w:rsidR="005C7DBB" w:rsidRPr="00685873">
              <w:rPr>
                <w:rFonts w:ascii="Times New Roman" w:eastAsia="Times New Roman" w:hAnsi="Times New Roman" w:cs="Times New Roman"/>
                <w:sz w:val="24"/>
                <w:szCs w:val="24"/>
                <w:lang w:eastAsia="en-GB"/>
              </w:rPr>
              <w:t>chart, etc.</w:t>
            </w:r>
            <w:r w:rsidRPr="00685873">
              <w:rPr>
                <w:rFonts w:ascii="Times New Roman" w:eastAsia="Times New Roman" w:hAnsi="Times New Roman" w:cs="Times New Roman"/>
                <w:sz w:val="24"/>
                <w:szCs w:val="24"/>
                <w:lang w:eastAsia="en-GB"/>
              </w:rPr>
              <w:t xml:space="preserve">) with indication of the distribution of the tasks and powers and the relevant reporting lines, the control arrangements implemented and any other useful information to illustrate the applicant’s operational features, </w:t>
            </w:r>
            <w:proofErr w:type="gramStart"/>
            <w:r w:rsidRPr="00685873">
              <w:rPr>
                <w:rFonts w:ascii="Times New Roman" w:eastAsia="Times New Roman" w:hAnsi="Times New Roman" w:cs="Times New Roman"/>
                <w:sz w:val="24"/>
                <w:szCs w:val="24"/>
                <w:lang w:eastAsia="en-GB"/>
              </w:rPr>
              <w:t>policies</w:t>
            </w:r>
            <w:proofErr w:type="gramEnd"/>
            <w:r w:rsidRPr="00685873">
              <w:rPr>
                <w:rFonts w:ascii="Times New Roman" w:eastAsia="Times New Roman" w:hAnsi="Times New Roman" w:cs="Times New Roman"/>
                <w:sz w:val="24"/>
                <w:szCs w:val="24"/>
                <w:lang w:eastAsia="en-GB"/>
              </w:rPr>
              <w:t xml:space="preserve"> and procedures to ensure effective and prudent management</w:t>
            </w:r>
          </w:p>
          <w:p w:rsidR="00B65BFE" w:rsidRPr="00685873" w:rsidRDefault="00B65BFE" w:rsidP="00B65BFE">
            <w:pPr>
              <w:numPr>
                <w:ilvl w:val="0"/>
                <w:numId w:val="11"/>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The staff-recruitment plan, if any, for the next three years and the relative state of implementation, or indication of the personnel in office to be used for carrying out the services</w:t>
            </w:r>
          </w:p>
        </w:tc>
      </w:tr>
      <w:tr w:rsidR="00B65BFE" w:rsidRPr="00685873" w:rsidTr="00685873">
        <w:trPr>
          <w:trHeight w:val="2562"/>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hideMark/>
          </w:tcPr>
          <w:p w:rsidR="00B65BFE" w:rsidRPr="00685873" w:rsidRDefault="00B65BFE" w:rsidP="00B65BFE">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Internal control mechanisms</w:t>
            </w:r>
          </w:p>
        </w:tc>
        <w:tc>
          <w:tcPr>
            <w:tcW w:w="5122" w:type="dxa"/>
            <w:gridSpan w:val="2"/>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internal control mechanism (such as compliance function and risk management function, where established) put in place by the applicant, </w:t>
            </w:r>
            <w:proofErr w:type="gramStart"/>
            <w:r w:rsidRPr="00685873">
              <w:rPr>
                <w:rFonts w:ascii="Times New Roman" w:eastAsia="Times New Roman" w:hAnsi="Times New Roman" w:cs="Times New Roman"/>
                <w:color w:val="000000"/>
                <w:sz w:val="24"/>
                <w:szCs w:val="24"/>
                <w:lang w:eastAsia="en-GB"/>
              </w:rPr>
              <w:t>in order to</w:t>
            </w:r>
            <w:proofErr w:type="gramEnd"/>
            <w:r w:rsidRPr="00685873">
              <w:rPr>
                <w:rFonts w:ascii="Times New Roman" w:eastAsia="Times New Roman" w:hAnsi="Times New Roman" w:cs="Times New Roman"/>
                <w:color w:val="000000"/>
                <w:sz w:val="24"/>
                <w:szCs w:val="24"/>
                <w:lang w:eastAsia="en-GB"/>
              </w:rPr>
              <w:t xml:space="preserve"> monitor and to ensure compliance of its procedures to the Regulation (EU) No 2020/1503, including information on reporting to the management body</w:t>
            </w:r>
          </w:p>
        </w:tc>
      </w:tr>
      <w:tr w:rsidR="00B65BFE" w:rsidRPr="00685873" w:rsidTr="00685873">
        <w:trPr>
          <w:trHeight w:val="483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 management</w:t>
            </w:r>
          </w:p>
        </w:tc>
        <w:tc>
          <w:tcPr>
            <w:tcW w:w="5122" w:type="dxa"/>
            <w:gridSpan w:val="2"/>
            <w:shd w:val="clear" w:color="auto" w:fill="FFFFFF"/>
            <w:vAlign w:val="center"/>
            <w:hideMark/>
          </w:tcPr>
          <w:p w:rsidR="00B65BFE" w:rsidRPr="00685873" w:rsidRDefault="00B65BFE" w:rsidP="00B65BF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 mapping of the risks identified by the applicant and a description of risk management policies and procedures to identify, </w:t>
            </w:r>
            <w:proofErr w:type="gramStart"/>
            <w:r w:rsidRPr="00685873">
              <w:rPr>
                <w:rFonts w:ascii="Times New Roman" w:eastAsia="Times New Roman" w:hAnsi="Times New Roman" w:cs="Times New Roman"/>
                <w:color w:val="000000"/>
                <w:sz w:val="24"/>
                <w:szCs w:val="24"/>
                <w:lang w:eastAsia="en-GB"/>
              </w:rPr>
              <w:t>manage</w:t>
            </w:r>
            <w:proofErr w:type="gramEnd"/>
            <w:r w:rsidRPr="00685873">
              <w:rPr>
                <w:rFonts w:ascii="Times New Roman" w:eastAsia="Times New Roman" w:hAnsi="Times New Roman" w:cs="Times New Roman"/>
                <w:color w:val="000000"/>
                <w:sz w:val="24"/>
                <w:szCs w:val="24"/>
                <w:lang w:eastAsia="en-GB"/>
              </w:rPr>
              <w:t xml:space="preserve"> and monitor risks related to applicant’s activities, processes and systems, including: </w:t>
            </w:r>
          </w:p>
          <w:p w:rsidR="00B65BFE" w:rsidRPr="00685873" w:rsidRDefault="00B65BFE" w:rsidP="00B65BFE">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B65BFE" w:rsidRPr="00685873" w:rsidRDefault="00B65BFE" w:rsidP="00B65BFE">
            <w:pPr>
              <w:numPr>
                <w:ilvl w:val="0"/>
                <w:numId w:val="21"/>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description of the internal processes and methodologies referred to in Article 6 (2) of Regulation (EU) 2020/1503 (where applicable)</w:t>
            </w:r>
          </w:p>
          <w:p w:rsidR="00B65BFE" w:rsidRPr="00685873" w:rsidRDefault="00B65BFE" w:rsidP="00B65BFE">
            <w:pPr>
              <w:numPr>
                <w:ilvl w:val="0"/>
                <w:numId w:val="21"/>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description of the policy of the contingency fund referred to in Article 6 (5)(b) of Regulation (EU) 2020/1503 (where applicable)</w:t>
            </w:r>
          </w:p>
        </w:tc>
      </w:tr>
      <w:tr w:rsidR="00B65BFE" w:rsidRPr="00685873" w:rsidTr="00685873">
        <w:trPr>
          <w:trHeight w:val="1428"/>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Accounting procedure</w:t>
            </w:r>
            <w:r w:rsidR="00361F8A">
              <w:rPr>
                <w:rFonts w:ascii="Times New Roman" w:eastAsia="Times New Roman" w:hAnsi="Times New Roman" w:cs="Times New Roman"/>
                <w:color w:val="000000"/>
                <w:sz w:val="24"/>
                <w:szCs w:val="24"/>
                <w:lang w:eastAsia="en-GB"/>
              </w:rPr>
              <w:t>s</w:t>
            </w:r>
          </w:p>
        </w:tc>
        <w:tc>
          <w:tcPr>
            <w:tcW w:w="5122" w:type="dxa"/>
            <w:gridSpan w:val="2"/>
            <w:shd w:val="clear" w:color="auto" w:fill="FFFFFF"/>
            <w:vAlign w:val="center"/>
            <w:hideMark/>
          </w:tcPr>
          <w:p w:rsidR="00B65BFE" w:rsidRPr="00685873" w:rsidRDefault="00B65BFE" w:rsidP="00B65BFE">
            <w:pPr>
              <w:autoSpaceDE w:val="0"/>
              <w:autoSpaceDN w:val="0"/>
              <w:adjustRightInd w:val="0"/>
              <w:spacing w:after="0" w:line="240" w:lineRule="auto"/>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lang w:eastAsia="en-GB"/>
              </w:rPr>
              <w:t>Description of the accounting procedure</w:t>
            </w:r>
            <w:r w:rsidR="00361F8A">
              <w:rPr>
                <w:rFonts w:ascii="Times New Roman" w:eastAsia="Times New Roman" w:hAnsi="Times New Roman" w:cs="Times New Roman"/>
                <w:color w:val="000000"/>
                <w:sz w:val="24"/>
                <w:szCs w:val="24"/>
                <w:lang w:eastAsia="en-GB"/>
              </w:rPr>
              <w:t>s</w:t>
            </w:r>
            <w:r w:rsidRPr="00685873">
              <w:rPr>
                <w:rFonts w:ascii="Times New Roman" w:eastAsia="Times New Roman" w:hAnsi="Times New Roman" w:cs="Times New Roman"/>
                <w:color w:val="000000"/>
                <w:sz w:val="24"/>
                <w:szCs w:val="24"/>
                <w:lang w:eastAsia="en-GB"/>
              </w:rPr>
              <w:t xml:space="preserve"> by which the applicant will record and report its financial information</w:t>
            </w:r>
          </w:p>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139"/>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7</w:t>
            </w:r>
          </w:p>
        </w:tc>
        <w:tc>
          <w:tcPr>
            <w:tcW w:w="2852" w:type="dxa"/>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systems, resources and procedures for the control and safeguarding of the data processing system </w:t>
            </w:r>
          </w:p>
        </w:tc>
        <w:tc>
          <w:tcPr>
            <w:tcW w:w="173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34" w:type="dxa"/>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Safeguarding of data processing system </w:t>
            </w:r>
          </w:p>
        </w:tc>
        <w:tc>
          <w:tcPr>
            <w:tcW w:w="5122" w:type="dxa"/>
            <w:gridSpan w:val="2"/>
            <w:shd w:val="clear" w:color="auto" w:fill="FFFFFF"/>
            <w:vAlign w:val="center"/>
          </w:tcPr>
          <w:p w:rsidR="00B65BFE" w:rsidRPr="00685873" w:rsidRDefault="00B65BFE" w:rsidP="00B65BFE">
            <w:pPr>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w:t>
            </w:r>
          </w:p>
          <w:p w:rsidR="00B65BFE" w:rsidRPr="00685873" w:rsidRDefault="00B65BFE" w:rsidP="00B65BFE">
            <w:pPr>
              <w:numPr>
                <w:ilvl w:val="0"/>
                <w:numId w:val="6"/>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arrangements adopted to ensure the proper handling of the personal data and information received from investors, including the use of clouds</w:t>
            </w:r>
          </w:p>
          <w:p w:rsidR="00B65BFE" w:rsidRPr="00685873" w:rsidRDefault="00B65BFE" w:rsidP="00B65BFE">
            <w:pPr>
              <w:numPr>
                <w:ilvl w:val="0"/>
                <w:numId w:val="6"/>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policy for fraud prevention and privacy/data protection</w:t>
            </w:r>
          </w:p>
          <w:p w:rsidR="00B65BFE" w:rsidRPr="00685873" w:rsidRDefault="00B65BFE" w:rsidP="00B65BFE">
            <w:pPr>
              <w:numPr>
                <w:ilvl w:val="0"/>
                <w:numId w:val="6"/>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locations, </w:t>
            </w:r>
            <w:proofErr w:type="gramStart"/>
            <w:r w:rsidRPr="00685873">
              <w:rPr>
                <w:rFonts w:ascii="Times New Roman" w:eastAsia="Times New Roman" w:hAnsi="Times New Roman" w:cs="Times New Roman"/>
                <w:sz w:val="24"/>
                <w:szCs w:val="24"/>
                <w:lang w:eastAsia="en-GB"/>
              </w:rPr>
              <w:t>methods</w:t>
            </w:r>
            <w:proofErr w:type="gramEnd"/>
            <w:r w:rsidRPr="00685873">
              <w:rPr>
                <w:rFonts w:ascii="Times New Roman" w:eastAsia="Times New Roman" w:hAnsi="Times New Roman" w:cs="Times New Roman"/>
                <w:sz w:val="24"/>
                <w:szCs w:val="24"/>
                <w:lang w:eastAsia="en-GB"/>
              </w:rPr>
              <w:t xml:space="preserve"> and policies for documentation archiving, including the use of clouds</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441961">
        <w:tblPrEx>
          <w:shd w:val="clear" w:color="auto" w:fill="auto"/>
        </w:tblPrEx>
        <w:trPr>
          <w:trHeight w:val="3264"/>
        </w:trPr>
        <w:tc>
          <w:tcPr>
            <w:tcW w:w="1684" w:type="dxa"/>
            <w:vMerge w:val="restart"/>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8</w:t>
            </w:r>
          </w:p>
        </w:tc>
        <w:tc>
          <w:tcPr>
            <w:tcW w:w="2852" w:type="dxa"/>
            <w:vMerge w:val="restart"/>
            <w:shd w:val="clear" w:color="auto" w:fill="auto"/>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operational risks </w:t>
            </w:r>
          </w:p>
        </w:tc>
        <w:tc>
          <w:tcPr>
            <w:tcW w:w="1732"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44" w:type="dxa"/>
            <w:gridSpan w:val="2"/>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related to the IT infrastructure and procedures</w:t>
            </w:r>
          </w:p>
        </w:tc>
        <w:tc>
          <w:tcPr>
            <w:tcW w:w="5112" w:type="dxa"/>
          </w:tcPr>
          <w:p w:rsidR="00B65BFE" w:rsidRPr="00685873" w:rsidRDefault="00B65BFE" w:rsidP="00B65BFE">
            <w:pPr>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identified sources of operational risks and description of procedures, systems and controls adopted by the applicant to manage those operational risks (system reliability, security, integrity, privacy, etc.), including:</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p w:rsidR="00B65BFE" w:rsidRPr="00685873" w:rsidRDefault="00B65BFE" w:rsidP="00B65BF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to avoid operational interruptions</w:t>
            </w:r>
          </w:p>
          <w:p w:rsidR="00B65BFE" w:rsidRPr="00685873" w:rsidRDefault="00B65BFE" w:rsidP="00B65BF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back-up devices in place</w:t>
            </w:r>
          </w:p>
          <w:p w:rsidR="00B65BFE" w:rsidRPr="00685873" w:rsidRDefault="00B65BFE" w:rsidP="00B65BF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measures on safeguards against hackers' attacks</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441961">
        <w:tblPrEx>
          <w:shd w:val="clear" w:color="auto" w:fill="auto"/>
        </w:tblPrEx>
        <w:trPr>
          <w:trHeight w:val="1853"/>
        </w:trPr>
        <w:tc>
          <w:tcPr>
            <w:tcW w:w="1684" w:type="dxa"/>
            <w:vMerge/>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auto"/>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44" w:type="dxa"/>
            <w:gridSpan w:val="2"/>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 related to the determination of the offer</w:t>
            </w:r>
          </w:p>
        </w:tc>
        <w:tc>
          <w:tcPr>
            <w:tcW w:w="5112" w:type="dxa"/>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technical tools and human resources dedicated to the offer determination, in particular the determination of the pricing in accordance with Article 4(4)(d) of the Regulation (EU) 2020/1503</w:t>
            </w:r>
          </w:p>
        </w:tc>
      </w:tr>
      <w:tr w:rsidR="00B65BFE" w:rsidRPr="00685873" w:rsidTr="00441961">
        <w:tblPrEx>
          <w:shd w:val="clear" w:color="auto" w:fill="auto"/>
        </w:tblPrEx>
        <w:trPr>
          <w:trHeight w:val="2389"/>
        </w:trPr>
        <w:tc>
          <w:tcPr>
            <w:tcW w:w="1684" w:type="dxa"/>
            <w:vMerge/>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auto"/>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44" w:type="dxa"/>
            <w:gridSpan w:val="2"/>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related to the asset safekeeping services and to the payment services (where applicable)</w:t>
            </w:r>
          </w:p>
        </w:tc>
        <w:tc>
          <w:tcPr>
            <w:tcW w:w="5112" w:type="dxa"/>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the applicant intends to provide asset safekeeping services and payment services, description of the identified sources of operational risks and description of procedures, systems and controls adopted by the applicant to manage those risks related to those services, including when those services are provided by a third party</w:t>
            </w:r>
          </w:p>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p>
        </w:tc>
      </w:tr>
      <w:tr w:rsidR="00B65BFE" w:rsidRPr="00685873" w:rsidTr="00441961">
        <w:tblPrEx>
          <w:shd w:val="clear" w:color="auto" w:fill="auto"/>
        </w:tblPrEx>
        <w:trPr>
          <w:trHeight w:val="2118"/>
        </w:trPr>
        <w:tc>
          <w:tcPr>
            <w:tcW w:w="1684" w:type="dxa"/>
            <w:vMerge/>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auto"/>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44" w:type="dxa"/>
            <w:gridSpan w:val="2"/>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relating to outsourcing of operational functions</w:t>
            </w:r>
          </w:p>
        </w:tc>
        <w:tc>
          <w:tcPr>
            <w:tcW w:w="5112" w:type="dxa"/>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the applicant intends to rely on a third party for the performance of operational functions, description of the identified sources of operational risks and description of procedures, systems and controls adopted by the applicant to manage those operational risks</w:t>
            </w:r>
          </w:p>
        </w:tc>
      </w:tr>
      <w:tr w:rsidR="00B65BFE" w:rsidRPr="00685873" w:rsidTr="00441961">
        <w:tblPrEx>
          <w:shd w:val="clear" w:color="auto" w:fill="auto"/>
        </w:tblPrEx>
        <w:trPr>
          <w:trHeight w:val="1711"/>
        </w:trPr>
        <w:tc>
          <w:tcPr>
            <w:tcW w:w="1684" w:type="dxa"/>
            <w:vMerge/>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auto"/>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44" w:type="dxa"/>
            <w:gridSpan w:val="2"/>
          </w:tcPr>
          <w:p w:rsidR="00B65BFE" w:rsidRPr="00685873" w:rsidRDefault="00B65BFE" w:rsidP="00B65BFE">
            <w:pPr>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Any other operational risk(s) (where applicable)</w:t>
            </w:r>
          </w:p>
        </w:tc>
        <w:tc>
          <w:tcPr>
            <w:tcW w:w="5112"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any other identified source(s) of operational risks and description of procedures, systems and controls adopted by the applicant to manage those operational risks</w:t>
            </w:r>
          </w:p>
        </w:tc>
      </w:tr>
      <w:tr w:rsidR="00B65BFE" w:rsidRPr="00685873" w:rsidTr="00685873">
        <w:trPr>
          <w:trHeight w:val="1545"/>
        </w:trPr>
        <w:tc>
          <w:tcPr>
            <w:tcW w:w="1684"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9</w:t>
            </w:r>
          </w:p>
        </w:tc>
        <w:tc>
          <w:tcPr>
            <w:tcW w:w="2852"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applicant’s prudential safeguards in accordance with Article 11 of Regulation (EU) 2020/1503</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Prudential safeguards</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The amount of the prudential safeguards that the applicant has in place at the time of the application for authorisation and the description of the assumptions used for its determination</w:t>
            </w:r>
          </w:p>
        </w:tc>
      </w:tr>
      <w:tr w:rsidR="00B65BFE" w:rsidRPr="00685873" w:rsidTr="00685873">
        <w:trPr>
          <w:trHeight w:val="1491"/>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Own funds</w:t>
            </w:r>
          </w:p>
          <w:p w:rsidR="00B65BFE" w:rsidRPr="00685873" w:rsidRDefault="00B65BFE" w:rsidP="00B65BFE">
            <w:pPr>
              <w:spacing w:after="0" w:line="240"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(where applicable)</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The amount of the prudential safeguards covered by own funds </w:t>
            </w:r>
            <w:r w:rsidRPr="00685873">
              <w:rPr>
                <w:rFonts w:ascii="Times New Roman" w:eastAsia="Times New Roman" w:hAnsi="Times New Roman" w:cs="Times New Roman"/>
                <w:color w:val="000000"/>
                <w:sz w:val="24"/>
                <w:szCs w:val="24"/>
                <w:lang w:eastAsia="en-GB"/>
              </w:rPr>
              <w:t xml:space="preserve">referred to in Article 11(2)(a) of Regulation (EU) No 2020/1503 </w:t>
            </w:r>
          </w:p>
        </w:tc>
      </w:tr>
      <w:tr w:rsidR="00B65BFE" w:rsidRPr="00685873" w:rsidTr="00685873">
        <w:trPr>
          <w:trHeight w:val="140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Insurance policy</w:t>
            </w:r>
          </w:p>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applicable)</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amount of the applicant’s prudential safeguards covered by an insurance policy as referred to in Article 11(2)(b) of Regulation (EU) 2020/1503 </w:t>
            </w:r>
          </w:p>
        </w:tc>
      </w:tr>
      <w:tr w:rsidR="00B65BFE" w:rsidRPr="00685873" w:rsidTr="00685873">
        <w:trPr>
          <w:trHeight w:val="140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Forecast calculations and plans </w:t>
            </w:r>
          </w:p>
        </w:tc>
        <w:tc>
          <w:tcPr>
            <w:tcW w:w="5122" w:type="dxa"/>
            <w:gridSpan w:val="2"/>
            <w:shd w:val="clear" w:color="auto" w:fill="FFFFFF"/>
            <w:vAlign w:val="center"/>
          </w:tcPr>
          <w:p w:rsidR="00B65BFE" w:rsidRPr="00685873" w:rsidRDefault="00B65BFE" w:rsidP="00B65BFE">
            <w:pPr>
              <w:numPr>
                <w:ilvl w:val="0"/>
                <w:numId w:val="9"/>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calculation of the applicant’s prudential safeguards for the first three business years</w:t>
            </w:r>
          </w:p>
          <w:p w:rsidR="00B65BFE" w:rsidRPr="00685873" w:rsidRDefault="00B65BFE" w:rsidP="00B65BFE">
            <w:pPr>
              <w:numPr>
                <w:ilvl w:val="0"/>
                <w:numId w:val="9"/>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accounting plans for the first three business years, including</w:t>
            </w:r>
          </w:p>
          <w:p w:rsidR="00B65BFE" w:rsidRPr="00685873" w:rsidRDefault="00B65BFE" w:rsidP="00B65BFE">
            <w:pPr>
              <w:numPr>
                <w:ilvl w:val="1"/>
                <w:numId w:val="2"/>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balance sheets</w:t>
            </w:r>
          </w:p>
          <w:p w:rsidR="00B65BFE" w:rsidRPr="00685873" w:rsidRDefault="00B65BFE" w:rsidP="00B65BFE">
            <w:pPr>
              <w:numPr>
                <w:ilvl w:val="1"/>
                <w:numId w:val="2"/>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profit and loss accounts or income statements</w:t>
            </w:r>
          </w:p>
          <w:p w:rsidR="00B65BFE" w:rsidRPr="00685873" w:rsidRDefault="00B65BFE" w:rsidP="00B65BFE">
            <w:pPr>
              <w:numPr>
                <w:ilvl w:val="0"/>
                <w:numId w:val="9"/>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Planning assumptions for the above forecast as well as explanations of the figures</w:t>
            </w:r>
          </w:p>
        </w:tc>
      </w:tr>
      <w:tr w:rsidR="00B65BFE" w:rsidRPr="00685873" w:rsidTr="00685873">
        <w:trPr>
          <w:trHeight w:val="140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Prudential safeguards planning</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applicant’s prudential safeguards planning and monitoring procedures</w:t>
            </w:r>
          </w:p>
        </w:tc>
      </w:tr>
      <w:tr w:rsidR="00B65BFE" w:rsidRPr="00685873" w:rsidTr="00685873">
        <w:trPr>
          <w:trHeight w:val="2003"/>
        </w:trPr>
        <w:tc>
          <w:tcPr>
            <w:tcW w:w="1684"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10</w:t>
            </w:r>
          </w:p>
        </w:tc>
        <w:tc>
          <w:tcPr>
            <w:tcW w:w="2852"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that the applicant meets the prudential safeguards in accordance with Article 11 of Regulation (EU) 2020/1503</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 funds</w:t>
            </w:r>
          </w:p>
        </w:tc>
        <w:tc>
          <w:tcPr>
            <w:tcW w:w="5122" w:type="dxa"/>
            <w:gridSpan w:val="2"/>
            <w:shd w:val="clear" w:color="auto" w:fill="FFFFFF"/>
            <w:vAlign w:val="center"/>
          </w:tcPr>
          <w:p w:rsidR="00B65BFE" w:rsidRPr="00685873" w:rsidRDefault="00B65BFE" w:rsidP="00B65BF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Documentation of how the applicant has calculated the amount in a way that is compliant with Article 11 of Regulation (EU) No 2020/1503 </w:t>
            </w:r>
          </w:p>
          <w:p w:rsidR="00B65BFE" w:rsidRPr="00685873" w:rsidRDefault="00B65BFE" w:rsidP="00B65BF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For existing undertakings, an audited account statement or public register certifying the amount of own funds of the applicant</w:t>
            </w:r>
          </w:p>
          <w:p w:rsidR="00B65BFE" w:rsidRPr="00685873" w:rsidRDefault="00B65BFE" w:rsidP="00B65BFE">
            <w:pPr>
              <w:numPr>
                <w:ilvl w:val="0"/>
                <w:numId w:val="4"/>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For undertakings in the process of being incorporated, a bank statement issued by a bank certifying that the funds are deposited in the applicant’s bank account</w:t>
            </w:r>
          </w:p>
        </w:tc>
      </w:tr>
      <w:tr w:rsidR="00B65BFE" w:rsidRPr="00685873" w:rsidTr="00685873">
        <w:trPr>
          <w:trHeight w:val="257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Insurance policy</w:t>
            </w:r>
          </w:p>
        </w:tc>
        <w:tc>
          <w:tcPr>
            <w:tcW w:w="5122" w:type="dxa"/>
            <w:gridSpan w:val="2"/>
            <w:shd w:val="clear" w:color="auto" w:fill="FFFFFF"/>
            <w:vAlign w:val="center"/>
          </w:tcPr>
          <w:p w:rsidR="00B65BFE" w:rsidRPr="00685873" w:rsidRDefault="00B65BFE" w:rsidP="00B65BFE">
            <w:pPr>
              <w:numPr>
                <w:ilvl w:val="0"/>
                <w:numId w:val="10"/>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Copy of the subscribed insurance policy incorporating all the elements necessary to comply with Article 11(6) and (7) of Regulation (EU) </w:t>
            </w:r>
            <w:r w:rsidRPr="00685873">
              <w:rPr>
                <w:rFonts w:ascii="Times New Roman" w:eastAsia="Times New Roman" w:hAnsi="Times New Roman" w:cs="Times New Roman"/>
                <w:color w:val="000000"/>
                <w:sz w:val="24"/>
                <w:szCs w:val="24"/>
                <w:lang w:eastAsia="en-GB"/>
              </w:rPr>
              <w:t>2020/1503</w:t>
            </w:r>
            <w:r w:rsidRPr="00685873">
              <w:rPr>
                <w:rFonts w:ascii="Times New Roman" w:eastAsia="Times New Roman" w:hAnsi="Times New Roman" w:cs="Times New Roman"/>
                <w:sz w:val="24"/>
                <w:szCs w:val="24"/>
                <w:lang w:eastAsia="en-GB"/>
              </w:rPr>
              <w:t xml:space="preserve">, where available, or </w:t>
            </w:r>
          </w:p>
          <w:p w:rsidR="00B65BFE" w:rsidRPr="00685873" w:rsidRDefault="00B65BFE" w:rsidP="00B65BFE">
            <w:pPr>
              <w:numPr>
                <w:ilvl w:val="0"/>
                <w:numId w:val="10"/>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Copy of the preliminary insurance agreement incorporating all the elements necessary to comply with Article 11(6) and (7) of Regulation (EU) 2020/1503 signed by an undertaking authorised to provide insurance in accordance with Union law or national law</w:t>
            </w:r>
          </w:p>
        </w:tc>
      </w:tr>
      <w:tr w:rsidR="00B65BFE" w:rsidRPr="00685873" w:rsidTr="00685873">
        <w:tblPrEx>
          <w:shd w:val="clear" w:color="auto" w:fill="auto"/>
        </w:tblPrEx>
        <w:trPr>
          <w:trHeight w:val="3150"/>
        </w:trPr>
        <w:tc>
          <w:tcPr>
            <w:tcW w:w="1684" w:type="dxa"/>
            <w:shd w:val="clear" w:color="000000"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11</w:t>
            </w:r>
          </w:p>
        </w:tc>
        <w:tc>
          <w:tcPr>
            <w:tcW w:w="2852" w:type="dxa"/>
            <w:shd w:val="clear" w:color="000000"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business continuity plan </w:t>
            </w:r>
          </w:p>
        </w:tc>
        <w:tc>
          <w:tcPr>
            <w:tcW w:w="1732" w:type="dxa"/>
            <w:shd w:val="clear" w:color="000000"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000000"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Business continuity plan </w:t>
            </w:r>
          </w:p>
        </w:tc>
        <w:tc>
          <w:tcPr>
            <w:tcW w:w="5112" w:type="dxa"/>
            <w:shd w:val="clear" w:color="000000" w:fill="FFFFFF"/>
            <w:vAlign w:val="center"/>
          </w:tcPr>
          <w:p w:rsidR="00B65BFE" w:rsidRPr="00685873" w:rsidRDefault="00B65BFE" w:rsidP="00B65BFE">
            <w:pPr>
              <w:spacing w:line="240" w:lineRule="auto"/>
              <w:jc w:val="both"/>
              <w:rPr>
                <w:rFonts w:ascii="Times New Roman" w:eastAsia="Arial" w:hAnsi="Times New Roman" w:cs="Times New Roman"/>
                <w:sz w:val="24"/>
                <w:szCs w:val="24"/>
              </w:rPr>
            </w:pPr>
            <w:r w:rsidRPr="00685873">
              <w:rPr>
                <w:rFonts w:ascii="Times New Roman" w:eastAsia="Times New Roman" w:hAnsi="Times New Roman" w:cs="Times New Roman"/>
                <w:color w:val="000000"/>
                <w:sz w:val="24"/>
                <w:szCs w:val="24"/>
                <w:lang w:eastAsia="en-GB"/>
              </w:rPr>
              <w:t xml:space="preserve">Description of the measures and procedures to ensure, in the event of failure of the prospective crowdfunding service provider, the continuity of the provision of critical services related to existing investments and sound administration of agreements between the prospective crowdfunding service provider and its clients, including, where applicable, </w:t>
            </w:r>
            <w:r w:rsidRPr="00685873">
              <w:rPr>
                <w:rFonts w:ascii="Times New Roman" w:eastAsia="Arial" w:hAnsi="Times New Roman" w:cs="Times New Roman"/>
                <w:sz w:val="24"/>
                <w:szCs w:val="24"/>
              </w:rPr>
              <w:t>provisions for the continued servicing of outstanding loans, client notification and handover of asset safekeeping arrangements</w:t>
            </w:r>
          </w:p>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011"/>
        </w:trPr>
        <w:tc>
          <w:tcPr>
            <w:tcW w:w="1684"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12</w:t>
            </w:r>
          </w:p>
        </w:tc>
        <w:tc>
          <w:tcPr>
            <w:tcW w:w="2852"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Proof of good repute of shareholders who/which directly or indirectly hold 20% or more of the share capital or voting rights  </w:t>
            </w:r>
          </w:p>
        </w:tc>
        <w:tc>
          <w:tcPr>
            <w:tcW w:w="9488" w:type="dxa"/>
            <w:gridSpan w:val="4"/>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Sub-fields</w:t>
            </w:r>
            <w:r w:rsidR="007A14D5">
              <w:rPr>
                <w:rFonts w:ascii="Times New Roman" w:eastAsia="Times New Roman" w:hAnsi="Times New Roman" w:cs="Times New Roman"/>
                <w:color w:val="000000"/>
                <w:sz w:val="24"/>
                <w:szCs w:val="24"/>
                <w:lang w:eastAsia="en-GB"/>
              </w:rPr>
              <w:t xml:space="preserve"> 1-</w:t>
            </w:r>
            <w:r w:rsidR="00C128DA">
              <w:rPr>
                <w:rFonts w:ascii="Times New Roman" w:eastAsia="Times New Roman" w:hAnsi="Times New Roman" w:cs="Times New Roman"/>
                <w:color w:val="000000"/>
                <w:sz w:val="24"/>
                <w:szCs w:val="24"/>
                <w:lang w:eastAsia="en-GB"/>
              </w:rPr>
              <w:t>10</w:t>
            </w:r>
            <w:r w:rsidRPr="00685873">
              <w:rPr>
                <w:rFonts w:ascii="Times New Roman" w:eastAsia="Times New Roman" w:hAnsi="Times New Roman" w:cs="Times New Roman"/>
                <w:color w:val="000000"/>
                <w:sz w:val="24"/>
                <w:szCs w:val="24"/>
                <w:lang w:eastAsia="en-GB"/>
              </w:rPr>
              <w:t xml:space="preserve"> shall be repeated and completed for each of the shareholders who directly or indirectly hold 20% or more of the share capital or voting rights</w:t>
            </w:r>
          </w:p>
        </w:tc>
      </w:tr>
      <w:tr w:rsidR="00B65BFE" w:rsidRPr="00685873" w:rsidTr="00685873">
        <w:trPr>
          <w:trHeight w:val="1011"/>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9488" w:type="dxa"/>
            <w:gridSpan w:val="4"/>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Where the shareholder holding 20% or more of the share capital or voting rights is not a natural person, sub-fields 8 and 9 shall be completed for the legal entity and repeated and completed for each member of the management body and other persons effectively directing the business</w:t>
            </w:r>
          </w:p>
        </w:tc>
      </w:tr>
      <w:tr w:rsidR="00B65BFE" w:rsidRPr="00685873" w:rsidTr="00685873">
        <w:trPr>
          <w:trHeight w:val="1491"/>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Ownership structure chart</w:t>
            </w:r>
          </w:p>
        </w:tc>
        <w:tc>
          <w:tcPr>
            <w:tcW w:w="5122" w:type="dxa"/>
            <w:gridSpan w:val="2"/>
            <w:shd w:val="clear" w:color="auto" w:fill="FFFFFF"/>
            <w:vAlign w:val="center"/>
          </w:tcPr>
          <w:p w:rsidR="00B65BFE" w:rsidRPr="00685873" w:rsidRDefault="00B65BFE" w:rsidP="00B65BFE">
            <w:pPr>
              <w:spacing w:after="0" w:line="276"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Ownership structure chart of the applicant showing the position of shareholders who directly or indirectly hold 20% or more of the share capital or voting rights</w:t>
            </w:r>
          </w:p>
        </w:tc>
      </w:tr>
      <w:tr w:rsidR="00B65BFE" w:rsidRPr="00685873" w:rsidTr="00685873">
        <w:trPr>
          <w:trHeight w:val="1258"/>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Name</w:t>
            </w:r>
          </w:p>
        </w:tc>
        <w:tc>
          <w:tcPr>
            <w:tcW w:w="5122" w:type="dxa"/>
            <w:gridSpan w:val="2"/>
            <w:shd w:val="clear" w:color="auto" w:fill="FFFFFF"/>
            <w:vAlign w:val="center"/>
          </w:tcPr>
          <w:p w:rsidR="00B65BFE" w:rsidRDefault="00B65BFE" w:rsidP="00B65BFE">
            <w:pPr>
              <w:numPr>
                <w:ilvl w:val="0"/>
                <w:numId w:val="1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full first name(s) and surname(s) in case of natural persons </w:t>
            </w:r>
          </w:p>
          <w:p w:rsidR="00831AA0" w:rsidRPr="00685873" w:rsidRDefault="00831AA0" w:rsidP="00B65BFE">
            <w:pPr>
              <w:numPr>
                <w:ilvl w:val="0"/>
                <w:numId w:val="1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National ID number (ID or passport) in case of natural persons</w:t>
            </w:r>
          </w:p>
          <w:p w:rsidR="00B65BFE" w:rsidRPr="00831AA0" w:rsidRDefault="00B65BFE" w:rsidP="00B65BFE">
            <w:pPr>
              <w:numPr>
                <w:ilvl w:val="0"/>
                <w:numId w:val="1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The legal name and legal form, in case of legal persons</w:t>
            </w:r>
          </w:p>
          <w:p w:rsidR="00831AA0" w:rsidRPr="00685873" w:rsidRDefault="00831AA0" w:rsidP="00B65BFE">
            <w:pPr>
              <w:numPr>
                <w:ilvl w:val="0"/>
                <w:numId w:val="1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National ID/registration number (where available) in case of legal persons</w:t>
            </w:r>
          </w:p>
        </w:tc>
      </w:tr>
      <w:tr w:rsidR="00B65BFE" w:rsidRPr="00685873" w:rsidTr="00685873">
        <w:trPr>
          <w:trHeight w:val="1258"/>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 (where applicable)</w:t>
            </w:r>
          </w:p>
        </w:tc>
        <w:tc>
          <w:tcPr>
            <w:tcW w:w="5122" w:type="dxa"/>
            <w:gridSpan w:val="2"/>
            <w:shd w:val="clear" w:color="auto" w:fill="FFFFFF"/>
            <w:vAlign w:val="center"/>
          </w:tcPr>
          <w:p w:rsidR="00B65BFE" w:rsidRPr="00685873" w:rsidRDefault="00B65BFE" w:rsidP="00B65BFE">
            <w:pPr>
              <w:spacing w:after="0" w:line="276"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 of shareholders who are natural persons</w:t>
            </w:r>
          </w:p>
        </w:tc>
      </w:tr>
      <w:tr w:rsidR="00B65BFE" w:rsidRPr="00685873" w:rsidTr="00685873">
        <w:trPr>
          <w:trHeight w:val="1349"/>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Domicile or registered address</w:t>
            </w:r>
          </w:p>
        </w:tc>
        <w:tc>
          <w:tcPr>
            <w:tcW w:w="5122" w:type="dxa"/>
            <w:gridSpan w:val="2"/>
            <w:shd w:val="clear" w:color="auto" w:fill="FFFFFF"/>
            <w:vAlign w:val="center"/>
          </w:tcPr>
          <w:p w:rsidR="00B65BFE" w:rsidRPr="00685873" w:rsidRDefault="00B65BFE" w:rsidP="00B65BFE">
            <w:pPr>
              <w:numPr>
                <w:ilvl w:val="0"/>
                <w:numId w:val="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domicile, in case of natural persons </w:t>
            </w:r>
          </w:p>
          <w:p w:rsidR="00B65BFE" w:rsidRPr="00685873" w:rsidRDefault="00B65BFE" w:rsidP="00B65BFE">
            <w:pPr>
              <w:numPr>
                <w:ilvl w:val="0"/>
                <w:numId w:val="5"/>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registered address, in case of legal persons</w:t>
            </w:r>
          </w:p>
        </w:tc>
      </w:tr>
      <w:tr w:rsidR="00B65BFE" w:rsidRPr="00685873" w:rsidTr="00685873">
        <w:trPr>
          <w:trHeight w:val="98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Additional information in case of legal persons</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Where the </w:t>
            </w:r>
            <w:r w:rsidRPr="00685873">
              <w:rPr>
                <w:rFonts w:ascii="Times New Roman" w:eastAsia="Times New Roman" w:hAnsi="Times New Roman" w:cs="Times New Roman"/>
                <w:sz w:val="24"/>
                <w:szCs w:val="24"/>
                <w:lang w:eastAsia="en-GB"/>
              </w:rPr>
              <w:t>shareholder holding 20% or more of the share capital or voting rights</w:t>
            </w:r>
            <w:r w:rsidRPr="00685873">
              <w:rPr>
                <w:rFonts w:ascii="Times New Roman" w:eastAsia="Times New Roman" w:hAnsi="Times New Roman" w:cs="Times New Roman"/>
                <w:color w:val="000000"/>
                <w:sz w:val="24"/>
                <w:szCs w:val="24"/>
                <w:lang w:eastAsia="en-GB"/>
              </w:rPr>
              <w:t xml:space="preserve"> is a legal person </w:t>
            </w:r>
            <w:r w:rsidRPr="00685873">
              <w:rPr>
                <w:rFonts w:ascii="Times New Roman" w:eastAsia="Times New Roman" w:hAnsi="Times New Roman" w:cs="Times New Roman"/>
                <w:sz w:val="24"/>
                <w:szCs w:val="24"/>
              </w:rPr>
              <w:t>a complete list of members of the management body and of persons who effectively direct its business, their name, date and place of birth, domicile, their national identification number where available</w:t>
            </w:r>
          </w:p>
        </w:tc>
      </w:tr>
      <w:tr w:rsidR="00B65BFE" w:rsidRPr="00685873" w:rsidTr="00685873">
        <w:trPr>
          <w:trHeight w:val="1349"/>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Amount of the holding</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Amount of the shares capital or voting rights held by the person in absolute value and in percentage terms. </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 case of indirect shareholder, the amount shall refer to the intermediate holder</w:t>
            </w:r>
          </w:p>
        </w:tc>
      </w:tr>
      <w:tr w:rsidR="00B65BFE" w:rsidRPr="00685873" w:rsidTr="00685873">
        <w:trPr>
          <w:trHeight w:val="1491"/>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7</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in case of indirect holding</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Name and contact details of the person through which the share capital or voting rights are held </w:t>
            </w:r>
          </w:p>
        </w:tc>
      </w:tr>
      <w:tr w:rsidR="00EB55C3" w:rsidRPr="00685873" w:rsidTr="00685873">
        <w:trPr>
          <w:trHeight w:val="2250"/>
        </w:trPr>
        <w:tc>
          <w:tcPr>
            <w:tcW w:w="1684" w:type="dxa"/>
            <w:vMerge w:val="restart"/>
            <w:shd w:val="clear" w:color="auto" w:fill="FFFFFF"/>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val="restart"/>
            <w:shd w:val="clear" w:color="auto" w:fill="FFFFFF"/>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8 </w:t>
            </w:r>
          </w:p>
        </w:tc>
        <w:tc>
          <w:tcPr>
            <w:tcW w:w="2634" w:type="dxa"/>
            <w:shd w:val="clear" w:color="auto" w:fill="FFFFFF"/>
            <w:vAlign w:val="center"/>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w:t>
            </w:r>
          </w:p>
        </w:tc>
        <w:tc>
          <w:tcPr>
            <w:tcW w:w="5122" w:type="dxa"/>
            <w:gridSpan w:val="2"/>
            <w:shd w:val="clear" w:color="auto" w:fill="FFFFFF"/>
            <w:vAlign w:val="center"/>
          </w:tcPr>
          <w:p w:rsidR="00D0602C" w:rsidRPr="00D0602C" w:rsidRDefault="00D0602C" w:rsidP="00D0602C">
            <w:pPr>
              <w:numPr>
                <w:ilvl w:val="0"/>
                <w:numId w:val="12"/>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 xml:space="preserve">Official certificate or other equivalent document in accordance with national law proving the absence of criminal records </w:t>
            </w:r>
          </w:p>
          <w:p w:rsidR="00D0602C" w:rsidRPr="00685873" w:rsidRDefault="00D0602C" w:rsidP="00D0602C">
            <w:pPr>
              <w:numPr>
                <w:ilvl w:val="0"/>
                <w:numId w:val="12"/>
              </w:numPr>
              <w:spacing w:before="240" w:after="120" w:line="276" w:lineRule="auto"/>
              <w:jc w:val="both"/>
              <w:rPr>
                <w:rFonts w:ascii="Times New Roman" w:eastAsia="Times New Roman" w:hAnsi="Times New Roman" w:cs="Times New Roman"/>
                <w:iCs/>
                <w:color w:val="000000"/>
                <w:sz w:val="24"/>
                <w:szCs w:val="24"/>
                <w:lang w:eastAsia="en-GB"/>
              </w:rPr>
            </w:pPr>
            <w:r>
              <w:rPr>
                <w:rFonts w:ascii="Times New Roman" w:eastAsia="Times New Roman" w:hAnsi="Times New Roman" w:cs="Times New Roman"/>
                <w:iCs/>
                <w:sz w:val="24"/>
                <w:szCs w:val="24"/>
                <w:lang w:eastAsia="en-GB"/>
              </w:rPr>
              <w:t xml:space="preserve"> </w:t>
            </w:r>
            <w:r w:rsidRPr="001F2F30">
              <w:rPr>
                <w:rFonts w:ascii="Times New Roman" w:eastAsia="Times New Roman" w:hAnsi="Times New Roman" w:cs="Times New Roman"/>
                <w:iCs/>
                <w:sz w:val="24"/>
                <w:szCs w:val="24"/>
                <w:lang w:eastAsia="en-GB"/>
              </w:rPr>
              <w:t>information on criminal investigations and/or proceedings</w:t>
            </w:r>
            <w:r w:rsidR="005D19E5">
              <w:rPr>
                <w:rFonts w:ascii="Times New Roman" w:eastAsia="Times New Roman" w:hAnsi="Times New Roman" w:cs="Times New Roman"/>
                <w:iCs/>
                <w:sz w:val="24"/>
                <w:szCs w:val="24"/>
                <w:lang w:eastAsia="en-GB"/>
              </w:rPr>
              <w:t>, as well as</w:t>
            </w:r>
            <w:r w:rsidRPr="001F2F30">
              <w:rPr>
                <w:rFonts w:ascii="Times New Roman" w:eastAsia="Times New Roman" w:hAnsi="Times New Roman" w:cs="Times New Roman"/>
                <w:iCs/>
                <w:sz w:val="24"/>
                <w:szCs w:val="24"/>
                <w:lang w:eastAsia="en-GB"/>
              </w:rPr>
              <w:t xml:space="preserve"> relevant civil and administrative cases, in respect of infringements of national rules in the fields of commercial law, insolvency law, financial services law, anti-money laundering law, fraud law or professional liability obligations, notably through an official certificate (if and so </w:t>
            </w:r>
            <w:proofErr w:type="gramStart"/>
            <w:r w:rsidRPr="001F2F30">
              <w:rPr>
                <w:rFonts w:ascii="Times New Roman" w:eastAsia="Times New Roman" w:hAnsi="Times New Roman" w:cs="Times New Roman"/>
                <w:iCs/>
                <w:sz w:val="24"/>
                <w:szCs w:val="24"/>
                <w:lang w:eastAsia="en-GB"/>
              </w:rPr>
              <w:t>far</w:t>
            </w:r>
            <w:proofErr w:type="gramEnd"/>
            <w:r w:rsidRPr="001F2F30">
              <w:rPr>
                <w:rFonts w:ascii="Times New Roman" w:eastAsia="Times New Roman" w:hAnsi="Times New Roman" w:cs="Times New Roman"/>
                <w:iCs/>
                <w:sz w:val="24"/>
                <w:szCs w:val="24"/>
                <w:lang w:eastAsia="en-GB"/>
              </w:rPr>
              <w:t xml:space="preserve"> as it is available from the relevant Member State or third country) or through another equivalent document. In</w:t>
            </w:r>
            <w:r w:rsidRPr="00685873">
              <w:rPr>
                <w:rFonts w:ascii="Times New Roman" w:eastAsia="Times New Roman" w:hAnsi="Times New Roman" w:cs="Times New Roman"/>
                <w:iCs/>
                <w:sz w:val="24"/>
                <w:szCs w:val="24"/>
                <w:lang w:eastAsia="en-GB"/>
              </w:rPr>
              <w:t xml:space="preserve"> the event of the existence of civil and/or administrative sanctions </w:t>
            </w:r>
            <w:r>
              <w:rPr>
                <w:rFonts w:ascii="Times New Roman" w:eastAsia="Times New Roman" w:hAnsi="Times New Roman" w:cs="Times New Roman"/>
                <w:iCs/>
                <w:sz w:val="24"/>
                <w:szCs w:val="24"/>
                <w:lang w:eastAsia="en-GB"/>
              </w:rPr>
              <w:t xml:space="preserve">in respect of the abovementioned fields, </w:t>
            </w:r>
            <w:r w:rsidRPr="00685873">
              <w:rPr>
                <w:rFonts w:ascii="Times New Roman" w:eastAsia="Times New Roman" w:hAnsi="Times New Roman" w:cs="Times New Roman"/>
                <w:iCs/>
                <w:sz w:val="24"/>
                <w:szCs w:val="24"/>
                <w:lang w:eastAsia="en-GB"/>
              </w:rPr>
              <w:t xml:space="preserve">a detailed description thereof shall be provided. For ongoing investigations or proceedings, the information may be provided through a declaration of </w:t>
            </w:r>
            <w:proofErr w:type="gramStart"/>
            <w:r w:rsidRPr="00685873">
              <w:rPr>
                <w:rFonts w:ascii="Times New Roman" w:eastAsia="Times New Roman" w:hAnsi="Times New Roman" w:cs="Times New Roman"/>
                <w:iCs/>
                <w:sz w:val="24"/>
                <w:szCs w:val="24"/>
                <w:lang w:eastAsia="en-GB"/>
              </w:rPr>
              <w:t>honour</w:t>
            </w:r>
            <w:r>
              <w:rPr>
                <w:rFonts w:ascii="Times New Roman" w:eastAsia="Times New Roman" w:hAnsi="Times New Roman" w:cs="Times New Roman"/>
                <w:iCs/>
                <w:sz w:val="24"/>
                <w:szCs w:val="24"/>
                <w:lang w:eastAsia="en-GB"/>
              </w:rPr>
              <w:t>;</w:t>
            </w:r>
            <w:proofErr w:type="gramEnd"/>
            <w:r>
              <w:t xml:space="preserve"> </w:t>
            </w:r>
          </w:p>
          <w:p w:rsidR="00D0602C" w:rsidRPr="00685873" w:rsidRDefault="00D0602C" w:rsidP="00D0602C">
            <w:pPr>
              <w:numPr>
                <w:ilvl w:val="0"/>
                <w:numId w:val="12"/>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refusal</w:t>
            </w:r>
            <w:r w:rsidRPr="00685873">
              <w:rPr>
                <w:rFonts w:ascii="Times New Roman" w:eastAsia="Times New Roman" w:hAnsi="Times New Roman" w:cs="Times New Roman"/>
                <w:iCs/>
                <w:color w:val="000000"/>
                <w:sz w:val="24"/>
                <w:szCs w:val="24"/>
                <w:lang w:eastAsia="en-GB"/>
              </w:rPr>
              <w:t xml:space="preserve"> of registration, authorisation, </w:t>
            </w:r>
            <w:proofErr w:type="gramStart"/>
            <w:r w:rsidRPr="00685873">
              <w:rPr>
                <w:rFonts w:ascii="Times New Roman" w:eastAsia="Times New Roman" w:hAnsi="Times New Roman" w:cs="Times New Roman"/>
                <w:iCs/>
                <w:color w:val="000000"/>
                <w:sz w:val="24"/>
                <w:szCs w:val="24"/>
                <w:lang w:eastAsia="en-GB"/>
              </w:rPr>
              <w:t>membership</w:t>
            </w:r>
            <w:proofErr w:type="gramEnd"/>
            <w:r w:rsidRPr="00685873">
              <w:rPr>
                <w:rFonts w:ascii="Times New Roman" w:eastAsia="Times New Roman" w:hAnsi="Times New Roman" w:cs="Times New Roman"/>
                <w:iCs/>
                <w:color w:val="000000"/>
                <w:sz w:val="24"/>
                <w:szCs w:val="24"/>
                <w:lang w:eastAsia="en-GB"/>
              </w:rPr>
              <w:t xml:space="preserve"> or licence to carry out trade, business or a profession; or the withdrawal, revocation or termination of such a registration, authorisation, membership or licence; or expulsion by a regulatory or government body or a professional body or association</w:t>
            </w:r>
            <w:r>
              <w:rPr>
                <w:rFonts w:ascii="Times New Roman" w:eastAsia="Times New Roman" w:hAnsi="Times New Roman" w:cs="Times New Roman"/>
                <w:iCs/>
                <w:color w:val="000000"/>
                <w:sz w:val="24"/>
                <w:szCs w:val="24"/>
                <w:lang w:eastAsia="en-GB"/>
              </w:rPr>
              <w:t xml:space="preserve">. </w:t>
            </w:r>
            <w:r w:rsidRPr="00501ABE">
              <w:rPr>
                <w:rFonts w:ascii="Times New Roman" w:eastAsia="Times New Roman" w:hAnsi="Times New Roman" w:cs="Times New Roman"/>
                <w:iCs/>
                <w:color w:val="000000"/>
                <w:sz w:val="24"/>
                <w:szCs w:val="24"/>
                <w:lang w:eastAsia="en-GB"/>
              </w:rPr>
              <w:t>Information on any ongoing procedure related to the foregoing shall also be provided.</w:t>
            </w:r>
            <w:r>
              <w:rPr>
                <w:rFonts w:ascii="Times New Roman" w:eastAsia="Times New Roman" w:hAnsi="Times New Roman" w:cs="Times New Roman"/>
                <w:iCs/>
                <w:color w:val="000000"/>
                <w:sz w:val="24"/>
                <w:szCs w:val="24"/>
                <w:lang w:eastAsia="en-GB"/>
              </w:rPr>
              <w:t xml:space="preserve">  </w:t>
            </w:r>
          </w:p>
          <w:p w:rsidR="00EB55C3" w:rsidRPr="00685873" w:rsidRDefault="00D0602C" w:rsidP="00D0602C">
            <w:pPr>
              <w:numPr>
                <w:ilvl w:val="0"/>
                <w:numId w:val="12"/>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dismissal for employment, or a position of trust, fiduciary relationship, or similar situation, and description of the reasons for such dismissal</w:t>
            </w:r>
          </w:p>
        </w:tc>
      </w:tr>
      <w:tr w:rsidR="00EB55C3" w:rsidRPr="00685873" w:rsidTr="00685873">
        <w:trPr>
          <w:trHeight w:val="2250"/>
        </w:trPr>
        <w:tc>
          <w:tcPr>
            <w:tcW w:w="1684" w:type="dxa"/>
            <w:vMerge/>
            <w:shd w:val="clear" w:color="auto" w:fill="FFFFFF"/>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9 </w:t>
            </w:r>
          </w:p>
        </w:tc>
        <w:tc>
          <w:tcPr>
            <w:tcW w:w="2634" w:type="dxa"/>
            <w:shd w:val="clear" w:color="auto" w:fill="FFFFFF"/>
            <w:vAlign w:val="center"/>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Pre-existing (and ongoing) assessment</w:t>
            </w:r>
          </w:p>
        </w:tc>
        <w:tc>
          <w:tcPr>
            <w:tcW w:w="5122" w:type="dxa"/>
            <w:gridSpan w:val="2"/>
            <w:shd w:val="clear" w:color="auto" w:fill="FFFFFF"/>
            <w:vAlign w:val="center"/>
          </w:tcPr>
          <w:p w:rsidR="00EB55C3" w:rsidRPr="00685873" w:rsidRDefault="00EB55C3" w:rsidP="00B65BFE">
            <w:pPr>
              <w:spacing w:after="120" w:line="276" w:lineRule="auto"/>
              <w:jc w:val="both"/>
              <w:rPr>
                <w:rFonts w:ascii="Times New Roman" w:eastAsia="Times New Roman" w:hAnsi="Times New Roman" w:cs="Times New Roman"/>
                <w:iCs/>
                <w:sz w:val="24"/>
                <w:szCs w:val="24"/>
                <w:lang w:eastAsia="en-GB"/>
              </w:rPr>
            </w:pPr>
            <w:r w:rsidRPr="00685873">
              <w:rPr>
                <w:rFonts w:ascii="Times New Roman" w:eastAsia="Times New Roman" w:hAnsi="Times New Roman" w:cs="Times New Roman"/>
                <w:iCs/>
                <w:color w:val="000000"/>
                <w:sz w:val="24"/>
                <w:szCs w:val="24"/>
                <w:lang w:eastAsia="en-GB"/>
              </w:rPr>
              <w:t xml:space="preserve">Information on whether an assessment of the good repute of the shareholder has already been (or is being) conducted by another competent authority or any other authority under other financial legislation, including the name of that authority and, where applicable, the date and outcome of its assessment </w:t>
            </w:r>
          </w:p>
        </w:tc>
      </w:tr>
      <w:tr w:rsidR="00EB55C3" w:rsidRPr="00685873" w:rsidTr="00685873">
        <w:trPr>
          <w:trHeight w:val="1775"/>
        </w:trPr>
        <w:tc>
          <w:tcPr>
            <w:tcW w:w="1684" w:type="dxa"/>
            <w:vMerge/>
            <w:shd w:val="clear" w:color="auto" w:fill="FFFFFF"/>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EB55C3" w:rsidRPr="00685873" w:rsidRDefault="00EB55C3"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10 </w:t>
            </w:r>
          </w:p>
        </w:tc>
        <w:tc>
          <w:tcPr>
            <w:tcW w:w="2634" w:type="dxa"/>
            <w:shd w:val="clear" w:color="auto" w:fill="FFFFFF"/>
            <w:vAlign w:val="center"/>
          </w:tcPr>
          <w:p w:rsidR="00EB55C3" w:rsidRPr="00685873" w:rsidRDefault="00EB55C3" w:rsidP="00B65BFE">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group structure (where applicable)</w:t>
            </w:r>
          </w:p>
        </w:tc>
        <w:tc>
          <w:tcPr>
            <w:tcW w:w="5122" w:type="dxa"/>
            <w:gridSpan w:val="2"/>
            <w:shd w:val="clear" w:color="auto" w:fill="FFFFFF"/>
            <w:vAlign w:val="center"/>
          </w:tcPr>
          <w:p w:rsidR="00EB55C3" w:rsidRPr="00685873" w:rsidRDefault="00EB55C3"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The information on whether the applicant is:</w:t>
            </w:r>
          </w:p>
          <w:p w:rsidR="00EB55C3" w:rsidRPr="00685873" w:rsidRDefault="00EB55C3" w:rsidP="00B65BFE">
            <w:pPr>
              <w:numPr>
                <w:ilvl w:val="0"/>
                <w:numId w:val="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 subsidiary of a crowdfunding service provider authorised in another Member State</w:t>
            </w:r>
          </w:p>
          <w:p w:rsidR="00EB55C3" w:rsidRPr="00685873" w:rsidRDefault="00EB55C3" w:rsidP="00B65BFE">
            <w:pPr>
              <w:numPr>
                <w:ilvl w:val="0"/>
                <w:numId w:val="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 subsidiary of the parent undertaking of a crowdfunding service provider that is authorised in another Member State</w:t>
            </w:r>
          </w:p>
          <w:p w:rsidR="00EB55C3" w:rsidRPr="00685873" w:rsidRDefault="00EB55C3" w:rsidP="00B65BFE">
            <w:pPr>
              <w:numPr>
                <w:ilvl w:val="0"/>
                <w:numId w:val="8"/>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controlled by the same natural o</w:t>
            </w:r>
            <w:r w:rsidR="00DD449C">
              <w:rPr>
                <w:rFonts w:ascii="Times New Roman" w:eastAsia="Times New Roman" w:hAnsi="Times New Roman" w:cs="Times New Roman"/>
                <w:sz w:val="24"/>
                <w:szCs w:val="24"/>
                <w:lang w:eastAsia="en-GB"/>
              </w:rPr>
              <w:t>r</w:t>
            </w:r>
            <w:r w:rsidRPr="00685873">
              <w:rPr>
                <w:rFonts w:ascii="Times New Roman" w:eastAsia="Times New Roman" w:hAnsi="Times New Roman" w:cs="Times New Roman"/>
                <w:sz w:val="24"/>
                <w:szCs w:val="24"/>
                <w:lang w:eastAsia="en-GB"/>
              </w:rPr>
              <w:t xml:space="preserve"> legal persons who control a crowdfunding service provider authorised in another Member State</w:t>
            </w:r>
          </w:p>
        </w:tc>
      </w:tr>
      <w:tr w:rsidR="00B65BFE" w:rsidRPr="00685873" w:rsidTr="00685873">
        <w:trPr>
          <w:trHeight w:val="1633"/>
        </w:trPr>
        <w:tc>
          <w:tcPr>
            <w:tcW w:w="1684"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13</w:t>
            </w:r>
          </w:p>
        </w:tc>
        <w:tc>
          <w:tcPr>
            <w:tcW w:w="2852" w:type="dxa"/>
            <w:vMerge w:val="restart"/>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Identity of the natural persons responsible for the management of the applicant and proof that the natural persons </w:t>
            </w:r>
            <w:r w:rsidR="0041289D">
              <w:rPr>
                <w:rFonts w:ascii="Times New Roman" w:eastAsia="Times New Roman" w:hAnsi="Times New Roman" w:cs="Times New Roman"/>
                <w:color w:val="000000"/>
                <w:sz w:val="24"/>
                <w:szCs w:val="24"/>
                <w:lang w:eastAsia="en-GB"/>
              </w:rPr>
              <w:t xml:space="preserve">involved in </w:t>
            </w:r>
            <w:r w:rsidRPr="00685873">
              <w:rPr>
                <w:rFonts w:ascii="Times New Roman" w:eastAsia="Times New Roman" w:hAnsi="Times New Roman" w:cs="Times New Roman"/>
                <w:color w:val="000000"/>
                <w:sz w:val="24"/>
                <w:szCs w:val="24"/>
                <w:lang w:eastAsia="en-GB"/>
              </w:rPr>
              <w:t xml:space="preserve">the management of the applicant are of good repute and possess sufficient knowledge, </w:t>
            </w:r>
            <w:r w:rsidR="00536F13" w:rsidRPr="00685873">
              <w:rPr>
                <w:rFonts w:ascii="Times New Roman" w:eastAsia="Times New Roman" w:hAnsi="Times New Roman" w:cs="Times New Roman"/>
                <w:color w:val="000000"/>
                <w:sz w:val="24"/>
                <w:szCs w:val="24"/>
                <w:lang w:eastAsia="en-GB"/>
              </w:rPr>
              <w:t>skills,</w:t>
            </w:r>
            <w:r w:rsidRPr="00685873">
              <w:rPr>
                <w:rFonts w:ascii="Times New Roman" w:eastAsia="Times New Roman" w:hAnsi="Times New Roman" w:cs="Times New Roman"/>
                <w:color w:val="000000"/>
                <w:sz w:val="24"/>
                <w:szCs w:val="24"/>
                <w:lang w:eastAsia="en-GB"/>
              </w:rPr>
              <w:t xml:space="preserve"> and experience to manage the prospective crowdfunding provider</w:t>
            </w:r>
            <w:r w:rsidR="0041289D">
              <w:rPr>
                <w:rFonts w:ascii="Times New Roman" w:eastAsia="Times New Roman" w:hAnsi="Times New Roman" w:cs="Times New Roman"/>
                <w:color w:val="000000"/>
                <w:sz w:val="24"/>
                <w:szCs w:val="24"/>
                <w:lang w:eastAsia="en-GB"/>
              </w:rPr>
              <w:t xml:space="preserve"> and </w:t>
            </w:r>
            <w:r w:rsidR="0041289D" w:rsidRPr="0041289D">
              <w:rPr>
                <w:rFonts w:ascii="Times New Roman" w:eastAsia="Times New Roman" w:hAnsi="Times New Roman" w:cs="Times New Roman"/>
                <w:color w:val="000000"/>
                <w:sz w:val="24"/>
                <w:szCs w:val="24"/>
                <w:lang w:eastAsia="en-GB"/>
              </w:rPr>
              <w:t>commit sufficient time to the performance of their duties</w:t>
            </w:r>
          </w:p>
        </w:tc>
        <w:tc>
          <w:tcPr>
            <w:tcW w:w="9488" w:type="dxa"/>
            <w:gridSpan w:val="4"/>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Sub-fields 1-1</w:t>
            </w:r>
            <w:r w:rsidR="00FF3C65">
              <w:rPr>
                <w:rFonts w:ascii="Times New Roman" w:eastAsia="Times New Roman" w:hAnsi="Times New Roman" w:cs="Times New Roman"/>
                <w:color w:val="000000"/>
                <w:sz w:val="24"/>
                <w:szCs w:val="24"/>
                <w:lang w:eastAsia="en-GB"/>
              </w:rPr>
              <w:t>2</w:t>
            </w:r>
            <w:r w:rsidRPr="00685873">
              <w:rPr>
                <w:rFonts w:ascii="Times New Roman" w:eastAsia="Times New Roman" w:hAnsi="Times New Roman" w:cs="Times New Roman"/>
                <w:color w:val="000000"/>
                <w:sz w:val="24"/>
                <w:szCs w:val="24"/>
                <w:lang w:eastAsia="en-GB"/>
              </w:rPr>
              <w:t xml:space="preserve"> shall be repeated and completed for each natural person who is member of the management or supervisory bodies of the applicant, and for each natural person who effectively directs the business </w:t>
            </w:r>
          </w:p>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Sub-fields </w:t>
            </w:r>
            <w:r w:rsidR="00FF3C65">
              <w:rPr>
                <w:rFonts w:ascii="Times New Roman" w:eastAsia="Times New Roman" w:hAnsi="Times New Roman" w:cs="Times New Roman"/>
                <w:color w:val="000000"/>
                <w:sz w:val="24"/>
                <w:szCs w:val="24"/>
                <w:lang w:eastAsia="en-GB"/>
              </w:rPr>
              <w:t>1-8 and 10-11</w:t>
            </w:r>
            <w:r w:rsidRPr="00685873">
              <w:rPr>
                <w:rFonts w:ascii="Times New Roman" w:eastAsia="Times New Roman" w:hAnsi="Times New Roman" w:cs="Times New Roman"/>
                <w:color w:val="000000"/>
                <w:sz w:val="24"/>
                <w:szCs w:val="24"/>
                <w:lang w:eastAsia="en-GB"/>
              </w:rPr>
              <w:t xml:space="preserve"> shall be repeated and completed for each natural person who is responsible of internal control functions (where appointed) </w:t>
            </w:r>
          </w:p>
        </w:tc>
      </w:tr>
      <w:tr w:rsidR="00B65BFE" w:rsidRPr="00685873" w:rsidTr="00685873">
        <w:trPr>
          <w:trHeight w:val="983"/>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Full name</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Full first name(s) and surname(s) of the relevant natural person </w:t>
            </w:r>
          </w:p>
        </w:tc>
      </w:tr>
      <w:tr w:rsidR="00FF3C65" w:rsidRPr="00685873" w:rsidTr="00685873">
        <w:trPr>
          <w:trHeight w:val="983"/>
        </w:trPr>
        <w:tc>
          <w:tcPr>
            <w:tcW w:w="1684" w:type="dxa"/>
            <w:vMerge/>
            <w:shd w:val="clear" w:color="auto" w:fill="FFFFFF"/>
          </w:tcPr>
          <w:p w:rsidR="00FF3C65"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FF3C65"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FF3C65"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FF3C65"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ID/Passport number</w:t>
            </w:r>
          </w:p>
        </w:tc>
        <w:tc>
          <w:tcPr>
            <w:tcW w:w="5122" w:type="dxa"/>
            <w:gridSpan w:val="2"/>
            <w:shd w:val="clear" w:color="auto" w:fill="FFFFFF"/>
            <w:vAlign w:val="center"/>
          </w:tcPr>
          <w:p w:rsidR="00FF3C65" w:rsidRPr="00685873" w:rsidRDefault="00FF3C65"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924"/>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838"/>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Domicile</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14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Postal address</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Postal address, if different from the address of domicile</w:t>
            </w:r>
          </w:p>
        </w:tc>
      </w:tr>
      <w:tr w:rsidR="00B65BFE" w:rsidRPr="00685873" w:rsidTr="00685873">
        <w:trPr>
          <w:trHeight w:val="824"/>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Telephone number</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85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Email address</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540"/>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Position</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Position within the management body or the organisation of the applicant at which the natural person is/will be appointed </w:t>
            </w:r>
          </w:p>
        </w:tc>
      </w:tr>
      <w:tr w:rsidR="00D0602C" w:rsidRPr="00685873" w:rsidTr="00685873">
        <w:trPr>
          <w:trHeight w:val="924"/>
        </w:trPr>
        <w:tc>
          <w:tcPr>
            <w:tcW w:w="1684" w:type="dxa"/>
            <w:vMerge/>
            <w:shd w:val="clear" w:color="auto" w:fill="FFFFFF"/>
          </w:tcPr>
          <w:p w:rsidR="00D0602C" w:rsidRPr="00685873" w:rsidRDefault="00D0602C" w:rsidP="00D0602C">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D0602C" w:rsidRPr="00685873" w:rsidRDefault="00D0602C" w:rsidP="00D0602C">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D0602C" w:rsidRPr="00685873" w:rsidRDefault="00D0602C" w:rsidP="00D0602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2634" w:type="dxa"/>
            <w:shd w:val="clear" w:color="auto" w:fill="FFFFFF"/>
            <w:vAlign w:val="center"/>
          </w:tcPr>
          <w:p w:rsidR="00D0602C" w:rsidRPr="00685873" w:rsidRDefault="00D0602C" w:rsidP="00D0602C">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w:t>
            </w:r>
          </w:p>
        </w:tc>
        <w:tc>
          <w:tcPr>
            <w:tcW w:w="5122" w:type="dxa"/>
            <w:gridSpan w:val="2"/>
            <w:shd w:val="clear" w:color="auto" w:fill="FFFFFF"/>
            <w:vAlign w:val="center"/>
          </w:tcPr>
          <w:p w:rsidR="00D0602C" w:rsidRPr="00D0602C" w:rsidRDefault="00D0602C" w:rsidP="00D0602C">
            <w:pPr>
              <w:numPr>
                <w:ilvl w:val="0"/>
                <w:numId w:val="17"/>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Official certificate or other equivalent document in accordance with national law proving the absence of criminal records</w:t>
            </w:r>
          </w:p>
          <w:p w:rsidR="00D0602C" w:rsidRPr="00685873" w:rsidRDefault="00D0602C" w:rsidP="00D0602C">
            <w:pPr>
              <w:numPr>
                <w:ilvl w:val="0"/>
                <w:numId w:val="17"/>
              </w:numPr>
              <w:spacing w:before="240" w:after="120" w:line="276" w:lineRule="auto"/>
              <w:jc w:val="both"/>
              <w:rPr>
                <w:rFonts w:ascii="Times New Roman" w:eastAsia="Times New Roman" w:hAnsi="Times New Roman" w:cs="Times New Roman"/>
                <w:iCs/>
                <w:color w:val="000000"/>
                <w:sz w:val="24"/>
                <w:szCs w:val="24"/>
                <w:lang w:eastAsia="en-GB"/>
              </w:rPr>
            </w:pPr>
            <w:r w:rsidRPr="00964547">
              <w:rPr>
                <w:rFonts w:ascii="Times New Roman" w:eastAsia="Times New Roman" w:hAnsi="Times New Roman" w:cs="Times New Roman"/>
                <w:iCs/>
                <w:sz w:val="24"/>
                <w:szCs w:val="24"/>
                <w:lang w:eastAsia="en-GB"/>
              </w:rPr>
              <w:t xml:space="preserve">Information on criminal investigations and/or proceedings relevant civil and administrative cases, in respect of infringements of national rules in the fields of commercial law, insolvency law, financial services law, anti-money laundering law, fraud law or professional liability obligations, notably through an official certificate (if and so </w:t>
            </w:r>
            <w:r w:rsidR="00536F13" w:rsidRPr="00964547">
              <w:rPr>
                <w:rFonts w:ascii="Times New Roman" w:eastAsia="Times New Roman" w:hAnsi="Times New Roman" w:cs="Times New Roman"/>
                <w:iCs/>
                <w:sz w:val="24"/>
                <w:szCs w:val="24"/>
                <w:lang w:eastAsia="en-GB"/>
              </w:rPr>
              <w:t>far,</w:t>
            </w:r>
            <w:r w:rsidRPr="00964547">
              <w:rPr>
                <w:rFonts w:ascii="Times New Roman" w:eastAsia="Times New Roman" w:hAnsi="Times New Roman" w:cs="Times New Roman"/>
                <w:iCs/>
                <w:sz w:val="24"/>
                <w:szCs w:val="24"/>
                <w:lang w:eastAsia="en-GB"/>
              </w:rPr>
              <w:t xml:space="preserve"> as it is available from the relevant Member State or third country) or through another equivalent document.</w:t>
            </w:r>
            <w:r w:rsidRPr="00685873">
              <w:rPr>
                <w:rFonts w:ascii="Times New Roman" w:eastAsia="Times New Roman" w:hAnsi="Times New Roman" w:cs="Times New Roman"/>
                <w:iCs/>
                <w:sz w:val="24"/>
                <w:szCs w:val="24"/>
                <w:lang w:eastAsia="en-GB"/>
              </w:rPr>
              <w:t xml:space="preserve"> In the event of the existence of civil and/or administrative sanctions </w:t>
            </w:r>
            <w:r w:rsidRPr="005846EF">
              <w:rPr>
                <w:rFonts w:ascii="Times New Roman" w:eastAsia="Times New Roman" w:hAnsi="Times New Roman" w:cs="Times New Roman"/>
                <w:iCs/>
                <w:sz w:val="24"/>
                <w:szCs w:val="24"/>
                <w:lang w:eastAsia="en-GB"/>
              </w:rPr>
              <w:t>in respect of the abovementioned fields,</w:t>
            </w:r>
            <w:r>
              <w:rPr>
                <w:rFonts w:ascii="Times New Roman" w:eastAsia="Times New Roman" w:hAnsi="Times New Roman" w:cs="Times New Roman"/>
                <w:iCs/>
                <w:sz w:val="24"/>
                <w:szCs w:val="24"/>
                <w:lang w:eastAsia="en-GB"/>
              </w:rPr>
              <w:t xml:space="preserve"> </w:t>
            </w:r>
            <w:r w:rsidRPr="00685873">
              <w:rPr>
                <w:rFonts w:ascii="Times New Roman" w:eastAsia="Times New Roman" w:hAnsi="Times New Roman" w:cs="Times New Roman"/>
                <w:iCs/>
                <w:sz w:val="24"/>
                <w:szCs w:val="24"/>
                <w:lang w:eastAsia="en-GB"/>
              </w:rPr>
              <w:t>a detailed description thereof shall be provided. For ongoing investigations or proceedings, the information may be provided through a declaration of honour</w:t>
            </w:r>
          </w:p>
          <w:p w:rsidR="00D0602C" w:rsidRPr="00685873" w:rsidRDefault="00D0602C" w:rsidP="00D0602C">
            <w:pPr>
              <w:numPr>
                <w:ilvl w:val="0"/>
                <w:numId w:val="17"/>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refusal</w:t>
            </w:r>
            <w:r w:rsidRPr="00685873">
              <w:rPr>
                <w:rFonts w:ascii="Times New Roman" w:eastAsia="Times New Roman" w:hAnsi="Times New Roman" w:cs="Times New Roman"/>
                <w:iCs/>
                <w:color w:val="000000"/>
                <w:sz w:val="24"/>
                <w:szCs w:val="24"/>
                <w:lang w:eastAsia="en-GB"/>
              </w:rPr>
              <w:t xml:space="preserve"> of registration, authorisation, </w:t>
            </w:r>
            <w:proofErr w:type="gramStart"/>
            <w:r w:rsidRPr="00685873">
              <w:rPr>
                <w:rFonts w:ascii="Times New Roman" w:eastAsia="Times New Roman" w:hAnsi="Times New Roman" w:cs="Times New Roman"/>
                <w:iCs/>
                <w:color w:val="000000"/>
                <w:sz w:val="24"/>
                <w:szCs w:val="24"/>
                <w:lang w:eastAsia="en-GB"/>
              </w:rPr>
              <w:t>membership</w:t>
            </w:r>
            <w:proofErr w:type="gramEnd"/>
            <w:r w:rsidRPr="00685873">
              <w:rPr>
                <w:rFonts w:ascii="Times New Roman" w:eastAsia="Times New Roman" w:hAnsi="Times New Roman" w:cs="Times New Roman"/>
                <w:iCs/>
                <w:color w:val="000000"/>
                <w:sz w:val="24"/>
                <w:szCs w:val="24"/>
                <w:lang w:eastAsia="en-GB"/>
              </w:rPr>
              <w:t xml:space="preserve"> or licence to carry out trade, business or a profession; or the withdrawal, revocation or termination of such a registration, authorisation, membership or licence; or expulsion by a regulatory or government </w:t>
            </w:r>
            <w:r w:rsidRPr="00964547">
              <w:rPr>
                <w:rFonts w:ascii="Times New Roman" w:eastAsia="Times New Roman" w:hAnsi="Times New Roman" w:cs="Times New Roman"/>
                <w:iCs/>
                <w:color w:val="000000"/>
                <w:sz w:val="24"/>
                <w:szCs w:val="24"/>
                <w:lang w:eastAsia="en-GB"/>
              </w:rPr>
              <w:t xml:space="preserve">body or a professional body or association. </w:t>
            </w:r>
            <w:r w:rsidRPr="00F415D4">
              <w:rPr>
                <w:rFonts w:ascii="Times New Roman" w:eastAsia="Times New Roman" w:hAnsi="Times New Roman" w:cs="Times New Roman"/>
                <w:iCs/>
                <w:color w:val="000000"/>
                <w:sz w:val="24"/>
                <w:szCs w:val="24"/>
                <w:lang w:eastAsia="en-GB"/>
              </w:rPr>
              <w:t>Information on any ongoing procedure related to the foregoing shall also be provided</w:t>
            </w:r>
            <w:r w:rsidRPr="00486DA7">
              <w:rPr>
                <w:rFonts w:ascii="Times New Roman" w:eastAsia="Times New Roman" w:hAnsi="Times New Roman" w:cs="Times New Roman"/>
                <w:iCs/>
                <w:color w:val="000000"/>
                <w:sz w:val="24"/>
                <w:szCs w:val="24"/>
                <w:lang w:eastAsia="en-GB"/>
              </w:rPr>
              <w:t>.</w:t>
            </w:r>
            <w:r>
              <w:rPr>
                <w:rFonts w:ascii="Times New Roman" w:eastAsia="Times New Roman" w:hAnsi="Times New Roman" w:cs="Times New Roman"/>
                <w:iCs/>
                <w:color w:val="000000"/>
                <w:sz w:val="24"/>
                <w:szCs w:val="24"/>
                <w:lang w:eastAsia="en-GB"/>
              </w:rPr>
              <w:t xml:space="preserve">  </w:t>
            </w:r>
          </w:p>
          <w:p w:rsidR="00D0602C" w:rsidRPr="00685873" w:rsidRDefault="00D0602C" w:rsidP="00D0602C">
            <w:pPr>
              <w:numPr>
                <w:ilvl w:val="0"/>
                <w:numId w:val="17"/>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dismissal for employment, or a position of trust, fiduciary relationship, or similar situation, and description of the reasons for such dismissal</w:t>
            </w:r>
          </w:p>
          <w:p w:rsidR="00D0602C" w:rsidRPr="00685873" w:rsidRDefault="00D0602C" w:rsidP="00D0602C">
            <w:pPr>
              <w:numPr>
                <w:ilvl w:val="0"/>
                <w:numId w:val="17"/>
              </w:numPr>
              <w:spacing w:before="240" w:after="120" w:line="276" w:lineRule="auto"/>
              <w:jc w:val="both"/>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Any other information deemed relevant by the competent authority for the assessment of the good repute</w:t>
            </w:r>
          </w:p>
        </w:tc>
      </w:tr>
      <w:tr w:rsidR="00B65BFE" w:rsidRPr="00685873" w:rsidTr="00685873">
        <w:trPr>
          <w:trHeight w:val="1861"/>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FF3C65"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Curriculum Vitae</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Curriculum vitae stating </w:t>
            </w:r>
          </w:p>
          <w:p w:rsidR="00B65BFE" w:rsidRPr="00685873" w:rsidRDefault="00B65BFE" w:rsidP="00B65BFE">
            <w:pPr>
              <w:numPr>
                <w:ilvl w:val="0"/>
                <w:numId w:val="14"/>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relevant education (including the name(s) and type(s) of educational institution(s), </w:t>
            </w:r>
            <w:r w:rsidR="00536F13" w:rsidRPr="00685873">
              <w:rPr>
                <w:rFonts w:ascii="Times New Roman" w:eastAsia="Times New Roman" w:hAnsi="Times New Roman" w:cs="Times New Roman"/>
                <w:sz w:val="24"/>
                <w:szCs w:val="24"/>
                <w:lang w:eastAsia="en-GB"/>
              </w:rPr>
              <w:t>type,</w:t>
            </w:r>
            <w:r w:rsidRPr="00685873">
              <w:rPr>
                <w:rFonts w:ascii="Times New Roman" w:eastAsia="Times New Roman" w:hAnsi="Times New Roman" w:cs="Times New Roman"/>
                <w:sz w:val="24"/>
                <w:szCs w:val="24"/>
                <w:lang w:eastAsia="en-GB"/>
              </w:rPr>
              <w:t xml:space="preserve"> and date of diploma(s)) and professional training (including the topic of the training, type(s) of educational institution(s) and date by which training was completed)</w:t>
            </w:r>
          </w:p>
          <w:p w:rsidR="00B65BFE" w:rsidRPr="00685873" w:rsidRDefault="00B65BFE" w:rsidP="00B65BFE">
            <w:pPr>
              <w:numPr>
                <w:ilvl w:val="0"/>
                <w:numId w:val="21"/>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relevant professional experience (in and outside the financial sector), including the names of all organisations for which the person has worked, and nature and duration of the functions performed (start and end dates) and the reason of for departure (new function within the company/group, voluntary departure, forced departure or expiry of the mandate)</w:t>
            </w:r>
          </w:p>
          <w:p w:rsidR="00B65BFE" w:rsidRPr="00685873" w:rsidRDefault="00595675" w:rsidP="00B65BFE">
            <w:pPr>
              <w:numPr>
                <w:ilvl w:val="0"/>
                <w:numId w:val="21"/>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B65BFE" w:rsidRPr="00685873">
              <w:rPr>
                <w:rFonts w:ascii="Times New Roman" w:eastAsia="Times New Roman" w:hAnsi="Times New Roman" w:cs="Times New Roman"/>
                <w:sz w:val="24"/>
                <w:szCs w:val="24"/>
                <w:lang w:eastAsia="en-GB"/>
              </w:rPr>
              <w:t>or positions held in the previous 10 years, when describing those activities, details shall be included on all powers held and the areas of operations under control</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curriculum vitae may also include details (name, address, telephone number, email) of any reference person(s) who may be contacted by the competent authority (this field is not mandatory) </w:t>
            </w:r>
          </w:p>
        </w:tc>
      </w:tr>
      <w:tr w:rsidR="00B65BFE" w:rsidRPr="00685873" w:rsidTr="00685873">
        <w:trPr>
          <w:trHeight w:val="1152"/>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sidR="00FF3C65">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Time to be committed to the performance of the duties</w:t>
            </w:r>
          </w:p>
        </w:tc>
        <w:tc>
          <w:tcPr>
            <w:tcW w:w="5122" w:type="dxa"/>
            <w:gridSpan w:val="2"/>
            <w:shd w:val="clear" w:color="auto" w:fill="FFFFFF"/>
            <w:vAlign w:val="center"/>
          </w:tcPr>
          <w:p w:rsidR="00B65BFE" w:rsidRPr="00685873" w:rsidRDefault="00B65BFE" w:rsidP="00B65BFE">
            <w:pPr>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minimum time that will be devoted to the performance of the person’s functions within the prospective crowdfunding service provider (annual and monthly indications), including information on:</w:t>
            </w:r>
          </w:p>
          <w:p w:rsidR="00B65BFE" w:rsidRPr="00685873" w:rsidRDefault="00B65BFE" w:rsidP="00B65BFE">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number of directorships in financial and non-financial companies held by that member at the same </w:t>
            </w:r>
            <w:proofErr w:type="gramStart"/>
            <w:r w:rsidRPr="00685873">
              <w:rPr>
                <w:rFonts w:ascii="Times New Roman" w:eastAsia="Times New Roman" w:hAnsi="Times New Roman" w:cs="Times New Roman"/>
                <w:color w:val="000000"/>
                <w:sz w:val="24"/>
                <w:szCs w:val="24"/>
                <w:lang w:eastAsia="en-GB"/>
              </w:rPr>
              <w:t>time;</w:t>
            </w:r>
            <w:proofErr w:type="gramEnd"/>
            <w:r w:rsidRPr="00685873">
              <w:rPr>
                <w:rFonts w:ascii="Times New Roman" w:eastAsia="Times New Roman" w:hAnsi="Times New Roman" w:cs="Times New Roman"/>
                <w:color w:val="000000"/>
                <w:sz w:val="24"/>
                <w:szCs w:val="24"/>
                <w:lang w:eastAsia="en-GB"/>
              </w:rPr>
              <w:t xml:space="preserve"> </w:t>
            </w:r>
          </w:p>
          <w:p w:rsidR="00B65BFE" w:rsidRPr="00685873" w:rsidRDefault="00B65BFE" w:rsidP="00B65BFE">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directorships in organisations which do not pursue predominantly commercial objectives held by that member at the same </w:t>
            </w:r>
            <w:proofErr w:type="gramStart"/>
            <w:r w:rsidRPr="00685873">
              <w:rPr>
                <w:rFonts w:ascii="Times New Roman" w:eastAsia="Times New Roman" w:hAnsi="Times New Roman" w:cs="Times New Roman"/>
                <w:color w:val="000000"/>
                <w:sz w:val="24"/>
                <w:szCs w:val="24"/>
                <w:lang w:eastAsia="en-GB"/>
              </w:rPr>
              <w:t>time;</w:t>
            </w:r>
            <w:proofErr w:type="gramEnd"/>
            <w:r w:rsidRPr="00685873">
              <w:rPr>
                <w:rFonts w:ascii="Times New Roman" w:eastAsia="Times New Roman" w:hAnsi="Times New Roman" w:cs="Times New Roman"/>
                <w:color w:val="000000"/>
                <w:sz w:val="24"/>
                <w:szCs w:val="24"/>
                <w:lang w:eastAsia="en-GB"/>
              </w:rPr>
              <w:t xml:space="preserve"> </w:t>
            </w:r>
          </w:p>
          <w:p w:rsidR="00B65BFE" w:rsidRPr="00685873" w:rsidRDefault="00B65BFE" w:rsidP="00B65BFE">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lang w:eastAsia="en-GB"/>
              </w:rPr>
              <w:t>other external professional activities, and any other functions and relevant activities, both within and outside the financial sector</w:t>
            </w:r>
          </w:p>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rPr>
          <w:trHeight w:val="1973"/>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sidR="00FF3C65">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Pre-existing (or ongoing) assessment of the reputation and experience</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color w:val="000000"/>
                <w:sz w:val="24"/>
                <w:szCs w:val="24"/>
                <w:lang w:eastAsia="en-GB"/>
              </w:rPr>
              <w:t>The information on whether an assessment of the good repute and of the knowledge and experience of the natural person has already been (or is being) conducted by another competent authority or any other authority under other financial legislation including the date of the assessment, the identity of that authority and, where applicable, the date and the outcome of this assessment</w:t>
            </w:r>
          </w:p>
        </w:tc>
      </w:tr>
      <w:tr w:rsidR="00B65BFE" w:rsidRPr="00685873" w:rsidTr="00685873">
        <w:trPr>
          <w:trHeight w:val="1861"/>
        </w:trPr>
        <w:tc>
          <w:tcPr>
            <w:tcW w:w="1684"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2852" w:type="dxa"/>
            <w:vMerge/>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sidR="00FF3C65">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Self-assessment of the collective knowledge, </w:t>
            </w:r>
            <w:proofErr w:type="gramStart"/>
            <w:r w:rsidRPr="00685873">
              <w:rPr>
                <w:rFonts w:ascii="Times New Roman" w:eastAsia="Times New Roman" w:hAnsi="Times New Roman" w:cs="Times New Roman"/>
                <w:color w:val="000000"/>
                <w:sz w:val="24"/>
                <w:szCs w:val="24"/>
                <w:lang w:eastAsia="en-GB"/>
              </w:rPr>
              <w:t>skills</w:t>
            </w:r>
            <w:proofErr w:type="gramEnd"/>
            <w:r w:rsidRPr="00685873">
              <w:rPr>
                <w:rFonts w:ascii="Times New Roman" w:eastAsia="Times New Roman" w:hAnsi="Times New Roman" w:cs="Times New Roman"/>
                <w:color w:val="000000"/>
                <w:sz w:val="24"/>
                <w:szCs w:val="24"/>
                <w:lang w:eastAsia="en-GB"/>
              </w:rPr>
              <w:t xml:space="preserve"> and experience </w:t>
            </w:r>
          </w:p>
        </w:tc>
        <w:tc>
          <w:tcPr>
            <w:tcW w:w="5122" w:type="dxa"/>
            <w:gridSpan w:val="2"/>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Details of the result of the assessment on the collective possession of sufficient knowledge, </w:t>
            </w:r>
            <w:proofErr w:type="gramStart"/>
            <w:r w:rsidRPr="00685873">
              <w:rPr>
                <w:rFonts w:ascii="Times New Roman" w:eastAsia="Times New Roman" w:hAnsi="Times New Roman" w:cs="Times New Roman"/>
                <w:color w:val="000000"/>
                <w:sz w:val="24"/>
                <w:szCs w:val="24"/>
                <w:lang w:eastAsia="en-GB"/>
              </w:rPr>
              <w:t>skills</w:t>
            </w:r>
            <w:proofErr w:type="gramEnd"/>
            <w:r w:rsidRPr="00685873">
              <w:rPr>
                <w:rFonts w:ascii="Times New Roman" w:eastAsia="Times New Roman" w:hAnsi="Times New Roman" w:cs="Times New Roman"/>
                <w:color w:val="000000"/>
                <w:sz w:val="24"/>
                <w:szCs w:val="24"/>
                <w:lang w:eastAsia="en-GB"/>
              </w:rPr>
              <w:t xml:space="preserve"> and experience to manage the prospective crowdfunding provider by the natural persons involved in the management of the prospective crowdfunding service provider, performed by the applicant itself</w:t>
            </w:r>
          </w:p>
        </w:tc>
      </w:tr>
      <w:tr w:rsidR="00B65BFE" w:rsidRPr="00685873" w:rsidTr="00685873">
        <w:tblPrEx>
          <w:shd w:val="clear" w:color="auto" w:fill="auto"/>
        </w:tblPrEx>
        <w:trPr>
          <w:trHeight w:val="1718"/>
        </w:trPr>
        <w:tc>
          <w:tcPr>
            <w:tcW w:w="1684" w:type="dxa"/>
            <w:shd w:val="clear" w:color="000000"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14</w:t>
            </w:r>
          </w:p>
        </w:tc>
        <w:tc>
          <w:tcPr>
            <w:tcW w:w="2852" w:type="dxa"/>
            <w:shd w:val="clear" w:color="000000"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Description of the internal rules to prevent persons referred to in the first subparagraph of Article 8(2) from engaging, as project owners, in crowdfunding services offered by the prospective crowdfunding service provider</w:t>
            </w:r>
          </w:p>
        </w:tc>
        <w:tc>
          <w:tcPr>
            <w:tcW w:w="1732" w:type="dxa"/>
            <w:shd w:val="clear" w:color="000000"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000000"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Internal procedures on conflicts of interest of project owners</w:t>
            </w:r>
          </w:p>
        </w:tc>
        <w:tc>
          <w:tcPr>
            <w:tcW w:w="5112" w:type="dxa"/>
            <w:shd w:val="clear" w:color="000000" w:fill="FFFFFF"/>
            <w:vAlign w:val="center"/>
          </w:tcPr>
          <w:p w:rsidR="00B65BFE" w:rsidRPr="00685873" w:rsidRDefault="00C46429"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Description of the relevant internal rules adopted by the applicant </w:t>
            </w:r>
          </w:p>
        </w:tc>
      </w:tr>
      <w:tr w:rsidR="00B65BFE" w:rsidRPr="00685873" w:rsidTr="00441961">
        <w:tblPrEx>
          <w:shd w:val="clear" w:color="auto" w:fill="auto"/>
        </w:tblPrEx>
        <w:trPr>
          <w:trHeight w:val="4001"/>
        </w:trPr>
        <w:tc>
          <w:tcPr>
            <w:tcW w:w="1684" w:type="dxa"/>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15</w:t>
            </w:r>
          </w:p>
        </w:tc>
        <w:tc>
          <w:tcPr>
            <w:tcW w:w="2852" w:type="dxa"/>
            <w:shd w:val="clear" w:color="auto" w:fill="auto"/>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outsourcing arrangements</w:t>
            </w:r>
          </w:p>
        </w:tc>
        <w:tc>
          <w:tcPr>
            <w:tcW w:w="1732" w:type="dxa"/>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Information on outsourcing arrangements </w:t>
            </w:r>
          </w:p>
        </w:tc>
        <w:tc>
          <w:tcPr>
            <w:tcW w:w="5112" w:type="dxa"/>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w:t>
            </w:r>
          </w:p>
          <w:p w:rsidR="00B65BFE" w:rsidRPr="00685873" w:rsidRDefault="00B65BFE" w:rsidP="00B65BFE">
            <w:pPr>
              <w:numPr>
                <w:ilvl w:val="0"/>
                <w:numId w:val="7"/>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operational functions that the applicant plans to outsource, including cloud outsourcing </w:t>
            </w:r>
          </w:p>
          <w:p w:rsidR="00B65BFE" w:rsidRPr="00685873" w:rsidRDefault="00B65BFE" w:rsidP="00B65BFE">
            <w:pPr>
              <w:numPr>
                <w:ilvl w:val="0"/>
                <w:numId w:val="7"/>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third parties to whom the operational functions will be outsourced (where available), including the indication of their location and a summary of the outsourcing arrangements in case the third party </w:t>
            </w:r>
            <w:proofErr w:type="gramStart"/>
            <w:r w:rsidRPr="00685873">
              <w:rPr>
                <w:rFonts w:ascii="Times New Roman" w:eastAsia="Times New Roman" w:hAnsi="Times New Roman" w:cs="Times New Roman"/>
                <w:sz w:val="24"/>
                <w:szCs w:val="24"/>
                <w:lang w:eastAsia="en-GB"/>
              </w:rPr>
              <w:t>is located in</w:t>
            </w:r>
            <w:proofErr w:type="gramEnd"/>
            <w:r w:rsidRPr="00685873">
              <w:rPr>
                <w:rFonts w:ascii="Times New Roman" w:eastAsia="Times New Roman" w:hAnsi="Times New Roman" w:cs="Times New Roman"/>
                <w:sz w:val="24"/>
                <w:szCs w:val="24"/>
                <w:lang w:eastAsia="en-GB"/>
              </w:rPr>
              <w:t xml:space="preserve"> a third country (where available)</w:t>
            </w:r>
          </w:p>
          <w:p w:rsidR="00B65BFE" w:rsidRPr="00685873" w:rsidRDefault="00B65BFE" w:rsidP="00B65BFE">
            <w:pPr>
              <w:numPr>
                <w:ilvl w:val="0"/>
                <w:numId w:val="7"/>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arrangements and resources allocated to the control of the outsourced functions</w:t>
            </w:r>
          </w:p>
          <w:p w:rsidR="00B65BFE" w:rsidRPr="00685873" w:rsidRDefault="00B65BFE" w:rsidP="00B65BFE">
            <w:pPr>
              <w:numPr>
                <w:ilvl w:val="0"/>
                <w:numId w:val="7"/>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service level agreements in place with</w:t>
            </w:r>
            <w:r w:rsidR="00B308A6">
              <w:rPr>
                <w:rFonts w:ascii="Times New Roman" w:eastAsia="Times New Roman" w:hAnsi="Times New Roman" w:cs="Times New Roman"/>
                <w:sz w:val="24"/>
                <w:szCs w:val="24"/>
                <w:lang w:eastAsia="en-GB"/>
              </w:rPr>
              <w:t xml:space="preserve"> the service providers </w:t>
            </w:r>
          </w:p>
        </w:tc>
      </w:tr>
      <w:tr w:rsidR="00B65BFE" w:rsidRPr="00685873" w:rsidTr="00685873">
        <w:tblPrEx>
          <w:shd w:val="clear" w:color="auto" w:fill="auto"/>
        </w:tblPrEx>
        <w:trPr>
          <w:trHeight w:val="2288"/>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16</w:t>
            </w:r>
          </w:p>
        </w:tc>
        <w:tc>
          <w:tcPr>
            <w:tcW w:w="2852" w:type="dxa"/>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procedures to handle complaints from clients </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complaint handling</w:t>
            </w:r>
          </w:p>
        </w:tc>
        <w:tc>
          <w:tcPr>
            <w:tcW w:w="5112" w:type="dxa"/>
            <w:shd w:val="clear" w:color="auto" w:fill="FFFFFF"/>
            <w:vAlign w:val="center"/>
          </w:tcPr>
          <w:p w:rsidR="00B65BFE" w:rsidRPr="00685873" w:rsidRDefault="00B65BFE" w:rsidP="00B65BF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procedures to handle complaints from clients adopted by the </w:t>
            </w:r>
            <w:r w:rsidR="004A2DB5">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including the timeframe within which a decision on the complaint will be notified to potential complainants, as provided in article </w:t>
            </w:r>
            <w:r w:rsidR="004A2DB5">
              <w:rPr>
                <w:rFonts w:ascii="Times New Roman" w:eastAsia="Times New Roman" w:hAnsi="Times New Roman" w:cs="Times New Roman"/>
                <w:color w:val="000000"/>
                <w:sz w:val="24"/>
                <w:szCs w:val="24"/>
                <w:lang w:eastAsia="en-GB"/>
              </w:rPr>
              <w:t>[2]</w:t>
            </w:r>
            <w:r w:rsidRPr="00685873">
              <w:rPr>
                <w:rFonts w:ascii="Times New Roman" w:eastAsia="Times New Roman" w:hAnsi="Times New Roman" w:cs="Times New Roman"/>
                <w:color w:val="000000"/>
                <w:sz w:val="24"/>
                <w:szCs w:val="24"/>
                <w:lang w:eastAsia="en-GB"/>
              </w:rPr>
              <w:t xml:space="preserve">(2)(f) of Commission Delegated Regulation (EU) [o]/[o], according to Commission Delegated Regulation (EU) [o]/[o] </w:t>
            </w:r>
          </w:p>
          <w:p w:rsidR="00B65BFE" w:rsidRPr="00685873" w:rsidRDefault="00B65BFE" w:rsidP="00B65BFE">
            <w:pPr>
              <w:spacing w:after="0" w:line="240" w:lineRule="auto"/>
              <w:jc w:val="both"/>
              <w:rPr>
                <w:rFonts w:ascii="Times New Roman" w:eastAsia="Times New Roman" w:hAnsi="Times New Roman" w:cs="Times New Roman"/>
                <w:color w:val="000000"/>
                <w:sz w:val="24"/>
                <w:szCs w:val="24"/>
                <w:highlight w:val="yellow"/>
                <w:lang w:eastAsia="en-GB"/>
              </w:rPr>
            </w:pPr>
          </w:p>
          <w:p w:rsidR="00B65BFE" w:rsidRPr="00685873" w:rsidRDefault="00B65BFE" w:rsidP="00B65BFE">
            <w:pPr>
              <w:spacing w:after="0" w:line="240" w:lineRule="auto"/>
              <w:jc w:val="both"/>
              <w:rPr>
                <w:rFonts w:ascii="Times New Roman" w:eastAsia="Times New Roman" w:hAnsi="Times New Roman" w:cs="Times New Roman"/>
                <w:color w:val="000000"/>
                <w:sz w:val="24"/>
                <w:szCs w:val="24"/>
                <w:highlight w:val="yellow"/>
                <w:lang w:eastAsia="en-GB"/>
              </w:rPr>
            </w:pPr>
          </w:p>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p>
        </w:tc>
      </w:tr>
      <w:tr w:rsidR="00B65BFE" w:rsidRPr="00685873" w:rsidTr="00685873">
        <w:tblPrEx>
          <w:shd w:val="clear" w:color="auto" w:fill="auto"/>
        </w:tblPrEx>
        <w:trPr>
          <w:trHeight w:val="727"/>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17</w:t>
            </w:r>
          </w:p>
        </w:tc>
        <w:tc>
          <w:tcPr>
            <w:tcW w:w="2852" w:type="dxa"/>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Confirmation of whether the applicant intends to provide payment services itself or through a third party, under Directive (EU) 2015/2366, or through an arrangement in accordance with Article 10(5) of Regulation (EU) 2020/1503</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payment services</w:t>
            </w:r>
          </w:p>
        </w:tc>
        <w:tc>
          <w:tcPr>
            <w:tcW w:w="5112" w:type="dxa"/>
            <w:shd w:val="clear" w:color="auto" w:fill="FFFFFF"/>
            <w:vAlign w:val="center"/>
            <w:hideMark/>
          </w:tcPr>
          <w:p w:rsidR="00B65BFE" w:rsidRPr="008F3307" w:rsidRDefault="00B65BFE" w:rsidP="008F3307">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en-GB"/>
              </w:rPr>
            </w:pPr>
            <w:r w:rsidRPr="008F3307">
              <w:rPr>
                <w:rFonts w:ascii="Times New Roman" w:eastAsia="Times New Roman" w:hAnsi="Times New Roman" w:cs="Times New Roman"/>
                <w:color w:val="000000"/>
                <w:sz w:val="24"/>
                <w:szCs w:val="24"/>
                <w:lang w:eastAsia="en-GB"/>
              </w:rPr>
              <w:t>1. The applicant shall inform the competent authority whether the payment services will be provided (cross as appropriate):</w:t>
            </w:r>
          </w:p>
          <w:p w:rsidR="00B65BFE" w:rsidRPr="00685873" w:rsidRDefault="00B65BFE" w:rsidP="008F3307">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noProof/>
                <w:color w:val="000000"/>
                <w:sz w:val="24"/>
                <w:szCs w:val="24"/>
                <w:lang w:eastAsia="en-GB"/>
              </w:rPr>
              <mc:AlternateContent>
                <mc:Choice Requires="wpi">
                  <w:drawing>
                    <wp:anchor distT="0" distB="0" distL="114300" distR="114300" simplePos="0" relativeHeight="251666432" behindDoc="0" locked="0" layoutInCell="1" allowOverlap="1" wp14:anchorId="5652A187" wp14:editId="3B0B9122">
                      <wp:simplePos x="0" y="0"/>
                      <wp:positionH relativeFrom="column">
                        <wp:posOffset>4085781</wp:posOffset>
                      </wp:positionH>
                      <wp:positionV relativeFrom="paragraph">
                        <wp:posOffset>586991</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314DD5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321.35pt;margin-top:45.85pt;width:.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">
                      <v:imagedata r:id="rId14" o:title=""/>
                    </v:shape>
                  </w:pict>
                </mc:Fallback>
              </mc:AlternateContent>
            </w:r>
            <w:r w:rsidRPr="00685873">
              <w:rPr>
                <w:rFonts w:ascii="Times New Roman" w:eastAsia="Times New Roman" w:hAnsi="Times New Roman" w:cs="Times New Roman"/>
                <w:noProof/>
                <w:color w:val="000000"/>
                <w:sz w:val="24"/>
                <w:szCs w:val="24"/>
                <w:lang w:eastAsia="en-GB"/>
              </w:rPr>
              <mc:AlternateContent>
                <mc:Choice Requires="wpi">
                  <w:drawing>
                    <wp:anchor distT="0" distB="0" distL="114300" distR="114300" simplePos="0" relativeHeight="251665408" behindDoc="0" locked="0" layoutInCell="1" allowOverlap="1" wp14:anchorId="45CB9E11" wp14:editId="2F7BCE6A">
                      <wp:simplePos x="0" y="0"/>
                      <wp:positionH relativeFrom="column">
                        <wp:posOffset>4944381</wp:posOffset>
                      </wp:positionH>
                      <wp:positionV relativeFrom="paragraph">
                        <wp:posOffset>634871</wp:posOffset>
                      </wp:positionV>
                      <wp:extent cx="360" cy="360"/>
                      <wp:effectExtent l="38100" t="38100" r="38100" b="3810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5CEE3575" id="Ink 12" o:spid="_x0000_s1026" type="#_x0000_t75" style="position:absolute;margin-left:388.95pt;margin-top:49.65pt;width:.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">
                      <v:imagedata r:id="rId14" o:title=""/>
                    </v:shape>
                  </w:pict>
                </mc:Fallback>
              </mc:AlternateContent>
            </w:r>
          </w:p>
          <w:p w:rsidR="00B65BFE" w:rsidRPr="00685873" w:rsidRDefault="00055711" w:rsidP="008F3307">
            <w:pPr>
              <w:autoSpaceDE w:val="0"/>
              <w:autoSpaceDN w:val="0"/>
              <w:adjustRightInd w:val="0"/>
              <w:spacing w:after="0" w:line="240" w:lineRule="auto"/>
              <w:ind w:left="708" w:firstLine="9"/>
              <w:jc w:val="both"/>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407048359"/>
                <w14:checkbox>
                  <w14:checked w14:val="0"/>
                  <w14:checkedState w14:val="2612" w14:font="MS Gothic"/>
                  <w14:uncheckedState w14:val="2610" w14:font="MS Gothic"/>
                </w14:checkbox>
              </w:sdtPr>
              <w:sdtEndPr/>
              <w:sdtContent>
                <w:r w:rsidR="00B65BFE" w:rsidRPr="008F3307">
                  <w:rPr>
                    <w:rFonts w:ascii="Segoe UI Symbol" w:eastAsia="Times New Roman" w:hAnsi="Segoe UI Symbol" w:cs="Segoe UI Symbol"/>
                    <w:color w:val="000000"/>
                    <w:sz w:val="24"/>
                    <w:szCs w:val="24"/>
                    <w:lang w:eastAsia="en-GB"/>
                  </w:rPr>
                  <w:t>☐</w:t>
                </w:r>
              </w:sdtContent>
            </w:sdt>
            <w:r w:rsidR="00B65BFE" w:rsidRPr="00685873">
              <w:rPr>
                <w:rFonts w:ascii="Times New Roman" w:eastAsia="Times New Roman" w:hAnsi="Times New Roman" w:cs="Times New Roman"/>
                <w:color w:val="000000"/>
                <w:sz w:val="24"/>
                <w:szCs w:val="24"/>
                <w:lang w:eastAsia="en-GB"/>
              </w:rPr>
              <w:t xml:space="preserve"> the applicant itself. If so, the applicant shall provide information on the relevant authorisation as payment service provider in accordance with Directive 2015/2366</w:t>
            </w:r>
          </w:p>
          <w:p w:rsidR="00B65BFE" w:rsidRPr="00685873" w:rsidRDefault="00B65BFE" w:rsidP="008F3307">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en-GB"/>
              </w:rPr>
            </w:pPr>
          </w:p>
          <w:p w:rsidR="00B65BFE" w:rsidRPr="00685873" w:rsidRDefault="00055711" w:rsidP="00D55A09">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1709683403"/>
                <w14:checkbox>
                  <w14:checked w14:val="0"/>
                  <w14:checkedState w14:val="2612" w14:font="MS Gothic"/>
                  <w14:uncheckedState w14:val="2610" w14:font="MS Gothic"/>
                </w14:checkbox>
              </w:sdtPr>
              <w:sdtEndPr/>
              <w:sdtContent>
                <w:r w:rsidR="00B65BFE" w:rsidRPr="008F3307">
                  <w:rPr>
                    <w:rFonts w:ascii="Segoe UI Symbol" w:eastAsia="Times New Roman" w:hAnsi="Segoe UI Symbol" w:cs="Segoe UI Symbol"/>
                    <w:color w:val="000000"/>
                    <w:sz w:val="24"/>
                    <w:szCs w:val="24"/>
                    <w:lang w:eastAsia="en-GB"/>
                  </w:rPr>
                  <w:t>☐</w:t>
                </w:r>
              </w:sdtContent>
            </w:sdt>
            <w:r w:rsidR="00B65BFE" w:rsidRPr="00685873">
              <w:rPr>
                <w:rFonts w:ascii="Times New Roman" w:eastAsia="Times New Roman" w:hAnsi="Times New Roman" w:cs="Times New Roman"/>
                <w:color w:val="000000"/>
                <w:sz w:val="24"/>
                <w:szCs w:val="24"/>
                <w:lang w:eastAsia="en-GB"/>
              </w:rPr>
              <w:t xml:space="preserve"> an authorised third party. If so, the applicant shall indicate the name of the third party</w:t>
            </w:r>
            <w:r w:rsidR="008F3307">
              <w:rPr>
                <w:rFonts w:ascii="Times New Roman" w:eastAsia="Times New Roman" w:hAnsi="Times New Roman" w:cs="Times New Roman"/>
                <w:color w:val="000000"/>
                <w:sz w:val="24"/>
                <w:szCs w:val="24"/>
                <w:lang w:eastAsia="en-GB"/>
              </w:rPr>
              <w:t>,</w:t>
            </w:r>
            <w:r w:rsidR="00B65BFE" w:rsidRPr="00685873">
              <w:rPr>
                <w:rFonts w:ascii="Times New Roman" w:eastAsia="Times New Roman" w:hAnsi="Times New Roman" w:cs="Times New Roman"/>
                <w:color w:val="000000"/>
                <w:sz w:val="24"/>
                <w:szCs w:val="24"/>
                <w:lang w:eastAsia="en-GB"/>
              </w:rPr>
              <w:t xml:space="preserve"> and the applicant shall submit a copy of the </w:t>
            </w:r>
            <w:r w:rsidR="00D55A09">
              <w:rPr>
                <w:rFonts w:ascii="Times New Roman" w:eastAsia="Times New Roman" w:hAnsi="Times New Roman" w:cs="Times New Roman"/>
                <w:color w:val="000000"/>
                <w:sz w:val="24"/>
                <w:szCs w:val="24"/>
                <w:lang w:eastAsia="en-GB"/>
              </w:rPr>
              <w:t xml:space="preserve">subscribed agreement with the third party incorporating all the elements necessary to comply with Regulation (EU) 2020/1503, when available, or a copy of the </w:t>
            </w:r>
            <w:r w:rsidR="00B65BFE" w:rsidRPr="00685873">
              <w:rPr>
                <w:rFonts w:ascii="Times New Roman" w:eastAsia="Times New Roman" w:hAnsi="Times New Roman" w:cs="Times New Roman"/>
                <w:color w:val="000000"/>
                <w:sz w:val="24"/>
                <w:szCs w:val="24"/>
                <w:lang w:eastAsia="en-GB"/>
              </w:rPr>
              <w:t>preliminary agreement with the third party</w:t>
            </w:r>
            <w:r w:rsidR="00D0602C">
              <w:rPr>
                <w:rFonts w:ascii="Times New Roman" w:eastAsia="Times New Roman" w:hAnsi="Times New Roman" w:cs="Times New Roman"/>
                <w:color w:val="000000"/>
                <w:sz w:val="24"/>
                <w:szCs w:val="24"/>
                <w:lang w:eastAsia="en-GB"/>
              </w:rPr>
              <w:t xml:space="preserve">, </w:t>
            </w:r>
            <w:r w:rsidR="00E93F6E" w:rsidRPr="00E93F6E">
              <w:rPr>
                <w:rFonts w:ascii="Times New Roman" w:eastAsia="Times New Roman" w:hAnsi="Times New Roman" w:cs="Times New Roman"/>
                <w:color w:val="000000"/>
                <w:sz w:val="24"/>
                <w:szCs w:val="24"/>
                <w:lang w:eastAsia="en-GB"/>
              </w:rPr>
              <w:t>incorporating all the elements necessary to comply with Regulation (EU) 2020/1503 signed by a</w:t>
            </w:r>
            <w:r w:rsidR="00D55A09">
              <w:rPr>
                <w:rFonts w:ascii="Times New Roman" w:eastAsia="Times New Roman" w:hAnsi="Times New Roman" w:cs="Times New Roman"/>
                <w:color w:val="000000"/>
                <w:sz w:val="24"/>
                <w:szCs w:val="24"/>
                <w:lang w:eastAsia="en-GB"/>
              </w:rPr>
              <w:t xml:space="preserve"> third party </w:t>
            </w:r>
            <w:r w:rsidR="00E93F6E" w:rsidRPr="00E93F6E">
              <w:rPr>
                <w:rFonts w:ascii="Times New Roman" w:eastAsia="Times New Roman" w:hAnsi="Times New Roman" w:cs="Times New Roman"/>
                <w:color w:val="000000"/>
                <w:sz w:val="24"/>
                <w:szCs w:val="24"/>
                <w:lang w:eastAsia="en-GB"/>
              </w:rPr>
              <w:t xml:space="preserve">authorised to </w:t>
            </w:r>
            <w:r w:rsidR="00D55A09">
              <w:rPr>
                <w:rFonts w:ascii="Times New Roman" w:eastAsia="Times New Roman" w:hAnsi="Times New Roman" w:cs="Times New Roman"/>
                <w:color w:val="000000"/>
                <w:sz w:val="24"/>
                <w:szCs w:val="24"/>
                <w:lang w:eastAsia="en-GB"/>
              </w:rPr>
              <w:t xml:space="preserve">payment services </w:t>
            </w:r>
            <w:r w:rsidR="00E93F6E" w:rsidRPr="00E93F6E">
              <w:rPr>
                <w:rFonts w:ascii="Times New Roman" w:eastAsia="Times New Roman" w:hAnsi="Times New Roman" w:cs="Times New Roman"/>
                <w:color w:val="000000"/>
                <w:sz w:val="24"/>
                <w:szCs w:val="24"/>
                <w:lang w:eastAsia="en-GB"/>
              </w:rPr>
              <w:t>in accordance with Union law or national law</w:t>
            </w:r>
          </w:p>
          <w:p w:rsidR="00B65BFE" w:rsidRPr="008F3307" w:rsidRDefault="00B65BFE" w:rsidP="00FD355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en-GB"/>
              </w:rPr>
            </w:pPr>
          </w:p>
          <w:p w:rsidR="00B65BFE" w:rsidRPr="00F415D4" w:rsidRDefault="00055711" w:rsidP="0068702D">
            <w:pPr>
              <w:autoSpaceDE w:val="0"/>
              <w:autoSpaceDN w:val="0"/>
              <w:adjustRightInd w:val="0"/>
              <w:spacing w:after="250" w:line="240" w:lineRule="auto"/>
              <w:ind w:left="708"/>
              <w:jc w:val="both"/>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1507044077"/>
                <w14:checkbox>
                  <w14:checked w14:val="0"/>
                  <w14:checkedState w14:val="2612" w14:font="MS Gothic"/>
                  <w14:uncheckedState w14:val="2610" w14:font="MS Gothic"/>
                </w14:checkbox>
              </w:sdtPr>
              <w:sdtEndPr/>
              <w:sdtContent>
                <w:r w:rsidR="00B65BFE" w:rsidRPr="008F3307">
                  <w:rPr>
                    <w:rFonts w:ascii="Segoe UI Symbol" w:eastAsia="Times New Roman" w:hAnsi="Segoe UI Symbol" w:cs="Segoe UI Symbol"/>
                    <w:color w:val="000000"/>
                    <w:sz w:val="24"/>
                    <w:szCs w:val="24"/>
                    <w:lang w:eastAsia="en-GB"/>
                  </w:rPr>
                  <w:t>☐</w:t>
                </w:r>
              </w:sdtContent>
            </w:sdt>
            <w:r w:rsidR="00B65BFE" w:rsidRPr="008F3307">
              <w:rPr>
                <w:rFonts w:ascii="Times New Roman" w:eastAsia="Times New Roman" w:hAnsi="Times New Roman" w:cs="Times New Roman"/>
                <w:color w:val="000000"/>
                <w:sz w:val="24"/>
                <w:szCs w:val="24"/>
                <w:lang w:eastAsia="en-GB"/>
              </w:rPr>
              <w:t xml:space="preserve"> Through arrangement</w:t>
            </w:r>
            <w:r w:rsidR="0068702D">
              <w:rPr>
                <w:rFonts w:ascii="Times New Roman" w:eastAsia="Times New Roman" w:hAnsi="Times New Roman" w:cs="Times New Roman"/>
                <w:color w:val="000000"/>
                <w:sz w:val="24"/>
                <w:szCs w:val="24"/>
                <w:lang w:eastAsia="en-GB"/>
              </w:rPr>
              <w:t>s</w:t>
            </w:r>
            <w:r w:rsidR="00B65BFE" w:rsidRPr="008F3307">
              <w:rPr>
                <w:rFonts w:ascii="Times New Roman" w:eastAsia="Times New Roman" w:hAnsi="Times New Roman" w:cs="Times New Roman"/>
                <w:color w:val="000000"/>
                <w:sz w:val="24"/>
                <w:szCs w:val="24"/>
                <w:lang w:eastAsia="en-GB"/>
              </w:rPr>
              <w:t xml:space="preserve"> in accordance with Article 10(5) of Regulation (EU) No 2020/1503</w:t>
            </w:r>
            <w:r w:rsidR="00F415D4">
              <w:rPr>
                <w:rFonts w:ascii="Times New Roman" w:eastAsia="Times New Roman" w:hAnsi="Times New Roman" w:cs="Times New Roman"/>
                <w:color w:val="000000"/>
                <w:sz w:val="24"/>
                <w:szCs w:val="24"/>
                <w:lang w:eastAsia="en-GB"/>
              </w:rPr>
              <w:t xml:space="preserve">, </w:t>
            </w:r>
            <w:r w:rsidR="0068702D">
              <w:rPr>
                <w:rFonts w:ascii="Times New Roman" w:eastAsia="Times New Roman" w:hAnsi="Times New Roman" w:cs="Times New Roman"/>
                <w:color w:val="000000"/>
                <w:sz w:val="24"/>
                <w:szCs w:val="24"/>
                <w:lang w:eastAsia="en-GB"/>
              </w:rPr>
              <w:t xml:space="preserve">which ensure </w:t>
            </w:r>
            <w:r w:rsidR="0068702D" w:rsidRPr="0068702D">
              <w:rPr>
                <w:rFonts w:ascii="Times New Roman" w:eastAsia="Times New Roman" w:hAnsi="Times New Roman" w:cs="Times New Roman"/>
                <w:color w:val="000000"/>
                <w:sz w:val="24"/>
                <w:szCs w:val="24"/>
                <w:lang w:eastAsia="en-GB"/>
              </w:rPr>
              <w:t>that project owners accept funding of crowdfunding projects, or any other payment, only by means of a</w:t>
            </w:r>
            <w:r w:rsidR="0068702D">
              <w:rPr>
                <w:rFonts w:ascii="Times New Roman" w:eastAsia="Times New Roman" w:hAnsi="Times New Roman" w:cs="Times New Roman"/>
                <w:color w:val="000000"/>
                <w:sz w:val="24"/>
                <w:szCs w:val="24"/>
                <w:lang w:eastAsia="en-GB"/>
              </w:rPr>
              <w:t xml:space="preserve"> </w:t>
            </w:r>
            <w:r w:rsidR="0068702D" w:rsidRPr="0068702D">
              <w:rPr>
                <w:rFonts w:ascii="Times New Roman" w:eastAsia="Times New Roman" w:hAnsi="Times New Roman" w:cs="Times New Roman"/>
                <w:color w:val="000000"/>
                <w:sz w:val="24"/>
                <w:szCs w:val="24"/>
                <w:lang w:eastAsia="en-GB"/>
              </w:rPr>
              <w:t>payment service provider in accordance with Directive (EU) 2015/2366</w:t>
            </w:r>
            <w:r w:rsidR="00B65BFE" w:rsidRPr="00F415D4">
              <w:rPr>
                <w:rFonts w:ascii="Times New Roman" w:eastAsia="Times New Roman" w:hAnsi="Times New Roman" w:cs="Times New Roman"/>
                <w:color w:val="000000"/>
                <w:sz w:val="24"/>
                <w:szCs w:val="24"/>
                <w:lang w:eastAsia="en-GB"/>
              </w:rPr>
              <w:t>. If so, the applicant shall provide a description of such arrangements</w:t>
            </w:r>
            <w:r w:rsidR="00B65BFE" w:rsidRPr="00335003">
              <w:rPr>
                <w:rFonts w:ascii="Times New Roman" w:eastAsia="Times New Roman" w:hAnsi="Times New Roman" w:cs="Times New Roman"/>
                <w:color w:val="000000"/>
                <w:sz w:val="24"/>
                <w:szCs w:val="24"/>
                <w:lang w:eastAsia="en-GB"/>
              </w:rPr>
              <w:t xml:space="preserve">. </w:t>
            </w:r>
          </w:p>
          <w:p w:rsidR="00B65BFE" w:rsidRPr="008F3307" w:rsidRDefault="00B65BFE" w:rsidP="008F3307">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en-GB"/>
              </w:rPr>
            </w:pPr>
            <w:r w:rsidRPr="008F3307">
              <w:rPr>
                <w:rFonts w:ascii="Times New Roman" w:eastAsia="Times New Roman" w:hAnsi="Times New Roman" w:cs="Times New Roman"/>
                <w:color w:val="000000"/>
                <w:sz w:val="24"/>
                <w:szCs w:val="24"/>
                <w:lang w:eastAsia="en-GB"/>
              </w:rPr>
              <w:t>2. The applicant shall include a description of the procedures and systems established by which the funds from the investors will be sent to the project owner and by which the investors will receive the remuneration of the capital invested</w:t>
            </w:r>
          </w:p>
          <w:p w:rsidR="00B65BFE" w:rsidRPr="00685873" w:rsidRDefault="00B65BFE" w:rsidP="008F3307">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en-GB"/>
              </w:rPr>
            </w:pPr>
          </w:p>
        </w:tc>
      </w:tr>
      <w:tr w:rsidR="00B65BFE" w:rsidRPr="00685873" w:rsidTr="00685873">
        <w:tblPrEx>
          <w:shd w:val="clear" w:color="auto" w:fill="auto"/>
        </w:tblPrEx>
        <w:trPr>
          <w:trHeight w:val="5441"/>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18</w:t>
            </w:r>
          </w:p>
        </w:tc>
        <w:tc>
          <w:tcPr>
            <w:tcW w:w="2852" w:type="dxa"/>
            <w:shd w:val="clear" w:color="auto" w:fill="FFFFFF"/>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Procedures to verify the completeness, correctness and clarity of the information contained in the key investment information sheet</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on the key investment information sheet</w:t>
            </w:r>
          </w:p>
        </w:tc>
        <w:tc>
          <w:tcPr>
            <w:tcW w:w="5112" w:type="dxa"/>
            <w:shd w:val="clear" w:color="auto" w:fill="FFFFFF"/>
            <w:vAlign w:val="center"/>
          </w:tcPr>
          <w:p w:rsidR="00B65BFE" w:rsidRPr="00685873" w:rsidRDefault="00B774F2" w:rsidP="00B65BFE">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Description of the </w:t>
            </w:r>
            <w:r w:rsidR="00EC7D09">
              <w:rPr>
                <w:rFonts w:ascii="Times New Roman" w:eastAsia="Times New Roman" w:hAnsi="Times New Roman" w:cs="Times New Roman"/>
                <w:sz w:val="24"/>
                <w:szCs w:val="24"/>
              </w:rPr>
              <w:t xml:space="preserve">relevant </w:t>
            </w:r>
            <w:r>
              <w:rPr>
                <w:rFonts w:ascii="Times New Roman" w:eastAsia="Times New Roman" w:hAnsi="Times New Roman" w:cs="Times New Roman"/>
                <w:sz w:val="24"/>
                <w:szCs w:val="24"/>
              </w:rPr>
              <w:t>procedures adopted</w:t>
            </w:r>
            <w:r w:rsidR="00EC7D09">
              <w:rPr>
                <w:rFonts w:ascii="Times New Roman" w:eastAsia="Times New Roman" w:hAnsi="Times New Roman" w:cs="Times New Roman"/>
                <w:sz w:val="24"/>
                <w:szCs w:val="24"/>
              </w:rPr>
              <w:t xml:space="preserve"> by the applicant</w:t>
            </w:r>
            <w:r>
              <w:rPr>
                <w:rFonts w:ascii="Times New Roman" w:eastAsia="Times New Roman" w:hAnsi="Times New Roman" w:cs="Times New Roman"/>
                <w:sz w:val="24"/>
                <w:szCs w:val="24"/>
              </w:rPr>
              <w:t xml:space="preserve"> </w:t>
            </w:r>
          </w:p>
        </w:tc>
      </w:tr>
      <w:tr w:rsidR="00B65BFE" w:rsidRPr="00685873" w:rsidTr="00685873">
        <w:tblPrEx>
          <w:shd w:val="clear" w:color="auto" w:fill="auto"/>
        </w:tblPrEx>
        <w:trPr>
          <w:trHeight w:val="1433"/>
        </w:trPr>
        <w:tc>
          <w:tcPr>
            <w:tcW w:w="1684"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19</w:t>
            </w:r>
          </w:p>
        </w:tc>
        <w:tc>
          <w:tcPr>
            <w:tcW w:w="2852" w:type="dxa"/>
            <w:shd w:val="clear" w:color="auto" w:fill="FFFFFF"/>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bookmarkStart w:id="3" w:name="_Hlk57743747"/>
            <w:r w:rsidRPr="00685873">
              <w:rPr>
                <w:rFonts w:ascii="Times New Roman" w:eastAsia="Times New Roman" w:hAnsi="Times New Roman" w:cs="Times New Roman"/>
                <w:sz w:val="24"/>
                <w:szCs w:val="24"/>
              </w:rPr>
              <w:t xml:space="preserve">Procedures in relation to investment limits for non-sophisticated investors </w:t>
            </w:r>
            <w:bookmarkEnd w:id="3"/>
            <w:r w:rsidRPr="00685873">
              <w:rPr>
                <w:rFonts w:ascii="Times New Roman" w:eastAsia="Times New Roman" w:hAnsi="Times New Roman" w:cs="Times New Roman"/>
                <w:sz w:val="24"/>
                <w:szCs w:val="24"/>
              </w:rPr>
              <w:t>referred to in Article 21(7) of Regulation (EU) 2020/1503</w:t>
            </w:r>
          </w:p>
        </w:tc>
        <w:tc>
          <w:tcPr>
            <w:tcW w:w="1732" w:type="dxa"/>
            <w:shd w:val="clear" w:color="auto" w:fill="FFFFFF"/>
            <w:vAlign w:val="center"/>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hideMark/>
          </w:tcPr>
          <w:p w:rsidR="00B65BFE" w:rsidRPr="00685873" w:rsidRDefault="00B65BFE" w:rsidP="00B65BFE">
            <w:pPr>
              <w:spacing w:after="0" w:line="240" w:lineRule="auto"/>
              <w:jc w:val="both"/>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on investment limits for non-sophisticated investors</w:t>
            </w:r>
          </w:p>
        </w:tc>
        <w:tc>
          <w:tcPr>
            <w:tcW w:w="5112" w:type="dxa"/>
            <w:shd w:val="clear" w:color="auto" w:fill="FFFFFF"/>
            <w:vAlign w:val="center"/>
            <w:hideMark/>
          </w:tcPr>
          <w:p w:rsidR="00B65BFE" w:rsidRPr="00685873" w:rsidRDefault="00B65BFE" w:rsidP="00B65BFE">
            <w:pPr>
              <w:spacing w:after="250" w:line="276"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1. The applicant shall provide a description of the procedures adopted in order:</w:t>
            </w:r>
          </w:p>
          <w:p w:rsidR="00B65BFE" w:rsidRPr="00685873" w:rsidRDefault="00B65BFE" w:rsidP="00B65BFE">
            <w:pPr>
              <w:numPr>
                <w:ilvl w:val="0"/>
                <w:numId w:val="13"/>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color w:val="000000"/>
                <w:sz w:val="24"/>
                <w:szCs w:val="24"/>
                <w:lang w:eastAsia="en-GB"/>
              </w:rPr>
              <w:t xml:space="preserve">to carry out the assessment </w:t>
            </w:r>
            <w:r w:rsidRPr="00685873">
              <w:rPr>
                <w:rFonts w:ascii="Times New Roman" w:eastAsia="Times New Roman" w:hAnsi="Times New Roman" w:cs="Times New Roman"/>
                <w:sz w:val="24"/>
                <w:szCs w:val="24"/>
                <w:lang w:eastAsia="en-GB"/>
              </w:rPr>
              <w:t>whether and which crowdfunding services offered are appropriate, including details on information requested to non-sophisticated investors about their experience, investment objectives, financial situation and basic understanding of risks involved in investing in general and in investing in the types of investments offered on the crowdfunding platform, referred to in Article 21, paragraphs 1 and 2</w:t>
            </w:r>
          </w:p>
          <w:p w:rsidR="00B65BFE" w:rsidRPr="00685873" w:rsidRDefault="00B65BFE" w:rsidP="00B65BFE">
            <w:pPr>
              <w:numPr>
                <w:ilvl w:val="0"/>
                <w:numId w:val="13"/>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to carry out the simulation required to prospective non-sophisticated investors of their ability to bear loss, referred to in Article 21, paragraph 5</w:t>
            </w:r>
          </w:p>
          <w:p w:rsidR="00B65BFE" w:rsidRPr="00685873" w:rsidRDefault="00B65BFE" w:rsidP="00B65BFE">
            <w:pPr>
              <w:numPr>
                <w:ilvl w:val="0"/>
                <w:numId w:val="13"/>
              </w:numPr>
              <w:tabs>
                <w:tab w:val="left" w:pos="0"/>
                <w:tab w:val="left" w:pos="709"/>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to provide the information referred to in Article 21, paragraph 4</w:t>
            </w:r>
          </w:p>
          <w:p w:rsidR="00B65BFE" w:rsidRPr="00685873" w:rsidRDefault="00B65BFE" w:rsidP="00B65BFE">
            <w:pPr>
              <w:spacing w:after="250" w:line="276" w:lineRule="auto"/>
              <w:ind w:left="360"/>
              <w:jc w:val="both"/>
              <w:rPr>
                <w:rFonts w:ascii="Times New Roman" w:eastAsia="Times New Roman" w:hAnsi="Times New Roman" w:cs="Times New Roman"/>
                <w:sz w:val="24"/>
                <w:szCs w:val="24"/>
                <w:lang w:eastAsia="en-GB"/>
              </w:rPr>
            </w:pPr>
          </w:p>
          <w:p w:rsidR="00B65BFE" w:rsidRPr="00685873" w:rsidRDefault="00B65BFE" w:rsidP="00B65BFE">
            <w:pPr>
              <w:spacing w:after="250" w:line="276" w:lineRule="auto"/>
              <w:jc w:val="both"/>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2. The applicant shall provide a description of the </w:t>
            </w:r>
            <w:r w:rsidRPr="00685873">
              <w:rPr>
                <w:rFonts w:ascii="Times New Roman" w:eastAsia="Times New Roman" w:hAnsi="Times New Roman" w:cs="Times New Roman"/>
                <w:color w:val="000000"/>
                <w:sz w:val="24"/>
                <w:szCs w:val="24"/>
                <w:lang w:eastAsia="en-GB"/>
              </w:rPr>
              <w:t xml:space="preserve">procedures adopted by the applicant on investment limits for non-sophisticated investors, including the description of the content of the specific risk warning and the arrangements to acquire from the investor the </w:t>
            </w:r>
            <w:r w:rsidRPr="00685873">
              <w:rPr>
                <w:rFonts w:ascii="Times New Roman" w:eastAsia="Times New Roman" w:hAnsi="Times New Roman" w:cs="Times New Roman"/>
                <w:sz w:val="24"/>
                <w:szCs w:val="24"/>
              </w:rPr>
              <w:t>explicit consent</w:t>
            </w:r>
          </w:p>
        </w:tc>
      </w:tr>
    </w:tbl>
    <w:p w:rsidR="003F3956" w:rsidRDefault="003F3956"/>
    <w:sectPr w:rsidR="003F3956" w:rsidSect="0068587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5711" w:rsidRDefault="00055711" w:rsidP="00685873">
      <w:pPr>
        <w:spacing w:after="0" w:line="240" w:lineRule="auto"/>
      </w:pPr>
      <w:r>
        <w:separator/>
      </w:r>
    </w:p>
  </w:endnote>
  <w:endnote w:type="continuationSeparator" w:id="0">
    <w:p w:rsidR="00055711" w:rsidRDefault="00055711" w:rsidP="0068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349B" w:rsidRDefault="00C4349B">
    <w:pPr>
      <w:pStyle w:val="Kjene"/>
    </w:pPr>
    <w:r w:rsidRPr="00511E05">
      <w:rPr>
        <w:rFonts w:ascii="Arial" w:hAnsi="Arial" w:cs="Arial"/>
        <w:sz w:val="48"/>
      </w:rPr>
      <w:t>EN</w:t>
    </w:r>
    <w:r w:rsidRPr="00511E05">
      <w:rPr>
        <w:rFonts w:ascii="Arial" w:hAnsi="Arial" w:cs="Arial"/>
        <w:sz w:val="48"/>
      </w:rPr>
      <w:tab/>
    </w:r>
    <w:r w:rsidRPr="007F1CFC">
      <w:rPr>
        <w:rFonts w:ascii="Times New Roman" w:hAnsi="Times New Roman" w:cs="Times New Roman"/>
      </w:rPr>
      <w:fldChar w:fldCharType="begin"/>
    </w:r>
    <w:r w:rsidRPr="007F1CFC">
      <w:rPr>
        <w:rFonts w:ascii="Times New Roman" w:hAnsi="Times New Roman" w:cs="Times New Roman"/>
      </w:rPr>
      <w:instrText xml:space="preserve"> PAGE  \* MERGEFORMAT </w:instrText>
    </w:r>
    <w:r w:rsidRPr="007F1CFC">
      <w:rPr>
        <w:rFonts w:ascii="Times New Roman" w:hAnsi="Times New Roman" w:cs="Times New Roman"/>
      </w:rPr>
      <w:fldChar w:fldCharType="separate"/>
    </w:r>
    <w:r>
      <w:rPr>
        <w:rFonts w:ascii="Times New Roman" w:hAnsi="Times New Roman" w:cs="Times New Roman"/>
      </w:rPr>
      <w:t>80</w:t>
    </w:r>
    <w:r w:rsidRPr="007F1CFC">
      <w:rPr>
        <w:rFonts w:ascii="Times New Roman" w:hAnsi="Times New Roman" w:cs="Times New Roman"/>
      </w:rPr>
      <w:fldChar w:fldCharType="end"/>
    </w:r>
    <w:r>
      <w:tab/>
    </w:r>
    <w:r w:rsidRPr="000D6D20">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5711" w:rsidRDefault="00055711" w:rsidP="00685873">
      <w:pPr>
        <w:spacing w:after="0" w:line="240" w:lineRule="auto"/>
      </w:pPr>
      <w:r>
        <w:separator/>
      </w:r>
    </w:p>
  </w:footnote>
  <w:footnote w:type="continuationSeparator" w:id="0">
    <w:p w:rsidR="00055711" w:rsidRDefault="00055711" w:rsidP="00685873">
      <w:pPr>
        <w:spacing w:after="0" w:line="240" w:lineRule="auto"/>
      </w:pPr>
      <w:r>
        <w:continuationSeparator/>
      </w:r>
    </w:p>
  </w:footnote>
  <w:footnote w:id="1">
    <w:p w:rsidR="00C4349B" w:rsidRPr="001F0B7E" w:rsidRDefault="00C4349B" w:rsidP="00685873">
      <w:pPr>
        <w:pStyle w:val="Vresteksts"/>
        <w:spacing w:line="200" w:lineRule="exact"/>
        <w:ind w:left="142" w:hanging="142"/>
        <w:jc w:val="both"/>
        <w:rPr>
          <w:rFonts w:ascii="Times New Roman" w:eastAsia="Times New Roman" w:hAnsi="Times New Roman" w:cs="Times New Roman"/>
          <w:sz w:val="16"/>
          <w:szCs w:val="16"/>
        </w:rPr>
      </w:pPr>
      <w:r w:rsidRPr="007D1D43">
        <w:rPr>
          <w:rStyle w:val="Footnotenumber1"/>
          <w:rFonts w:ascii="Times New Roman" w:hAnsi="Times New Roman" w:cs="Times New Roman"/>
          <w:szCs w:val="16"/>
        </w:rPr>
        <w:footnoteRef/>
      </w:r>
      <w:r w:rsidRPr="001F0B7E">
        <w:rPr>
          <w:rFonts w:ascii="Times New Roman" w:hAnsi="Times New Roman" w:cs="Times New Roman"/>
          <w:sz w:val="16"/>
          <w:szCs w:val="16"/>
        </w:rPr>
        <w:tab/>
      </w:r>
      <w:r w:rsidRPr="001F0B7E">
        <w:rPr>
          <w:rFonts w:ascii="Times New Roman" w:eastAsia="Times New Roman" w:hAnsi="Times New Roman" w:cs="Times New Roman"/>
          <w:sz w:val="16"/>
          <w:szCs w:val="16"/>
        </w:rPr>
        <w:t xml:space="preserve">OJ L </w:t>
      </w:r>
      <w:r w:rsidRPr="00685873">
        <w:rPr>
          <w:rFonts w:ascii="Times New Roman" w:eastAsia="Times New Roman" w:hAnsi="Times New Roman" w:cs="Times New Roman"/>
          <w:sz w:val="16"/>
          <w:szCs w:val="16"/>
          <w:lang w:val="ro-RO"/>
        </w:rPr>
        <w:t>347</w:t>
      </w:r>
      <w:r w:rsidRPr="001F0B7E">
        <w:rPr>
          <w:rFonts w:ascii="Times New Roman" w:eastAsia="Times New Roman" w:hAnsi="Times New Roman" w:cs="Times New Roman"/>
          <w:sz w:val="16"/>
          <w:szCs w:val="16"/>
        </w:rPr>
        <w:t>, 20.10.2020, p.1.</w:t>
      </w:r>
    </w:p>
  </w:footnote>
  <w:footnote w:id="2">
    <w:p w:rsidR="00C4349B" w:rsidRPr="001F0B7E" w:rsidRDefault="00C4349B" w:rsidP="00685873">
      <w:pPr>
        <w:pStyle w:val="Vresteksts"/>
        <w:spacing w:line="200" w:lineRule="exact"/>
        <w:ind w:left="142" w:hanging="142"/>
        <w:jc w:val="both"/>
        <w:rPr>
          <w:rFonts w:ascii="Times New Roman" w:eastAsia="Times New Roman" w:hAnsi="Times New Roman" w:cs="Times New Roman"/>
          <w:sz w:val="16"/>
          <w:szCs w:val="16"/>
        </w:rPr>
      </w:pPr>
      <w:r w:rsidRPr="001F0B7E">
        <w:rPr>
          <w:rStyle w:val="Footnotenumber1"/>
          <w:rFonts w:ascii="Times New Roman" w:hAnsi="Times New Roman" w:cs="Times New Roman"/>
          <w:szCs w:val="16"/>
        </w:rPr>
        <w:footnoteRef/>
      </w:r>
      <w:r w:rsidRPr="001F0B7E">
        <w:rPr>
          <w:rFonts w:ascii="Times New Roman" w:hAnsi="Times New Roman" w:cs="Times New Roman"/>
          <w:sz w:val="16"/>
          <w:szCs w:val="16"/>
        </w:rPr>
        <w:t xml:space="preserve"> </w:t>
      </w:r>
      <w:r w:rsidRPr="001F0B7E">
        <w:rPr>
          <w:rFonts w:ascii="Times New Roman" w:eastAsia="Times New Roman" w:hAnsi="Times New Roman" w:cs="Times New Roman"/>
          <w:sz w:val="16"/>
          <w:szCs w:val="16"/>
        </w:rPr>
        <w:t xml:space="preserve">Regulation (EU) 2016/679 of the European Parliament and of the Council of 27 April 2016 on the protection of natural persons </w:t>
      </w:r>
      <w:proofErr w:type="gramStart"/>
      <w:r w:rsidRPr="001F0B7E">
        <w:rPr>
          <w:rFonts w:ascii="Times New Roman" w:eastAsia="Times New Roman" w:hAnsi="Times New Roman" w:cs="Times New Roman"/>
          <w:sz w:val="16"/>
          <w:szCs w:val="16"/>
        </w:rPr>
        <w:t>with regard to</w:t>
      </w:r>
      <w:proofErr w:type="gramEnd"/>
      <w:r w:rsidRPr="001F0B7E">
        <w:rPr>
          <w:rFonts w:ascii="Times New Roman" w:eastAsia="Times New Roman" w:hAnsi="Times New Roman" w:cs="Times New Roman"/>
          <w:sz w:val="16"/>
          <w:szCs w:val="16"/>
        </w:rPr>
        <w:t xml:space="preserve"> the </w:t>
      </w:r>
      <w:r w:rsidRPr="00685873">
        <w:rPr>
          <w:rFonts w:ascii="Times New Roman" w:eastAsia="Times New Roman" w:hAnsi="Times New Roman" w:cs="Times New Roman"/>
          <w:sz w:val="16"/>
          <w:szCs w:val="16"/>
          <w:lang w:val="ro-RO"/>
        </w:rPr>
        <w:t>processing</w:t>
      </w:r>
      <w:r w:rsidRPr="001F0B7E">
        <w:rPr>
          <w:rFonts w:ascii="Times New Roman" w:eastAsia="Times New Roman" w:hAnsi="Times New Roman" w:cs="Times New Roman"/>
          <w:sz w:val="16"/>
          <w:szCs w:val="16"/>
        </w:rPr>
        <w:t xml:space="preserve"> of personal data and on the free movement of such data, and repealing Directive 95/46/EC (General Data Protection Regulation), (OJ L 119, 4.5.2016, p. 1–88). </w:t>
      </w:r>
    </w:p>
  </w:footnote>
  <w:footnote w:id="3">
    <w:p w:rsidR="00C4349B" w:rsidRPr="001F0B7E" w:rsidRDefault="00C4349B" w:rsidP="00685873">
      <w:pPr>
        <w:pStyle w:val="Vresteksts"/>
        <w:spacing w:line="200" w:lineRule="exact"/>
        <w:ind w:left="142" w:hanging="142"/>
        <w:jc w:val="both"/>
        <w:rPr>
          <w:rFonts w:ascii="Times New Roman" w:eastAsia="Times New Roman" w:hAnsi="Times New Roman" w:cs="Times New Roman"/>
          <w:sz w:val="16"/>
          <w:szCs w:val="16"/>
        </w:rPr>
      </w:pPr>
      <w:r w:rsidRPr="001F0B7E">
        <w:rPr>
          <w:rFonts w:ascii="Times New Roman" w:eastAsia="Times New Roman" w:hAnsi="Times New Roman" w:cs="Times New Roman"/>
          <w:sz w:val="16"/>
          <w:szCs w:val="16"/>
          <w:vertAlign w:val="superscript"/>
        </w:rPr>
        <w:footnoteRef/>
      </w:r>
      <w:r w:rsidRPr="001F0B7E">
        <w:rPr>
          <w:rFonts w:ascii="Times New Roman" w:eastAsia="Times New Roman" w:hAnsi="Times New Roman" w:cs="Times New Roman"/>
          <w:sz w:val="16"/>
          <w:szCs w:val="16"/>
          <w:vertAlign w:val="superscript"/>
        </w:rPr>
        <w:t xml:space="preserve"> </w:t>
      </w:r>
      <w:r w:rsidRPr="001F0B7E">
        <w:rPr>
          <w:rFonts w:ascii="Times New Roman" w:eastAsia="Times New Roman" w:hAnsi="Times New Roman" w:cs="Times New Roman"/>
          <w:sz w:val="16"/>
          <w:szCs w:val="16"/>
        </w:rPr>
        <w:tab/>
      </w:r>
      <w:r w:rsidRPr="00685873">
        <w:rPr>
          <w:rFonts w:ascii="Times New Roman" w:eastAsia="Times New Roman" w:hAnsi="Times New Roman" w:cs="Times New Roman"/>
          <w:sz w:val="16"/>
          <w:szCs w:val="16"/>
          <w:lang w:val="ro-RO"/>
        </w:rPr>
        <w:t>Regulation</w:t>
      </w:r>
      <w:r w:rsidRPr="001F0B7E">
        <w:rPr>
          <w:rFonts w:ascii="Times New Roman" w:eastAsia="Times New Roman" w:hAnsi="Times New Roman" w:cs="Times New Roman"/>
          <w:sz w:val="16"/>
          <w:szCs w:val="16"/>
        </w:rPr>
        <w:t xml:space="preserve"> (EU) No 1095/2010 of the European Parliament and of the Council of 24 November 2010 establishing a European Supervisory Authority (European Securities and Markets Authority), amending Decision No 716/2009/EC and repealing Commission Decision 2009/77/EC (OJ L 331, 15.12.2010, p.84).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70AC"/>
    <w:multiLevelType w:val="hybridMultilevel"/>
    <w:tmpl w:val="9670E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387"/>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77886"/>
    <w:multiLevelType w:val="hybridMultilevel"/>
    <w:tmpl w:val="E0523ED0"/>
    <w:lvl w:ilvl="0" w:tplc="1B5E36A2">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67B80"/>
    <w:multiLevelType w:val="hybridMultilevel"/>
    <w:tmpl w:val="8D766B86"/>
    <w:lvl w:ilvl="0" w:tplc="06CC11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52F7"/>
    <w:multiLevelType w:val="hybridMultilevel"/>
    <w:tmpl w:val="83AE4236"/>
    <w:lvl w:ilvl="0" w:tplc="A31ABADC">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B76BD"/>
    <w:multiLevelType w:val="hybridMultilevel"/>
    <w:tmpl w:val="5E02CE40"/>
    <w:lvl w:ilvl="0" w:tplc="7522F7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F314F"/>
    <w:multiLevelType w:val="hybridMultilevel"/>
    <w:tmpl w:val="0E82EC72"/>
    <w:lvl w:ilvl="0" w:tplc="653C0592">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21DD0"/>
    <w:multiLevelType w:val="hybridMultilevel"/>
    <w:tmpl w:val="9C1EC19C"/>
    <w:lvl w:ilvl="0" w:tplc="06C06D3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B3A92"/>
    <w:multiLevelType w:val="singleLevel"/>
    <w:tmpl w:val="3A40F99E"/>
    <w:name w:val="Considérant__1"/>
    <w:lvl w:ilvl="0">
      <w:start w:val="1"/>
      <w:numFmt w:val="decimal"/>
      <w:lvlRestart w:val="0"/>
      <w:pStyle w:val="Considrant"/>
      <w:lvlText w:val="(%1)"/>
      <w:lvlJc w:val="left"/>
      <w:pPr>
        <w:tabs>
          <w:tab w:val="num" w:pos="1134"/>
        </w:tabs>
        <w:ind w:left="1134" w:hanging="709"/>
      </w:pPr>
      <w:rPr>
        <w:i w:val="0"/>
      </w:rPr>
    </w:lvl>
  </w:abstractNum>
  <w:abstractNum w:abstractNumId="10" w15:restartNumberingAfterBreak="0">
    <w:nsid w:val="339B71A1"/>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567E60"/>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41424A"/>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9245B"/>
    <w:multiLevelType w:val="hybridMultilevel"/>
    <w:tmpl w:val="D928728C"/>
    <w:lvl w:ilvl="0" w:tplc="9F589A02">
      <w:start w:val="1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8325BD0"/>
    <w:multiLevelType w:val="hybridMultilevel"/>
    <w:tmpl w:val="4F0285E8"/>
    <w:lvl w:ilvl="0" w:tplc="DFD2FD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41004E"/>
    <w:multiLevelType w:val="hybridMultilevel"/>
    <w:tmpl w:val="7D24476A"/>
    <w:lvl w:ilvl="0" w:tplc="04A46A1A">
      <w:start w:val="1"/>
      <w:numFmt w:val="lowerLetter"/>
      <w:lvlText w:val="(%1)"/>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6" w15:restartNumberingAfterBreak="0">
    <w:nsid w:val="5B936E8A"/>
    <w:multiLevelType w:val="hybridMultilevel"/>
    <w:tmpl w:val="47946B08"/>
    <w:lvl w:ilvl="0" w:tplc="ACD4F6E6">
      <w:start w:val="1"/>
      <w:numFmt w:val="lowerLetter"/>
      <w:lvlText w:val="(%1)"/>
      <w:lvlJc w:val="left"/>
      <w:pPr>
        <w:ind w:left="720" w:hanging="360"/>
      </w:pPr>
      <w:rPr>
        <w:rFonts w:asciiTheme="minorHAnsi" w:eastAsiaTheme="minorEastAsia" w:hAnsiTheme="minorHAnsi" w:cstheme="minorBidi"/>
      </w:rPr>
    </w:lvl>
    <w:lvl w:ilvl="1" w:tplc="E264ADE8">
      <w:start w:val="1"/>
      <w:numFmt w:val="lowerRoman"/>
      <w:lvlText w:val="(%2)"/>
      <w:lvlJc w:val="left"/>
      <w:pPr>
        <w:ind w:left="1800" w:hanging="720"/>
      </w:pPr>
      <w:rPr>
        <w:rFonts w:hint="default"/>
      </w:rPr>
    </w:lvl>
    <w:lvl w:ilvl="2" w:tplc="E7B0E0B8">
      <w:start w:val="1"/>
      <w:numFmt w:val="upperLetter"/>
      <w:lvlText w:val="(%3)"/>
      <w:lvlJc w:val="left"/>
      <w:pPr>
        <w:ind w:left="2340" w:hanging="360"/>
      </w:pPr>
      <w:rPr>
        <w:rFonts w:hint="default"/>
        <w:color w:val="auto"/>
      </w:rPr>
    </w:lvl>
    <w:lvl w:ilvl="3" w:tplc="744CEBDA">
      <w:numFmt w:val="bullet"/>
      <w:lvlText w:val="•"/>
      <w:lvlJc w:val="left"/>
      <w:pPr>
        <w:ind w:left="3218" w:hanging="698"/>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532D9"/>
    <w:multiLevelType w:val="hybridMultilevel"/>
    <w:tmpl w:val="47805C60"/>
    <w:lvl w:ilvl="0" w:tplc="ADB211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B54D3D"/>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BA3693"/>
    <w:multiLevelType w:val="hybridMultilevel"/>
    <w:tmpl w:val="73CE34BE"/>
    <w:lvl w:ilvl="0" w:tplc="13B8E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B1D65"/>
    <w:multiLevelType w:val="hybridMultilevel"/>
    <w:tmpl w:val="005C06FA"/>
    <w:lvl w:ilvl="0" w:tplc="701AF0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83EFA"/>
    <w:multiLevelType w:val="hybridMultilevel"/>
    <w:tmpl w:val="E0523ED0"/>
    <w:lvl w:ilvl="0" w:tplc="1B5E36A2">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2175A"/>
    <w:multiLevelType w:val="hybridMultilevel"/>
    <w:tmpl w:val="1690DBAA"/>
    <w:lvl w:ilvl="0" w:tplc="BD448FAA">
      <w:start w:val="1"/>
      <w:numFmt w:val="lowerLetter"/>
      <w:lvlText w:val="(%1)"/>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5"/>
  </w:num>
  <w:num w:numId="4">
    <w:abstractNumId w:val="12"/>
  </w:num>
  <w:num w:numId="5">
    <w:abstractNumId w:val="19"/>
  </w:num>
  <w:num w:numId="6">
    <w:abstractNumId w:val="17"/>
  </w:num>
  <w:num w:numId="7">
    <w:abstractNumId w:val="4"/>
  </w:num>
  <w:num w:numId="8">
    <w:abstractNumId w:val="14"/>
  </w:num>
  <w:num w:numId="9">
    <w:abstractNumId w:val="20"/>
  </w:num>
  <w:num w:numId="10">
    <w:abstractNumId w:val="10"/>
  </w:num>
  <w:num w:numId="11">
    <w:abstractNumId w:val="3"/>
  </w:num>
  <w:num w:numId="12">
    <w:abstractNumId w:val="18"/>
  </w:num>
  <w:num w:numId="13">
    <w:abstractNumId w:val="0"/>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1"/>
  </w:num>
  <w:num w:numId="18">
    <w:abstractNumId w:val="5"/>
  </w:num>
  <w:num w:numId="19">
    <w:abstractNumId w:val="11"/>
  </w:num>
  <w:num w:numId="20">
    <w:abstractNumId w:val="6"/>
  </w:num>
  <w:num w:numId="21">
    <w:abstractNumId w:val="2"/>
  </w:num>
  <w:num w:numId="22">
    <w:abstractNumId w:val="7"/>
  </w:num>
  <w:num w:numId="23">
    <w:abstractNumId w:val="8"/>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85873"/>
    <w:rsid w:val="00005DD3"/>
    <w:rsid w:val="000213C6"/>
    <w:rsid w:val="00034404"/>
    <w:rsid w:val="00055711"/>
    <w:rsid w:val="00061388"/>
    <w:rsid w:val="00066EC8"/>
    <w:rsid w:val="00080765"/>
    <w:rsid w:val="0008670C"/>
    <w:rsid w:val="000C1F60"/>
    <w:rsid w:val="000D3082"/>
    <w:rsid w:val="000D5773"/>
    <w:rsid w:val="000E6DAC"/>
    <w:rsid w:val="000F499D"/>
    <w:rsid w:val="000F5D05"/>
    <w:rsid w:val="00102841"/>
    <w:rsid w:val="00121076"/>
    <w:rsid w:val="00125168"/>
    <w:rsid w:val="00127A3A"/>
    <w:rsid w:val="00141466"/>
    <w:rsid w:val="001415FF"/>
    <w:rsid w:val="00167DAA"/>
    <w:rsid w:val="0017320A"/>
    <w:rsid w:val="001846AA"/>
    <w:rsid w:val="00185760"/>
    <w:rsid w:val="001B771A"/>
    <w:rsid w:val="001D6357"/>
    <w:rsid w:val="001D651B"/>
    <w:rsid w:val="001D7BFA"/>
    <w:rsid w:val="001E2A0B"/>
    <w:rsid w:val="001F2F30"/>
    <w:rsid w:val="00210EE6"/>
    <w:rsid w:val="002133FC"/>
    <w:rsid w:val="00230908"/>
    <w:rsid w:val="00233671"/>
    <w:rsid w:val="002514C5"/>
    <w:rsid w:val="00255DFF"/>
    <w:rsid w:val="002916C8"/>
    <w:rsid w:val="00292178"/>
    <w:rsid w:val="002C5964"/>
    <w:rsid w:val="002C67F0"/>
    <w:rsid w:val="002D3849"/>
    <w:rsid w:val="002E33D1"/>
    <w:rsid w:val="00310FF6"/>
    <w:rsid w:val="003155D3"/>
    <w:rsid w:val="00321A28"/>
    <w:rsid w:val="00321E49"/>
    <w:rsid w:val="00335003"/>
    <w:rsid w:val="00350DB7"/>
    <w:rsid w:val="00352D27"/>
    <w:rsid w:val="00361F8A"/>
    <w:rsid w:val="0036654D"/>
    <w:rsid w:val="00373F80"/>
    <w:rsid w:val="003743F8"/>
    <w:rsid w:val="00376D26"/>
    <w:rsid w:val="0038073A"/>
    <w:rsid w:val="00383336"/>
    <w:rsid w:val="003A1AE9"/>
    <w:rsid w:val="003B4E56"/>
    <w:rsid w:val="003D6CB8"/>
    <w:rsid w:val="003E53DB"/>
    <w:rsid w:val="003F3956"/>
    <w:rsid w:val="00403A61"/>
    <w:rsid w:val="00411A07"/>
    <w:rsid w:val="0041289D"/>
    <w:rsid w:val="00420A44"/>
    <w:rsid w:val="00424074"/>
    <w:rsid w:val="00435FC3"/>
    <w:rsid w:val="00441961"/>
    <w:rsid w:val="004725B8"/>
    <w:rsid w:val="00477AB1"/>
    <w:rsid w:val="00481E08"/>
    <w:rsid w:val="004820A8"/>
    <w:rsid w:val="00486DA7"/>
    <w:rsid w:val="00490FE0"/>
    <w:rsid w:val="004A2DB5"/>
    <w:rsid w:val="004A4C32"/>
    <w:rsid w:val="004B7B11"/>
    <w:rsid w:val="004D3B99"/>
    <w:rsid w:val="004E5EF8"/>
    <w:rsid w:val="004F6214"/>
    <w:rsid w:val="00501ABE"/>
    <w:rsid w:val="005031D3"/>
    <w:rsid w:val="00513229"/>
    <w:rsid w:val="00513998"/>
    <w:rsid w:val="00514DB8"/>
    <w:rsid w:val="005200AF"/>
    <w:rsid w:val="00532175"/>
    <w:rsid w:val="00536F13"/>
    <w:rsid w:val="00537F64"/>
    <w:rsid w:val="00550F19"/>
    <w:rsid w:val="00552A78"/>
    <w:rsid w:val="005669BF"/>
    <w:rsid w:val="00576EDF"/>
    <w:rsid w:val="00583E7A"/>
    <w:rsid w:val="005846EF"/>
    <w:rsid w:val="00595675"/>
    <w:rsid w:val="005A0CF6"/>
    <w:rsid w:val="005C70D7"/>
    <w:rsid w:val="005C7DBB"/>
    <w:rsid w:val="005D19E5"/>
    <w:rsid w:val="005D55E4"/>
    <w:rsid w:val="005F496B"/>
    <w:rsid w:val="005F56F5"/>
    <w:rsid w:val="00620610"/>
    <w:rsid w:val="00640659"/>
    <w:rsid w:val="006462B8"/>
    <w:rsid w:val="0066190D"/>
    <w:rsid w:val="00671670"/>
    <w:rsid w:val="00685873"/>
    <w:rsid w:val="0068702D"/>
    <w:rsid w:val="006E7F74"/>
    <w:rsid w:val="006F1E60"/>
    <w:rsid w:val="00703362"/>
    <w:rsid w:val="007107B2"/>
    <w:rsid w:val="00722386"/>
    <w:rsid w:val="00756E46"/>
    <w:rsid w:val="00771C75"/>
    <w:rsid w:val="00776727"/>
    <w:rsid w:val="007A14D5"/>
    <w:rsid w:val="007C426A"/>
    <w:rsid w:val="00813F9F"/>
    <w:rsid w:val="00831AA0"/>
    <w:rsid w:val="00835954"/>
    <w:rsid w:val="00836893"/>
    <w:rsid w:val="008560B6"/>
    <w:rsid w:val="008651BD"/>
    <w:rsid w:val="008704BC"/>
    <w:rsid w:val="008B4541"/>
    <w:rsid w:val="008C135B"/>
    <w:rsid w:val="008E348F"/>
    <w:rsid w:val="008F3307"/>
    <w:rsid w:val="00912762"/>
    <w:rsid w:val="00916DE9"/>
    <w:rsid w:val="00935DA4"/>
    <w:rsid w:val="00941C24"/>
    <w:rsid w:val="0095502E"/>
    <w:rsid w:val="009559B1"/>
    <w:rsid w:val="00964547"/>
    <w:rsid w:val="00966620"/>
    <w:rsid w:val="0097288A"/>
    <w:rsid w:val="009B0536"/>
    <w:rsid w:val="009C56F8"/>
    <w:rsid w:val="009D247C"/>
    <w:rsid w:val="009F1EA6"/>
    <w:rsid w:val="00A07236"/>
    <w:rsid w:val="00A162A9"/>
    <w:rsid w:val="00A24D69"/>
    <w:rsid w:val="00A62934"/>
    <w:rsid w:val="00A91C48"/>
    <w:rsid w:val="00AA681B"/>
    <w:rsid w:val="00AB2822"/>
    <w:rsid w:val="00AB6EE5"/>
    <w:rsid w:val="00AD22F1"/>
    <w:rsid w:val="00B308A6"/>
    <w:rsid w:val="00B35055"/>
    <w:rsid w:val="00B60A3B"/>
    <w:rsid w:val="00B641C8"/>
    <w:rsid w:val="00B65BFE"/>
    <w:rsid w:val="00B70034"/>
    <w:rsid w:val="00B774F2"/>
    <w:rsid w:val="00BA507A"/>
    <w:rsid w:val="00BF3BDE"/>
    <w:rsid w:val="00C10105"/>
    <w:rsid w:val="00C128DA"/>
    <w:rsid w:val="00C169A5"/>
    <w:rsid w:val="00C40430"/>
    <w:rsid w:val="00C4349B"/>
    <w:rsid w:val="00C46429"/>
    <w:rsid w:val="00C84122"/>
    <w:rsid w:val="00C94330"/>
    <w:rsid w:val="00CA1006"/>
    <w:rsid w:val="00CD38DD"/>
    <w:rsid w:val="00CE4068"/>
    <w:rsid w:val="00CF113E"/>
    <w:rsid w:val="00CF410F"/>
    <w:rsid w:val="00D0602C"/>
    <w:rsid w:val="00D12D95"/>
    <w:rsid w:val="00D2431A"/>
    <w:rsid w:val="00D416F6"/>
    <w:rsid w:val="00D55A09"/>
    <w:rsid w:val="00D607EE"/>
    <w:rsid w:val="00D6589E"/>
    <w:rsid w:val="00D6674E"/>
    <w:rsid w:val="00D83361"/>
    <w:rsid w:val="00D87852"/>
    <w:rsid w:val="00DA15E7"/>
    <w:rsid w:val="00DD02F3"/>
    <w:rsid w:val="00DD449C"/>
    <w:rsid w:val="00DD71C6"/>
    <w:rsid w:val="00DE261F"/>
    <w:rsid w:val="00DE6382"/>
    <w:rsid w:val="00E13833"/>
    <w:rsid w:val="00E17F02"/>
    <w:rsid w:val="00E21766"/>
    <w:rsid w:val="00E23732"/>
    <w:rsid w:val="00E80E5F"/>
    <w:rsid w:val="00E93F6E"/>
    <w:rsid w:val="00EA68C6"/>
    <w:rsid w:val="00EB2D57"/>
    <w:rsid w:val="00EB55C3"/>
    <w:rsid w:val="00EC7D09"/>
    <w:rsid w:val="00ED7AF7"/>
    <w:rsid w:val="00EE4382"/>
    <w:rsid w:val="00F12126"/>
    <w:rsid w:val="00F132B9"/>
    <w:rsid w:val="00F415D4"/>
    <w:rsid w:val="00F514EA"/>
    <w:rsid w:val="00F60409"/>
    <w:rsid w:val="00F6575A"/>
    <w:rsid w:val="00F8237E"/>
    <w:rsid w:val="00FC6E35"/>
    <w:rsid w:val="00FD355D"/>
    <w:rsid w:val="00FE1141"/>
    <w:rsid w:val="00FE618B"/>
    <w:rsid w:val="00FF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81E6"/>
  <w15:chartTrackingRefBased/>
  <w15:docId w15:val="{944E7BCE-1A16-48C9-B14C-2FBEDE5E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ußnotentextf,Fußnotentextr,stile 1,Footnote1,Footnote2,Footnote3,Footnote4,Footnote5,Footnote6,Footnote7,Footnote8,Footnote9,Footnote10,Footnote11,Footnote21,Footnote31,Footnote41,Footnote51,Footnote61,Footnote71,Char3, Cha, Char3,ft"/>
    <w:basedOn w:val="Parasts"/>
    <w:link w:val="VrestekstsRakstz"/>
    <w:uiPriority w:val="99"/>
    <w:unhideWhenUsed/>
    <w:qFormat/>
    <w:rsid w:val="00685873"/>
    <w:pPr>
      <w:spacing w:after="0" w:line="240" w:lineRule="auto"/>
    </w:pPr>
    <w:rPr>
      <w:sz w:val="20"/>
      <w:szCs w:val="20"/>
    </w:rPr>
  </w:style>
  <w:style w:type="character" w:customStyle="1" w:styleId="VrestekstsRakstz">
    <w:name w:val="Vēres teksts Rakstz."/>
    <w:aliases w:val="Fußnotentextf Rakstz.,Fußnotentextr Rakstz.,stile 1 Rakstz.,Footnote1 Rakstz.,Footnote2 Rakstz.,Footnote3 Rakstz.,Footnote4 Rakstz.,Footnote5 Rakstz.,Footnote6 Rakstz.,Footnote7 Rakstz.,Footnote8 Rakstz.,Footnote9 Rakstz.,ft Rakstz."/>
    <w:basedOn w:val="Noklusjumarindkopasfonts"/>
    <w:link w:val="Vresteksts"/>
    <w:uiPriority w:val="99"/>
    <w:rsid w:val="00685873"/>
    <w:rPr>
      <w:sz w:val="20"/>
      <w:szCs w:val="20"/>
    </w:rPr>
  </w:style>
  <w:style w:type="character" w:customStyle="1" w:styleId="Footnotenumber1">
    <w:name w:val="Footnote number1"/>
    <w:basedOn w:val="Noklusjumarindkopasfonts"/>
    <w:uiPriority w:val="99"/>
    <w:unhideWhenUsed/>
    <w:qFormat/>
    <w:rsid w:val="00685873"/>
    <w:rPr>
      <w:rFonts w:ascii="Arial" w:hAnsi="Arial"/>
      <w:sz w:val="16"/>
      <w:vertAlign w:val="superscript"/>
    </w:rPr>
  </w:style>
  <w:style w:type="table" w:customStyle="1" w:styleId="TableGrid3">
    <w:name w:val="Table Grid3"/>
    <w:basedOn w:val="Parastatabula"/>
    <w:next w:val="Reatabula"/>
    <w:uiPriority w:val="39"/>
    <w:rsid w:val="00685873"/>
    <w:pPr>
      <w:spacing w:after="0" w:line="240" w:lineRule="auto"/>
    </w:pPr>
    <w:rPr>
      <w:rFonts w:eastAsia="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685873"/>
    <w:rPr>
      <w:vertAlign w:val="superscript"/>
    </w:rPr>
  </w:style>
  <w:style w:type="table" w:styleId="Reatabula">
    <w:name w:val="Table Grid"/>
    <w:basedOn w:val="Parastatabula"/>
    <w:uiPriority w:val="39"/>
    <w:rsid w:val="00685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8587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85873"/>
  </w:style>
  <w:style w:type="paragraph" w:styleId="Kjene">
    <w:name w:val="footer"/>
    <w:basedOn w:val="Parasts"/>
    <w:link w:val="KjeneRakstz"/>
    <w:uiPriority w:val="99"/>
    <w:unhideWhenUsed/>
    <w:rsid w:val="0068587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85873"/>
  </w:style>
  <w:style w:type="paragraph" w:styleId="Balonteksts">
    <w:name w:val="Balloon Text"/>
    <w:basedOn w:val="Parasts"/>
    <w:link w:val="BalontekstsRakstz"/>
    <w:uiPriority w:val="99"/>
    <w:semiHidden/>
    <w:unhideWhenUsed/>
    <w:rsid w:val="00FE618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618B"/>
    <w:rPr>
      <w:rFonts w:ascii="Segoe UI" w:hAnsi="Segoe UI" w:cs="Segoe UI"/>
      <w:sz w:val="18"/>
      <w:szCs w:val="18"/>
    </w:rPr>
  </w:style>
  <w:style w:type="character" w:styleId="Komentraatsauce">
    <w:name w:val="annotation reference"/>
    <w:basedOn w:val="Noklusjumarindkopasfonts"/>
    <w:uiPriority w:val="99"/>
    <w:semiHidden/>
    <w:unhideWhenUsed/>
    <w:rsid w:val="00514DB8"/>
    <w:rPr>
      <w:sz w:val="16"/>
      <w:szCs w:val="16"/>
    </w:rPr>
  </w:style>
  <w:style w:type="paragraph" w:styleId="Komentrateksts">
    <w:name w:val="annotation text"/>
    <w:basedOn w:val="Parasts"/>
    <w:link w:val="KomentratekstsRakstz"/>
    <w:unhideWhenUsed/>
    <w:rsid w:val="00514DB8"/>
    <w:pPr>
      <w:spacing w:line="240" w:lineRule="auto"/>
    </w:pPr>
    <w:rPr>
      <w:sz w:val="20"/>
      <w:szCs w:val="20"/>
    </w:rPr>
  </w:style>
  <w:style w:type="character" w:customStyle="1" w:styleId="KomentratekstsRakstz">
    <w:name w:val="Komentāra teksts Rakstz."/>
    <w:basedOn w:val="Noklusjumarindkopasfonts"/>
    <w:link w:val="Komentrateksts"/>
    <w:rsid w:val="00514DB8"/>
    <w:rPr>
      <w:sz w:val="20"/>
      <w:szCs w:val="20"/>
    </w:rPr>
  </w:style>
  <w:style w:type="paragraph" w:styleId="Komentratma">
    <w:name w:val="annotation subject"/>
    <w:basedOn w:val="Komentrateksts"/>
    <w:next w:val="Komentrateksts"/>
    <w:link w:val="KomentratmaRakstz"/>
    <w:uiPriority w:val="99"/>
    <w:semiHidden/>
    <w:unhideWhenUsed/>
    <w:rsid w:val="00514DB8"/>
    <w:rPr>
      <w:b/>
      <w:bCs/>
    </w:rPr>
  </w:style>
  <w:style w:type="character" w:customStyle="1" w:styleId="KomentratmaRakstz">
    <w:name w:val="Komentāra tēma Rakstz."/>
    <w:basedOn w:val="KomentratekstsRakstz"/>
    <w:link w:val="Komentratma"/>
    <w:uiPriority w:val="99"/>
    <w:semiHidden/>
    <w:rsid w:val="00514DB8"/>
    <w:rPr>
      <w:b/>
      <w:bCs/>
      <w:sz w:val="20"/>
      <w:szCs w:val="20"/>
    </w:rPr>
  </w:style>
  <w:style w:type="paragraph" w:customStyle="1" w:styleId="Title1">
    <w:name w:val="Title 1"/>
    <w:basedOn w:val="Sarakstarindkopa"/>
    <w:autoRedefine/>
    <w:rsid w:val="00321E49"/>
    <w:pPr>
      <w:numPr>
        <w:numId w:val="22"/>
      </w:numPr>
      <w:spacing w:before="120" w:after="120" w:line="240" w:lineRule="auto"/>
      <w:contextualSpacing w:val="0"/>
      <w:jc w:val="both"/>
    </w:pPr>
    <w:rPr>
      <w:rFonts w:asciiTheme="majorHAnsi" w:eastAsia="Times New Roman" w:hAnsiTheme="majorHAnsi"/>
      <w:b/>
      <w:iCs/>
      <w:sz w:val="28"/>
    </w:rPr>
  </w:style>
  <w:style w:type="paragraph" w:customStyle="1" w:styleId="Title3">
    <w:name w:val="Title 3"/>
    <w:basedOn w:val="Sarakstarindkopa"/>
    <w:autoRedefine/>
    <w:rsid w:val="00321E49"/>
    <w:pPr>
      <w:numPr>
        <w:ilvl w:val="3"/>
        <w:numId w:val="22"/>
      </w:numPr>
      <w:spacing w:before="120" w:after="120" w:line="240" w:lineRule="auto"/>
      <w:ind w:left="3218" w:hanging="698"/>
      <w:contextualSpacing w:val="0"/>
      <w:jc w:val="both"/>
    </w:pPr>
    <w:rPr>
      <w:rFonts w:eastAsia="Times New Roman"/>
      <w:iCs/>
    </w:rPr>
  </w:style>
  <w:style w:type="paragraph" w:customStyle="1" w:styleId="Title2">
    <w:name w:val="Title 2"/>
    <w:basedOn w:val="Title1"/>
    <w:link w:val="Title2Char"/>
    <w:autoRedefine/>
    <w:rsid w:val="00321E49"/>
    <w:pPr>
      <w:numPr>
        <w:ilvl w:val="1"/>
      </w:numPr>
      <w:spacing w:after="0"/>
      <w:ind w:left="0" w:firstLine="0"/>
    </w:pPr>
  </w:style>
  <w:style w:type="character" w:customStyle="1" w:styleId="Title2Char">
    <w:name w:val="Title 2 Char"/>
    <w:basedOn w:val="Noklusjumarindkopasfonts"/>
    <w:link w:val="Title2"/>
    <w:rsid w:val="00321E49"/>
    <w:rPr>
      <w:rFonts w:asciiTheme="majorHAnsi" w:eastAsia="Times New Roman" w:hAnsiTheme="majorHAnsi"/>
      <w:b/>
      <w:iCs/>
      <w:sz w:val="28"/>
    </w:rPr>
  </w:style>
  <w:style w:type="paragraph" w:styleId="Sarakstarindkopa">
    <w:name w:val="List Paragraph"/>
    <w:basedOn w:val="Parasts"/>
    <w:uiPriority w:val="34"/>
    <w:qFormat/>
    <w:rsid w:val="00321E49"/>
    <w:pPr>
      <w:ind w:left="720"/>
      <w:contextualSpacing/>
    </w:pPr>
  </w:style>
  <w:style w:type="paragraph" w:styleId="HTMLiepriekformattais">
    <w:name w:val="HTML Preformatted"/>
    <w:basedOn w:val="Parasts"/>
    <w:link w:val="HTMLiepriekformattaisRakstz"/>
    <w:uiPriority w:val="99"/>
    <w:unhideWhenUsed/>
    <w:rsid w:val="0040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iepriekformattaisRakstz">
    <w:name w:val="HTML iepriekšformatētais Rakstz."/>
    <w:basedOn w:val="Noklusjumarindkopasfonts"/>
    <w:link w:val="HTMLiepriekformattais"/>
    <w:uiPriority w:val="99"/>
    <w:rsid w:val="00403A61"/>
    <w:rPr>
      <w:rFonts w:ascii="Courier New" w:hAnsi="Courier New" w:cs="Courier New"/>
      <w:sz w:val="20"/>
      <w:szCs w:val="20"/>
      <w:lang w:eastAsia="en-GB"/>
    </w:rPr>
  </w:style>
  <w:style w:type="character" w:customStyle="1" w:styleId="y2iqfc">
    <w:name w:val="y2iqfc"/>
    <w:basedOn w:val="Noklusjumarindkopasfonts"/>
    <w:rsid w:val="00403A61"/>
  </w:style>
  <w:style w:type="paragraph" w:customStyle="1" w:styleId="Considrant">
    <w:name w:val="Considérant"/>
    <w:basedOn w:val="Parasts"/>
    <w:rsid w:val="00AB6EE5"/>
    <w:pPr>
      <w:numPr>
        <w:numId w:val="25"/>
      </w:numPr>
      <w:spacing w:before="120" w:after="12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27948">
      <w:bodyDiv w:val="1"/>
      <w:marLeft w:val="0"/>
      <w:marRight w:val="0"/>
      <w:marTop w:val="0"/>
      <w:marBottom w:val="0"/>
      <w:divBdr>
        <w:top w:val="none" w:sz="0" w:space="0" w:color="auto"/>
        <w:left w:val="none" w:sz="0" w:space="0" w:color="auto"/>
        <w:bottom w:val="none" w:sz="0" w:space="0" w:color="auto"/>
        <w:right w:val="none" w:sz="0" w:space="0" w:color="auto"/>
      </w:divBdr>
    </w:div>
    <w:div w:id="441996201">
      <w:bodyDiv w:val="1"/>
      <w:marLeft w:val="0"/>
      <w:marRight w:val="0"/>
      <w:marTop w:val="0"/>
      <w:marBottom w:val="0"/>
      <w:divBdr>
        <w:top w:val="none" w:sz="0" w:space="0" w:color="auto"/>
        <w:left w:val="none" w:sz="0" w:space="0" w:color="auto"/>
        <w:bottom w:val="none" w:sz="0" w:space="0" w:color="auto"/>
        <w:right w:val="none" w:sz="0" w:space="0" w:color="auto"/>
      </w:divBdr>
    </w:div>
    <w:div w:id="909072332">
      <w:bodyDiv w:val="1"/>
      <w:marLeft w:val="0"/>
      <w:marRight w:val="0"/>
      <w:marTop w:val="0"/>
      <w:marBottom w:val="0"/>
      <w:divBdr>
        <w:top w:val="none" w:sz="0" w:space="0" w:color="auto"/>
        <w:left w:val="none" w:sz="0" w:space="0" w:color="auto"/>
        <w:bottom w:val="none" w:sz="0" w:space="0" w:color="auto"/>
        <w:right w:val="none" w:sz="0" w:space="0" w:color="auto"/>
      </w:divBdr>
    </w:div>
    <w:div w:id="975985678">
      <w:bodyDiv w:val="1"/>
      <w:marLeft w:val="0"/>
      <w:marRight w:val="0"/>
      <w:marTop w:val="0"/>
      <w:marBottom w:val="0"/>
      <w:divBdr>
        <w:top w:val="none" w:sz="0" w:space="0" w:color="auto"/>
        <w:left w:val="none" w:sz="0" w:space="0" w:color="auto"/>
        <w:bottom w:val="none" w:sz="0" w:space="0" w:color="auto"/>
        <w:right w:val="none" w:sz="0" w:space="0" w:color="auto"/>
      </w:divBdr>
    </w:div>
    <w:div w:id="1235242996">
      <w:bodyDiv w:val="1"/>
      <w:marLeft w:val="0"/>
      <w:marRight w:val="0"/>
      <w:marTop w:val="0"/>
      <w:marBottom w:val="0"/>
      <w:divBdr>
        <w:top w:val="none" w:sz="0" w:space="0" w:color="auto"/>
        <w:left w:val="none" w:sz="0" w:space="0" w:color="auto"/>
        <w:bottom w:val="none" w:sz="0" w:space="0" w:color="auto"/>
        <w:right w:val="none" w:sz="0" w:space="0" w:color="auto"/>
      </w:divBdr>
    </w:div>
    <w:div w:id="1455175816">
      <w:bodyDiv w:val="1"/>
      <w:marLeft w:val="0"/>
      <w:marRight w:val="0"/>
      <w:marTop w:val="0"/>
      <w:marBottom w:val="0"/>
      <w:divBdr>
        <w:top w:val="none" w:sz="0" w:space="0" w:color="auto"/>
        <w:left w:val="none" w:sz="0" w:space="0" w:color="auto"/>
        <w:bottom w:val="none" w:sz="0" w:space="0" w:color="auto"/>
        <w:right w:val="none" w:sz="0" w:space="0" w:color="auto"/>
      </w:divBdr>
    </w:div>
    <w:div w:id="15720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3:28:54.532"/>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3:28:54.533"/>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926fd9ddf4e43dc9baf43a17188d082 xmlns="3b122f42-3680-41b8-abdb-8f838d66b94f">
      <Terms xmlns="http://schemas.microsoft.com/office/infopath/2007/PartnerControls"/>
    </f926fd9ddf4e43dc9baf43a17188d082>
    <ldf822d702374457a75b2650fd19956f xmlns="3b122f42-3680-41b8-abdb-8f838d66b94f">
      <Terms xmlns="http://schemas.microsoft.com/office/infopath/2007/PartnerControls"/>
    </ldf822d702374457a75b2650fd19956f>
    <IconOverlay xmlns="http://schemas.microsoft.com/sharepoint/v4" xsi:nil="true"/>
    <Year xmlns="3b122f42-3680-41b8-abdb-8f838d66b94f">2021</Year>
    <TaxCatchAll xmlns="3b122f42-3680-41b8-abdb-8f838d66b94f">
      <Value>125</Value>
      <Value>67</Value>
      <Value>30</Value>
      <Value>15</Value>
    </TaxCatchAll>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MeetingDate xmlns="3b122f42-3680-41b8-abdb-8f838d66b94f" xsi:nil="true"/>
    <_dlc_DocId xmlns="3b122f42-3680-41b8-abdb-8f838d66b94f">ESMA35-42-1176</_dlc_DocId>
    <_dlc_DocIdUrl xmlns="3b122f42-3680-41b8-abdb-8f838d66b94f">
      <Url>https://sherpa.esma.europa.eu/sites/INIIPI/_layouts/15/DocIdRedir.aspx?ID=ESMA35-42-1176</Url>
      <Description>ESMA35-42-1176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F94A-3858-4D7E-BD26-BC1955D8B2D6}">
  <ds:schemaRefs>
    <ds:schemaRef ds:uri="http://schemas.microsoft.com/sharepoint/events"/>
  </ds:schemaRefs>
</ds:datastoreItem>
</file>

<file path=customXml/itemProps2.xml><?xml version="1.0" encoding="utf-8"?>
<ds:datastoreItem xmlns:ds="http://schemas.openxmlformats.org/officeDocument/2006/customXml" ds:itemID="{7355E8E1-A04D-4BD4-B104-69BB6E57FFA8}">
  <ds:schemaRefs>
    <ds:schemaRef ds:uri="http://schemas.microsoft.com/sharepoint/v3/contenttype/forms"/>
  </ds:schemaRefs>
</ds:datastoreItem>
</file>

<file path=customXml/itemProps3.xml><?xml version="1.0" encoding="utf-8"?>
<ds:datastoreItem xmlns:ds="http://schemas.openxmlformats.org/officeDocument/2006/customXml" ds:itemID="{21E12AC2-226C-406D-B545-71CAA6D42C32}">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4.xml><?xml version="1.0" encoding="utf-8"?>
<ds:datastoreItem xmlns:ds="http://schemas.openxmlformats.org/officeDocument/2006/customXml" ds:itemID="{5046E6E2-7585-4EC1-88D5-DD59D2155FD6}">
  <ds:schemaRefs>
    <ds:schemaRef ds:uri="http://schemas.openxmlformats.org/officeDocument/2006/bibliography"/>
  </ds:schemaRefs>
</ds:datastoreItem>
</file>

<file path=customXml/itemProps5.xml><?xml version="1.0" encoding="utf-8"?>
<ds:datastoreItem xmlns:ds="http://schemas.openxmlformats.org/officeDocument/2006/customXml" ds:itemID="{CE9B4AFB-2F90-4BAA-8BF0-2106F2826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20645</Words>
  <Characters>11769</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Madders</dc:creator>
  <cp:keywords/>
  <dc:description/>
  <cp:lastModifiedBy>Airisa Adamsone</cp:lastModifiedBy>
  <cp:revision>1</cp:revision>
  <dcterms:created xsi:type="dcterms:W3CDTF">2021-10-13T13:42:00Z</dcterms:created>
  <dcterms:modified xsi:type="dcterms:W3CDTF">2021-10-13T13:42:00Z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TeamName">
    <vt:lpwstr>30;#Investor Protection and Intermediaries|98c55de3-414a-4dc7-97ca-58b003cd9a35</vt:lpwstr>
  </property>
  <property fmtid="{D5CDD505-2E9C-101B-9397-08002B2CF9AE}" pid="4" name="_dlc_DocIdItemGuid">
    <vt:lpwstr>98a23129-2eac-4fe0-91b0-e0604c947c2e</vt:lpwstr>
  </property>
  <property fmtid="{D5CDD505-2E9C-101B-9397-08002B2CF9AE}" pid="5" name="EsmaAudience">
    <vt:lpwstr/>
  </property>
  <property fmtid="{D5CDD505-2E9C-101B-9397-08002B2CF9AE}" pid="6" name="Topic">
    <vt:lpwstr/>
  </property>
  <property fmtid="{D5CDD505-2E9C-101B-9397-08002B2CF9AE}" pid="7" name="TeamTopic">
    <vt:lpwstr>125;#Other Work|8e467236-62cb-4258-b359-81b56229d8cf</vt:lpwstr>
  </property>
  <property fmtid="{D5CDD505-2E9C-101B-9397-08002B2CF9AE}" pid="8" name="ConfidentialityLevel">
    <vt:lpwstr>15;#Regular|07f1e362-856b-423d-bea6-a14079762141</vt:lpwstr>
  </property>
  <property fmtid="{D5CDD505-2E9C-101B-9397-08002B2CF9AE}" pid="9" name="DocumentType">
    <vt:lpwstr>67;#RTS|71e88179-0c9a-4eda-aafb-727f24a212a5</vt:lpwstr>
  </property>
</Properties>
</file>