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C57C57" w14:textId="77777777" w:rsidR="00DE7ADA" w:rsidRDefault="00995995">
      <w:pPr>
        <w:pStyle w:val="BodyText"/>
        <w:spacing w:before="10"/>
        <w:rPr>
          <w:sz w:val="20"/>
        </w:rPr>
      </w:pPr>
      <w:r>
        <w:rPr>
          <w:noProof/>
        </w:rPr>
        <w:drawing>
          <wp:anchor distT="0" distB="0" distL="0" distR="0" simplePos="0" relativeHeight="15728640" behindDoc="0" locked="0" layoutInCell="1" allowOverlap="1" wp14:anchorId="42446DCE" wp14:editId="56354011">
            <wp:simplePos x="0" y="0"/>
            <wp:positionH relativeFrom="page">
              <wp:posOffset>5253472</wp:posOffset>
            </wp:positionH>
            <wp:positionV relativeFrom="page">
              <wp:posOffset>342185</wp:posOffset>
            </wp:positionV>
            <wp:extent cx="1448454" cy="514508"/>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448454" cy="514508"/>
                    </a:xfrm>
                    <a:prstGeom prst="rect">
                      <a:avLst/>
                    </a:prstGeom>
                  </pic:spPr>
                </pic:pic>
              </a:graphicData>
            </a:graphic>
          </wp:anchor>
        </w:drawing>
      </w:r>
    </w:p>
    <w:p w14:paraId="223FF644" w14:textId="6DB276DF" w:rsidR="00DE7ADA" w:rsidRDefault="00995995">
      <w:pPr>
        <w:pStyle w:val="BodyText"/>
        <w:spacing w:before="53"/>
        <w:ind w:left="118"/>
        <w:rPr>
          <w:rFonts w:ascii="Lora"/>
        </w:rPr>
      </w:pPr>
      <w:r>
        <w:rPr>
          <w:rFonts w:ascii="Lora"/>
          <w:color w:val="479E9E"/>
        </w:rPr>
        <w:t>Regulation No</w:t>
      </w:r>
      <w:r>
        <w:rPr>
          <w:rFonts w:ascii="Lora"/>
          <w:color w:val="479E9E"/>
        </w:rPr>
        <w:t> </w:t>
      </w:r>
      <w:r>
        <w:rPr>
          <w:rFonts w:ascii="Lora"/>
          <w:color w:val="479E9E"/>
        </w:rPr>
        <w:t>86</w:t>
      </w:r>
      <w:r>
        <w:rPr>
          <w:rFonts w:ascii="Lora"/>
          <w:color w:val="479E9E"/>
        </w:rPr>
        <w:t xml:space="preserve"> | 03</w:t>
      </w:r>
      <w:r>
        <w:rPr>
          <w:rFonts w:ascii="Lora"/>
          <w:color w:val="479E9E"/>
        </w:rPr>
        <w:t>.05</w:t>
      </w:r>
      <w:r>
        <w:rPr>
          <w:rFonts w:ascii="Lora"/>
          <w:color w:val="479E9E"/>
        </w:rPr>
        <w:t>.2024</w:t>
      </w:r>
    </w:p>
    <w:p w14:paraId="0AD75CB5" w14:textId="77777777" w:rsidR="00DE7ADA" w:rsidRDefault="00DE7ADA">
      <w:pPr>
        <w:pStyle w:val="BodyText"/>
        <w:rPr>
          <w:rFonts w:ascii="Lora"/>
          <w:sz w:val="20"/>
        </w:rPr>
      </w:pPr>
    </w:p>
    <w:p w14:paraId="030C429B" w14:textId="77777777" w:rsidR="00DE7ADA" w:rsidRDefault="00DE7ADA">
      <w:pPr>
        <w:pStyle w:val="BodyText"/>
        <w:rPr>
          <w:rFonts w:ascii="Lora"/>
          <w:sz w:val="20"/>
        </w:rPr>
      </w:pPr>
    </w:p>
    <w:p w14:paraId="0863E64A" w14:textId="77777777" w:rsidR="00DE7ADA" w:rsidRDefault="00DE7ADA">
      <w:pPr>
        <w:pStyle w:val="BodyText"/>
        <w:spacing w:before="2"/>
        <w:rPr>
          <w:rFonts w:ascii="Lora"/>
          <w:sz w:val="23"/>
        </w:rPr>
      </w:pPr>
    </w:p>
    <w:p w14:paraId="7B865E47" w14:textId="77777777" w:rsidR="00DE7ADA" w:rsidRDefault="00995995">
      <w:pPr>
        <w:pStyle w:val="Title"/>
        <w:spacing w:line="204" w:lineRule="auto"/>
      </w:pPr>
      <w:r>
        <w:rPr>
          <w:color w:val="29294F"/>
        </w:rPr>
        <w:t>The file format and structure of the supervisory reports to be submitted by central securities depositories to Latvijas Banka</w:t>
      </w:r>
    </w:p>
    <w:p w14:paraId="6CDBBFDE" w14:textId="77777777" w:rsidR="00DE7ADA" w:rsidRDefault="00DE7ADA">
      <w:pPr>
        <w:pStyle w:val="BodyText"/>
        <w:spacing w:before="8"/>
        <w:rPr>
          <w:rFonts w:ascii="Lora"/>
          <w:sz w:val="54"/>
        </w:rPr>
      </w:pPr>
    </w:p>
    <w:p w14:paraId="455CA2E8" w14:textId="77777777" w:rsidR="00DE7ADA" w:rsidRDefault="00995995">
      <w:pPr>
        <w:pStyle w:val="ListParagraph"/>
        <w:numPr>
          <w:ilvl w:val="0"/>
          <w:numId w:val="1"/>
        </w:numPr>
        <w:tabs>
          <w:tab w:val="left" w:pos="358"/>
        </w:tabs>
        <w:jc w:val="both"/>
        <w:rPr>
          <w:color w:val="29294F"/>
          <w:sz w:val="24"/>
        </w:rPr>
      </w:pPr>
      <w:r>
        <w:rPr>
          <w:sz w:val="24"/>
        </w:rPr>
        <w:t>The central securities depository shall prepare:</w:t>
      </w:r>
    </w:p>
    <w:p w14:paraId="0DE2707B" w14:textId="77777777" w:rsidR="00DE7ADA" w:rsidRDefault="00995995">
      <w:pPr>
        <w:pStyle w:val="ListParagraph"/>
        <w:numPr>
          <w:ilvl w:val="1"/>
          <w:numId w:val="1"/>
        </w:numPr>
        <w:tabs>
          <w:tab w:val="left" w:pos="572"/>
        </w:tabs>
        <w:ind w:right="677" w:firstLine="0"/>
        <w:jc w:val="both"/>
        <w:rPr>
          <w:sz w:val="24"/>
        </w:rPr>
      </w:pPr>
      <w:r>
        <w:rPr>
          <w:sz w:val="24"/>
        </w:rPr>
        <w:t>the supervisory reports referred to in Paragraphs 3.1, 3.2 and 3.3 of the Regulation in XBRL (eXtensible Business Reporting Language) or XLSX (Microsoft Excel Open XML) file format in accordance with the taxonomy and XLSX file template published on Latvijas Banka's website (</w:t>
      </w:r>
      <w:hyperlink r:id="rId8">
        <w:r>
          <w:rPr>
            <w:sz w:val="24"/>
            <w:u w:val="single"/>
          </w:rPr>
          <w:t>https://www.bank.lv/ta/xbrl-taksonomijas</w:t>
        </w:r>
      </w:hyperlink>
      <w:r>
        <w:rPr>
          <w:sz w:val="24"/>
        </w:rPr>
        <w:t>);</w:t>
      </w:r>
    </w:p>
    <w:p w14:paraId="4301DC20" w14:textId="77777777" w:rsidR="00DE7ADA" w:rsidRDefault="00995995">
      <w:pPr>
        <w:pStyle w:val="ListParagraph"/>
        <w:numPr>
          <w:ilvl w:val="1"/>
          <w:numId w:val="1"/>
        </w:numPr>
        <w:tabs>
          <w:tab w:val="left" w:pos="524"/>
        </w:tabs>
        <w:spacing w:before="1"/>
        <w:ind w:right="679" w:firstLine="0"/>
        <w:jc w:val="both"/>
        <w:rPr>
          <w:sz w:val="24"/>
        </w:rPr>
      </w:pPr>
      <w:r>
        <w:rPr>
          <w:sz w:val="24"/>
        </w:rPr>
        <w:t>The "Incident report" referred to in Paragraph 3.4 of the Regulation in XLSX (Microsoft Excel Open XML) file format.</w:t>
      </w:r>
    </w:p>
    <w:p w14:paraId="39668F5E" w14:textId="77777777" w:rsidR="00DE7ADA" w:rsidRDefault="00DE7ADA">
      <w:pPr>
        <w:pStyle w:val="BodyText"/>
        <w:spacing w:before="5"/>
      </w:pPr>
    </w:p>
    <w:p w14:paraId="2E96D786" w14:textId="77777777" w:rsidR="00DE7ADA" w:rsidRDefault="00995995">
      <w:pPr>
        <w:pStyle w:val="ListParagraph"/>
        <w:numPr>
          <w:ilvl w:val="0"/>
          <w:numId w:val="1"/>
        </w:numPr>
        <w:tabs>
          <w:tab w:val="left" w:pos="409"/>
        </w:tabs>
        <w:ind w:left="118" w:right="681" w:firstLine="0"/>
        <w:jc w:val="both"/>
        <w:rPr>
          <w:sz w:val="24"/>
        </w:rPr>
      </w:pPr>
      <w:r>
        <w:rPr>
          <w:sz w:val="24"/>
        </w:rPr>
        <w:t xml:space="preserve">The file name format shall be </w:t>
      </w:r>
      <w:r>
        <w:rPr>
          <w:i/>
          <w:sz w:val="24"/>
        </w:rPr>
        <w:t>aaa</w:t>
      </w:r>
      <w:r>
        <w:rPr>
          <w:sz w:val="24"/>
        </w:rPr>
        <w:t>_</w:t>
      </w:r>
      <w:r>
        <w:rPr>
          <w:i/>
          <w:sz w:val="24"/>
        </w:rPr>
        <w:t>yyyymmdd</w:t>
      </w:r>
      <w:r>
        <w:rPr>
          <w:b/>
          <w:sz w:val="24"/>
        </w:rPr>
        <w:t xml:space="preserve">.xbrl </w:t>
      </w:r>
      <w:r>
        <w:rPr>
          <w:sz w:val="24"/>
        </w:rPr>
        <w:t xml:space="preserve">or </w:t>
      </w:r>
      <w:r>
        <w:rPr>
          <w:i/>
          <w:sz w:val="24"/>
        </w:rPr>
        <w:t>aaa</w:t>
      </w:r>
      <w:r>
        <w:rPr>
          <w:sz w:val="24"/>
        </w:rPr>
        <w:t>_</w:t>
      </w:r>
      <w:r>
        <w:rPr>
          <w:i/>
          <w:sz w:val="24"/>
        </w:rPr>
        <w:t>yyyymmdd</w:t>
      </w:r>
      <w:r>
        <w:rPr>
          <w:b/>
          <w:sz w:val="24"/>
        </w:rPr>
        <w:t xml:space="preserve">.xlsx </w:t>
      </w:r>
      <w:r>
        <w:rPr>
          <w:sz w:val="24"/>
        </w:rPr>
        <w:t>(</w:t>
      </w:r>
      <w:r>
        <w:rPr>
          <w:i/>
          <w:sz w:val="24"/>
        </w:rPr>
        <w:t>aaa</w:t>
      </w:r>
      <w:r>
        <w:rPr>
          <w:sz w:val="24"/>
        </w:rPr>
        <w:t>_</w:t>
      </w:r>
      <w:r>
        <w:rPr>
          <w:i/>
          <w:sz w:val="24"/>
        </w:rPr>
        <w:t>yyyymmdd</w:t>
      </w:r>
      <w:r>
        <w:rPr>
          <w:b/>
          <w:sz w:val="24"/>
        </w:rPr>
        <w:t xml:space="preserve">.p7m </w:t>
      </w:r>
      <w:r>
        <w:rPr>
          <w:sz w:val="24"/>
        </w:rPr>
        <w:t>– encrypted and electronically signed file extension), where:</w:t>
      </w:r>
    </w:p>
    <w:p w14:paraId="6BD7095E" w14:textId="77777777" w:rsidR="00DE7ADA" w:rsidRDefault="00995995">
      <w:pPr>
        <w:pStyle w:val="ListParagraph"/>
        <w:numPr>
          <w:ilvl w:val="1"/>
          <w:numId w:val="1"/>
        </w:numPr>
        <w:tabs>
          <w:tab w:val="left" w:pos="538"/>
        </w:tabs>
        <w:ind w:left="538" w:hanging="420"/>
        <w:jc w:val="both"/>
        <w:rPr>
          <w:sz w:val="24"/>
        </w:rPr>
      </w:pPr>
      <w:r>
        <w:rPr>
          <w:i/>
          <w:sz w:val="24"/>
        </w:rPr>
        <w:t xml:space="preserve">aaa </w:t>
      </w:r>
      <w:r>
        <w:rPr>
          <w:sz w:val="24"/>
        </w:rPr>
        <w:t>– file name prefix:</w:t>
      </w:r>
    </w:p>
    <w:p w14:paraId="338F453F" w14:textId="77777777" w:rsidR="00DE7ADA" w:rsidRDefault="00995995">
      <w:pPr>
        <w:pStyle w:val="ListParagraph"/>
        <w:numPr>
          <w:ilvl w:val="2"/>
          <w:numId w:val="1"/>
        </w:numPr>
        <w:tabs>
          <w:tab w:val="left" w:pos="718"/>
        </w:tabs>
        <w:spacing w:before="105"/>
        <w:ind w:hanging="600"/>
        <w:jc w:val="both"/>
        <w:rPr>
          <w:sz w:val="24"/>
        </w:rPr>
      </w:pPr>
      <w:r>
        <w:rPr>
          <w:sz w:val="24"/>
        </w:rPr>
        <w:t>"COREP-OF" – for the reports referred to in Paragraph 3.1 of the Regulation;</w:t>
      </w:r>
    </w:p>
    <w:p w14:paraId="1A606385" w14:textId="77777777" w:rsidR="00DE7ADA" w:rsidRDefault="00995995">
      <w:pPr>
        <w:pStyle w:val="ListParagraph"/>
        <w:numPr>
          <w:ilvl w:val="2"/>
          <w:numId w:val="1"/>
        </w:numPr>
        <w:tabs>
          <w:tab w:val="left" w:pos="759"/>
        </w:tabs>
        <w:spacing w:before="1" w:line="259" w:lineRule="auto"/>
        <w:ind w:left="118" w:right="682" w:firstLine="0"/>
        <w:rPr>
          <w:sz w:val="24"/>
        </w:rPr>
      </w:pPr>
      <w:r>
        <w:rPr>
          <w:sz w:val="24"/>
        </w:rPr>
        <w:t>"CSDPR" – for the reports referred to in Paragraphs 3.2 and 3.3 (Appendices 1–4 to the Regulation);</w:t>
      </w:r>
    </w:p>
    <w:p w14:paraId="7ED6B2CA" w14:textId="77777777" w:rsidR="00DE7ADA" w:rsidRDefault="00995995">
      <w:pPr>
        <w:pStyle w:val="ListParagraph"/>
        <w:numPr>
          <w:ilvl w:val="2"/>
          <w:numId w:val="1"/>
        </w:numPr>
        <w:tabs>
          <w:tab w:val="left" w:pos="829"/>
        </w:tabs>
        <w:spacing w:line="259" w:lineRule="auto"/>
        <w:ind w:left="118" w:right="680" w:firstLine="0"/>
        <w:rPr>
          <w:sz w:val="24"/>
        </w:rPr>
      </w:pPr>
      <w:r>
        <w:rPr>
          <w:sz w:val="24"/>
        </w:rPr>
        <w:t>"INCIDENT" – for the "Incident report" referred to in Paragraph 3.4 (Appendix 5 to the Regulation);</w:t>
      </w:r>
    </w:p>
    <w:p w14:paraId="0D95E88C" w14:textId="77777777" w:rsidR="00DE7ADA" w:rsidRDefault="00995995">
      <w:pPr>
        <w:pStyle w:val="ListParagraph"/>
        <w:numPr>
          <w:ilvl w:val="1"/>
          <w:numId w:val="1"/>
        </w:numPr>
        <w:tabs>
          <w:tab w:val="left" w:pos="579"/>
        </w:tabs>
        <w:spacing w:line="259" w:lineRule="auto"/>
        <w:ind w:right="681" w:firstLine="0"/>
        <w:rPr>
          <w:sz w:val="24"/>
        </w:rPr>
      </w:pPr>
      <w:r>
        <w:rPr>
          <w:i/>
          <w:sz w:val="24"/>
        </w:rPr>
        <w:t>yyyymmdd </w:t>
      </w:r>
      <w:r>
        <w:rPr>
          <w:sz w:val="24"/>
        </w:rPr>
        <w:t xml:space="preserve">– the last day of the period for which information has been prepared, where </w:t>
      </w:r>
      <w:r>
        <w:rPr>
          <w:i/>
          <w:sz w:val="24"/>
        </w:rPr>
        <w:t>yyyy </w:t>
      </w:r>
      <w:r>
        <w:rPr>
          <w:sz w:val="24"/>
        </w:rPr>
        <w:t xml:space="preserve">– year, </w:t>
      </w:r>
      <w:r>
        <w:rPr>
          <w:i/>
          <w:sz w:val="24"/>
        </w:rPr>
        <w:t>mm </w:t>
      </w:r>
      <w:r>
        <w:rPr>
          <w:sz w:val="24"/>
        </w:rPr>
        <w:t xml:space="preserve">– month, </w:t>
      </w:r>
      <w:r>
        <w:rPr>
          <w:i/>
          <w:sz w:val="24"/>
        </w:rPr>
        <w:t xml:space="preserve">dd – </w:t>
      </w:r>
      <w:r>
        <w:rPr>
          <w:sz w:val="24"/>
        </w:rPr>
        <w:t>date.</w:t>
      </w:r>
    </w:p>
    <w:p w14:paraId="4B06EB65" w14:textId="77777777" w:rsidR="00DE7ADA" w:rsidRDefault="00DE7ADA">
      <w:pPr>
        <w:pStyle w:val="BodyText"/>
        <w:spacing w:before="2"/>
      </w:pPr>
    </w:p>
    <w:p w14:paraId="638165CB" w14:textId="77777777" w:rsidR="00DE7ADA" w:rsidRDefault="00995995">
      <w:pPr>
        <w:pStyle w:val="ListParagraph"/>
        <w:numPr>
          <w:ilvl w:val="0"/>
          <w:numId w:val="1"/>
        </w:numPr>
        <w:tabs>
          <w:tab w:val="left" w:pos="382"/>
        </w:tabs>
        <w:spacing w:line="259" w:lineRule="auto"/>
        <w:ind w:left="118" w:right="685" w:firstLine="0"/>
        <w:rPr>
          <w:sz w:val="24"/>
        </w:rPr>
      </w:pPr>
      <w:r>
        <w:rPr>
          <w:sz w:val="24"/>
        </w:rPr>
        <w:t>Upon digital signing and encrypting the file, it shall be placed into the UNAS/OUT folder of the file exchange service.</w:t>
      </w:r>
    </w:p>
    <w:p w14:paraId="762B105C" w14:textId="77777777" w:rsidR="00DE7ADA" w:rsidRDefault="00DE7ADA">
      <w:pPr>
        <w:pStyle w:val="BodyText"/>
        <w:spacing w:before="4"/>
      </w:pPr>
    </w:p>
    <w:p w14:paraId="6D1F7DAC" w14:textId="77777777" w:rsidR="00DE7ADA" w:rsidRDefault="00995995">
      <w:pPr>
        <w:pStyle w:val="ListParagraph"/>
        <w:numPr>
          <w:ilvl w:val="0"/>
          <w:numId w:val="1"/>
        </w:numPr>
        <w:tabs>
          <w:tab w:val="left" w:pos="440"/>
        </w:tabs>
        <w:spacing w:line="259" w:lineRule="auto"/>
        <w:ind w:left="118" w:right="678" w:firstLine="0"/>
        <w:jc w:val="both"/>
        <w:rPr>
          <w:sz w:val="24"/>
        </w:rPr>
      </w:pPr>
      <w:r>
        <w:rPr>
          <w:sz w:val="24"/>
        </w:rPr>
        <w:t xml:space="preserve">The currency used in the supervisory reports referred to in Paragraphs 3.1, 3.2 and 3.3 of the </w:t>
      </w:r>
      <w:r>
        <w:rPr>
          <w:sz w:val="24"/>
        </w:rPr>
        <w:t>Regulation shall be the euro, formatted with two decimal places. A decimal point (symbol ".") shall be used for separating decimal fractions. A minus sign shall be used to indicate negative values.</w:t>
      </w:r>
    </w:p>
    <w:p w14:paraId="6C25312F" w14:textId="77777777" w:rsidR="00DE7ADA" w:rsidRDefault="00DE7ADA">
      <w:pPr>
        <w:spacing w:line="259" w:lineRule="auto"/>
        <w:jc w:val="both"/>
        <w:rPr>
          <w:sz w:val="24"/>
        </w:rPr>
        <w:sectPr w:rsidR="00DE7ADA" w:rsidSect="005E0778">
          <w:headerReference w:type="default" r:id="rId9"/>
          <w:footerReference w:type="default" r:id="rId10"/>
          <w:type w:val="continuous"/>
          <w:pgSz w:w="11910" w:h="16840"/>
          <w:pgMar w:top="520" w:right="1680" w:bottom="1080" w:left="1680" w:header="0" w:footer="885" w:gutter="0"/>
          <w:pgNumType w:start="1"/>
          <w:cols w:space="720"/>
        </w:sectPr>
      </w:pPr>
    </w:p>
    <w:p w14:paraId="69DCC218" w14:textId="77777777" w:rsidR="00DE7ADA" w:rsidRDefault="00DE7ADA">
      <w:pPr>
        <w:pStyle w:val="BodyText"/>
        <w:rPr>
          <w:sz w:val="20"/>
        </w:rPr>
      </w:pPr>
    </w:p>
    <w:p w14:paraId="550F13D2" w14:textId="77777777" w:rsidR="00DE7ADA" w:rsidRDefault="00DE7ADA">
      <w:pPr>
        <w:pStyle w:val="BodyText"/>
        <w:rPr>
          <w:sz w:val="20"/>
        </w:rPr>
      </w:pPr>
    </w:p>
    <w:p w14:paraId="3E7837DB" w14:textId="77777777" w:rsidR="00DE7ADA" w:rsidRDefault="00DE7ADA">
      <w:pPr>
        <w:pStyle w:val="BodyText"/>
        <w:rPr>
          <w:sz w:val="20"/>
        </w:rPr>
      </w:pPr>
    </w:p>
    <w:p w14:paraId="25039ADC" w14:textId="77777777" w:rsidR="00DE7ADA" w:rsidRDefault="00DE7ADA">
      <w:pPr>
        <w:pStyle w:val="BodyText"/>
        <w:rPr>
          <w:sz w:val="20"/>
        </w:rPr>
      </w:pPr>
    </w:p>
    <w:p w14:paraId="1658BCA5" w14:textId="77777777" w:rsidR="00DE7ADA" w:rsidRDefault="00DE7ADA">
      <w:pPr>
        <w:pStyle w:val="BodyText"/>
        <w:rPr>
          <w:sz w:val="20"/>
        </w:rPr>
      </w:pPr>
    </w:p>
    <w:p w14:paraId="6549CDCC" w14:textId="77777777" w:rsidR="00DE7ADA" w:rsidRDefault="00DE7ADA">
      <w:pPr>
        <w:pStyle w:val="BodyText"/>
        <w:spacing w:before="3"/>
        <w:rPr>
          <w:sz w:val="26"/>
        </w:rPr>
      </w:pPr>
    </w:p>
    <w:p w14:paraId="5B68EC5D" w14:textId="77777777" w:rsidR="00DE7ADA" w:rsidRDefault="00995995">
      <w:pPr>
        <w:pStyle w:val="ListParagraph"/>
        <w:numPr>
          <w:ilvl w:val="0"/>
          <w:numId w:val="1"/>
        </w:numPr>
        <w:tabs>
          <w:tab w:val="left" w:pos="368"/>
        </w:tabs>
        <w:spacing w:before="90" w:line="259" w:lineRule="auto"/>
        <w:ind w:left="118" w:right="678" w:firstLine="0"/>
        <w:rPr>
          <w:sz w:val="24"/>
        </w:rPr>
      </w:pPr>
      <w:r>
        <w:rPr>
          <w:sz w:val="24"/>
        </w:rPr>
        <w:t>The following general information shall be indicated for the supervisory reports referred to in Paragraphs 3.1, 3.2 and 3.3:</w:t>
      </w:r>
    </w:p>
    <w:p w14:paraId="6340A325" w14:textId="77777777" w:rsidR="00DE7ADA" w:rsidRDefault="00995995">
      <w:pPr>
        <w:pStyle w:val="ListParagraph"/>
        <w:numPr>
          <w:ilvl w:val="1"/>
          <w:numId w:val="1"/>
        </w:numPr>
        <w:tabs>
          <w:tab w:val="left" w:pos="538"/>
        </w:tabs>
        <w:spacing w:line="275" w:lineRule="exact"/>
        <w:ind w:left="538" w:hanging="420"/>
        <w:rPr>
          <w:sz w:val="24"/>
        </w:rPr>
      </w:pPr>
      <w:r>
        <w:rPr>
          <w:i/>
          <w:sz w:val="24"/>
        </w:rPr>
        <w:t>Period Start </w:t>
      </w:r>
      <w:r>
        <w:rPr>
          <w:sz w:val="24"/>
        </w:rPr>
        <w:t>– the date of the first day of the reporting quarter;</w:t>
      </w:r>
    </w:p>
    <w:p w14:paraId="41BFA9D8" w14:textId="77777777" w:rsidR="00DE7ADA" w:rsidRDefault="00995995">
      <w:pPr>
        <w:pStyle w:val="ListParagraph"/>
        <w:numPr>
          <w:ilvl w:val="1"/>
          <w:numId w:val="1"/>
        </w:numPr>
        <w:tabs>
          <w:tab w:val="left" w:pos="538"/>
        </w:tabs>
        <w:spacing w:before="21"/>
        <w:ind w:left="538" w:hanging="420"/>
        <w:rPr>
          <w:sz w:val="24"/>
        </w:rPr>
      </w:pPr>
      <w:r>
        <w:rPr>
          <w:i/>
          <w:sz w:val="24"/>
        </w:rPr>
        <w:t>Period End </w:t>
      </w:r>
      <w:r>
        <w:rPr>
          <w:sz w:val="24"/>
        </w:rPr>
        <w:t>– the date of the last day of the reporting quarter;</w:t>
      </w:r>
    </w:p>
    <w:p w14:paraId="70E3906B" w14:textId="77777777" w:rsidR="00DE7ADA" w:rsidRDefault="00995995">
      <w:pPr>
        <w:pStyle w:val="ListParagraph"/>
        <w:numPr>
          <w:ilvl w:val="1"/>
          <w:numId w:val="1"/>
        </w:numPr>
        <w:tabs>
          <w:tab w:val="left" w:pos="538"/>
        </w:tabs>
        <w:spacing w:before="22"/>
        <w:ind w:left="538" w:hanging="420"/>
        <w:rPr>
          <w:sz w:val="24"/>
        </w:rPr>
      </w:pPr>
      <w:r>
        <w:rPr>
          <w:i/>
          <w:sz w:val="24"/>
        </w:rPr>
        <w:t>Identifier</w:t>
      </w:r>
      <w:r>
        <w:rPr>
          <w:sz w:val="24"/>
        </w:rPr>
        <w:t xml:space="preserve"> – the assigned unique three-digit identifier;</w:t>
      </w:r>
    </w:p>
    <w:p w14:paraId="6528479D" w14:textId="77777777" w:rsidR="00DE7ADA" w:rsidRDefault="00995995">
      <w:pPr>
        <w:pStyle w:val="ListParagraph"/>
        <w:numPr>
          <w:ilvl w:val="1"/>
          <w:numId w:val="1"/>
        </w:numPr>
        <w:tabs>
          <w:tab w:val="left" w:pos="538"/>
        </w:tabs>
        <w:spacing w:before="22"/>
        <w:ind w:left="538" w:hanging="420"/>
        <w:rPr>
          <w:sz w:val="24"/>
        </w:rPr>
      </w:pPr>
      <w:r>
        <w:rPr>
          <w:i/>
          <w:sz w:val="24"/>
        </w:rPr>
        <w:t xml:space="preserve">Scheme </w:t>
      </w:r>
      <w:r>
        <w:rPr>
          <w:sz w:val="24"/>
        </w:rPr>
        <w:t>– SC;</w:t>
      </w:r>
    </w:p>
    <w:p w14:paraId="55503DDB" w14:textId="77777777" w:rsidR="00DE7ADA" w:rsidRDefault="00995995">
      <w:pPr>
        <w:pStyle w:val="ListParagraph"/>
        <w:numPr>
          <w:ilvl w:val="1"/>
          <w:numId w:val="1"/>
        </w:numPr>
        <w:tabs>
          <w:tab w:val="left" w:pos="538"/>
        </w:tabs>
        <w:spacing w:before="21"/>
        <w:ind w:left="538" w:hanging="420"/>
        <w:rPr>
          <w:sz w:val="24"/>
        </w:rPr>
      </w:pPr>
      <w:r>
        <w:rPr>
          <w:i/>
          <w:sz w:val="24"/>
        </w:rPr>
        <w:t xml:space="preserve">Currency </w:t>
      </w:r>
      <w:r>
        <w:rPr>
          <w:sz w:val="24"/>
        </w:rPr>
        <w:t>– EUR;</w:t>
      </w:r>
    </w:p>
    <w:p w14:paraId="0261E303" w14:textId="77777777" w:rsidR="00DE7ADA" w:rsidRDefault="00995995">
      <w:pPr>
        <w:pStyle w:val="ListParagraph"/>
        <w:numPr>
          <w:ilvl w:val="1"/>
          <w:numId w:val="1"/>
        </w:numPr>
        <w:tabs>
          <w:tab w:val="left" w:pos="538"/>
        </w:tabs>
        <w:ind w:left="538" w:hanging="420"/>
        <w:rPr>
          <w:i/>
          <w:sz w:val="24"/>
        </w:rPr>
      </w:pPr>
      <w:r>
        <w:rPr>
          <w:i/>
          <w:sz w:val="24"/>
        </w:rPr>
        <w:t xml:space="preserve">Language </w:t>
      </w:r>
      <w:r>
        <w:rPr>
          <w:sz w:val="24"/>
        </w:rPr>
        <w:t>– en;</w:t>
      </w:r>
    </w:p>
    <w:p w14:paraId="004EA583" w14:textId="77777777" w:rsidR="00DE7ADA" w:rsidRDefault="00995995">
      <w:pPr>
        <w:pStyle w:val="ListParagraph"/>
        <w:numPr>
          <w:ilvl w:val="1"/>
          <w:numId w:val="1"/>
        </w:numPr>
        <w:tabs>
          <w:tab w:val="left" w:pos="550"/>
        </w:tabs>
        <w:spacing w:line="259" w:lineRule="auto"/>
        <w:ind w:right="684" w:firstLine="0"/>
        <w:rPr>
          <w:sz w:val="24"/>
        </w:rPr>
      </w:pPr>
      <w:r>
        <w:rPr>
          <w:i/>
          <w:sz w:val="24"/>
        </w:rPr>
        <w:t xml:space="preserve">Filing indicators </w:t>
      </w:r>
      <w:r>
        <w:rPr>
          <w:sz w:val="24"/>
        </w:rPr>
        <w:t>– a feature of the report indicating which of the report tables must be filled in. Value "</w:t>
      </w:r>
      <w:r>
        <w:rPr>
          <w:i/>
          <w:sz w:val="24"/>
        </w:rPr>
        <w:t>positive</w:t>
      </w:r>
      <w:r>
        <w:rPr>
          <w:sz w:val="24"/>
        </w:rPr>
        <w:t xml:space="preserve">" shall be indicated in the field </w:t>
      </w:r>
      <w:r>
        <w:rPr>
          <w:i/>
          <w:sz w:val="24"/>
        </w:rPr>
        <w:t>required</w:t>
      </w:r>
      <w:r>
        <w:rPr>
          <w:sz w:val="24"/>
        </w:rPr>
        <w:t>.</w:t>
      </w:r>
    </w:p>
    <w:p w14:paraId="643047A4" w14:textId="77777777" w:rsidR="00DE7ADA" w:rsidRDefault="00DE7ADA">
      <w:pPr>
        <w:pStyle w:val="BodyText"/>
        <w:spacing w:before="5"/>
      </w:pPr>
    </w:p>
    <w:p w14:paraId="2B394021" w14:textId="77777777" w:rsidR="00DE7ADA" w:rsidRDefault="00995995">
      <w:pPr>
        <w:pStyle w:val="ListParagraph"/>
        <w:numPr>
          <w:ilvl w:val="0"/>
          <w:numId w:val="1"/>
        </w:numPr>
        <w:tabs>
          <w:tab w:val="left" w:pos="358"/>
        </w:tabs>
        <w:spacing w:line="259" w:lineRule="auto"/>
        <w:ind w:left="118" w:right="678" w:firstLine="0"/>
        <w:jc w:val="both"/>
        <w:rPr>
          <w:sz w:val="24"/>
        </w:rPr>
      </w:pPr>
      <w:r>
        <w:rPr>
          <w:sz w:val="24"/>
        </w:rPr>
        <w:t>If the file for a report referred to in Paragraphs 3.1, 3.2 or 3.3 of the Regulation is prepared in XLSX file format, additional information shall be indicated:</w:t>
      </w:r>
    </w:p>
    <w:p w14:paraId="4E5E0E99" w14:textId="77777777" w:rsidR="00DE7ADA" w:rsidRDefault="00995995">
      <w:pPr>
        <w:pStyle w:val="ListParagraph"/>
        <w:numPr>
          <w:ilvl w:val="1"/>
          <w:numId w:val="1"/>
        </w:numPr>
        <w:tabs>
          <w:tab w:val="left" w:pos="610"/>
        </w:tabs>
        <w:ind w:right="684" w:firstLine="0"/>
        <w:jc w:val="both"/>
        <w:rPr>
          <w:sz w:val="24"/>
        </w:rPr>
      </w:pPr>
      <w:r>
        <w:rPr>
          <w:sz w:val="24"/>
        </w:rPr>
        <w:t>The XLSX file template prepared by Latvijas</w:t>
      </w:r>
      <w:r>
        <w:rPr>
          <w:sz w:val="24"/>
        </w:rPr>
        <w:t xml:space="preserve"> Banka comprises all the tables that must be filled in for the report. The sequence of the pages in the file and the placement of the tables in these pages shall not be changed;</w:t>
      </w:r>
    </w:p>
    <w:p w14:paraId="0962F0E8" w14:textId="77777777" w:rsidR="00DE7ADA" w:rsidRDefault="00995995">
      <w:pPr>
        <w:pStyle w:val="ListParagraph"/>
        <w:numPr>
          <w:ilvl w:val="1"/>
          <w:numId w:val="1"/>
        </w:numPr>
        <w:tabs>
          <w:tab w:val="left" w:pos="555"/>
        </w:tabs>
        <w:ind w:right="681" w:firstLine="0"/>
        <w:jc w:val="both"/>
        <w:rPr>
          <w:sz w:val="24"/>
        </w:rPr>
      </w:pPr>
      <w:r>
        <w:rPr>
          <w:sz w:val="24"/>
        </w:rPr>
        <w:t xml:space="preserve">on the first page of the file (titled </w:t>
      </w:r>
      <w:r>
        <w:rPr>
          <w:i/>
          <w:sz w:val="24"/>
        </w:rPr>
        <w:t>TOC</w:t>
      </w:r>
      <w:r>
        <w:rPr>
          <w:sz w:val="24"/>
        </w:rPr>
        <w:t>), general information about the report shall be provided according to the provisions stipulated in Paragraph 5.</w:t>
      </w:r>
    </w:p>
    <w:p w14:paraId="33C0A848" w14:textId="77777777" w:rsidR="00DE7ADA" w:rsidRDefault="00DE7ADA">
      <w:pPr>
        <w:pStyle w:val="BodyText"/>
        <w:spacing w:before="4"/>
      </w:pPr>
    </w:p>
    <w:p w14:paraId="0104AE3F" w14:textId="77777777" w:rsidR="00DE7ADA" w:rsidRDefault="00995995">
      <w:pPr>
        <w:pStyle w:val="ListParagraph"/>
        <w:numPr>
          <w:ilvl w:val="0"/>
          <w:numId w:val="1"/>
        </w:numPr>
        <w:tabs>
          <w:tab w:val="left" w:pos="380"/>
        </w:tabs>
        <w:ind w:left="118" w:right="680" w:firstLine="0"/>
        <w:jc w:val="both"/>
        <w:rPr>
          <w:sz w:val="24"/>
        </w:rPr>
      </w:pPr>
      <w:r>
        <w:rPr>
          <w:sz w:val="24"/>
        </w:rPr>
        <w:t>Requirements for the information to be submitted for the "Incident report" referred to in Paragraph 3.4:</w:t>
      </w:r>
    </w:p>
    <w:p w14:paraId="2B9D636E" w14:textId="77777777" w:rsidR="00DE7ADA" w:rsidRDefault="00DE7ADA">
      <w:pPr>
        <w:pStyle w:val="BodyText"/>
        <w:spacing w:before="3" w:after="1"/>
      </w:pPr>
    </w:p>
    <w:tbl>
      <w:tblPr>
        <w:tblStyle w:val="TableNormal1"/>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36"/>
        <w:gridCol w:w="1280"/>
        <w:gridCol w:w="2979"/>
      </w:tblGrid>
      <w:tr w:rsidR="00DE7ADA" w14:paraId="7E83598D" w14:textId="77777777">
        <w:trPr>
          <w:trHeight w:val="553"/>
        </w:trPr>
        <w:tc>
          <w:tcPr>
            <w:tcW w:w="3536" w:type="dxa"/>
          </w:tcPr>
          <w:p w14:paraId="4FFC43CF" w14:textId="77777777" w:rsidR="00DE7ADA" w:rsidRDefault="00995995">
            <w:pPr>
              <w:pStyle w:val="TableParagraph"/>
              <w:spacing w:before="1" w:line="240" w:lineRule="auto"/>
              <w:ind w:left="734" w:right="0"/>
              <w:jc w:val="left"/>
              <w:rPr>
                <w:sz w:val="24"/>
              </w:rPr>
            </w:pPr>
            <w:r>
              <w:rPr>
                <w:sz w:val="24"/>
              </w:rPr>
              <w:t>Item</w:t>
            </w:r>
          </w:p>
        </w:tc>
        <w:tc>
          <w:tcPr>
            <w:tcW w:w="1280" w:type="dxa"/>
          </w:tcPr>
          <w:p w14:paraId="1BC2412B" w14:textId="77777777" w:rsidR="00DE7ADA" w:rsidRDefault="00995995">
            <w:pPr>
              <w:pStyle w:val="TableParagraph"/>
              <w:spacing w:line="270" w:lineRule="atLeast"/>
              <w:ind w:left="381" w:right="178" w:hanging="176"/>
              <w:jc w:val="left"/>
              <w:rPr>
                <w:sz w:val="24"/>
              </w:rPr>
            </w:pPr>
            <w:r>
              <w:rPr>
                <w:sz w:val="24"/>
              </w:rPr>
              <w:t>Item code</w:t>
            </w:r>
          </w:p>
        </w:tc>
        <w:tc>
          <w:tcPr>
            <w:tcW w:w="2979" w:type="dxa"/>
          </w:tcPr>
          <w:p w14:paraId="064ACC11" w14:textId="77777777" w:rsidR="00DE7ADA" w:rsidRDefault="00995995">
            <w:pPr>
              <w:pStyle w:val="TableParagraph"/>
              <w:spacing w:line="270" w:lineRule="atLeast"/>
              <w:ind w:left="870" w:right="334" w:hanging="526"/>
              <w:jc w:val="left"/>
              <w:rPr>
                <w:sz w:val="24"/>
              </w:rPr>
            </w:pPr>
            <w:r>
              <w:rPr>
                <w:sz w:val="24"/>
              </w:rPr>
              <w:t>Requirements for the information to be submitted</w:t>
            </w:r>
          </w:p>
        </w:tc>
      </w:tr>
      <w:tr w:rsidR="00DE7ADA" w14:paraId="56C7987C" w14:textId="77777777">
        <w:trPr>
          <w:trHeight w:val="275"/>
        </w:trPr>
        <w:tc>
          <w:tcPr>
            <w:tcW w:w="3536" w:type="dxa"/>
          </w:tcPr>
          <w:p w14:paraId="100F6AF7" w14:textId="77777777" w:rsidR="00DE7ADA" w:rsidRDefault="00995995">
            <w:pPr>
              <w:pStyle w:val="TableParagraph"/>
              <w:ind w:left="0" w:right="48"/>
              <w:rPr>
                <w:sz w:val="24"/>
              </w:rPr>
            </w:pPr>
            <w:r>
              <w:rPr>
                <w:sz w:val="24"/>
              </w:rPr>
              <w:t>A</w:t>
            </w:r>
          </w:p>
        </w:tc>
        <w:tc>
          <w:tcPr>
            <w:tcW w:w="1280" w:type="dxa"/>
          </w:tcPr>
          <w:p w14:paraId="3A873935" w14:textId="77777777" w:rsidR="00DE7ADA" w:rsidRDefault="00995995">
            <w:pPr>
              <w:pStyle w:val="TableParagraph"/>
              <w:ind w:left="0" w:right="52"/>
              <w:rPr>
                <w:sz w:val="24"/>
              </w:rPr>
            </w:pPr>
            <w:r>
              <w:rPr>
                <w:sz w:val="24"/>
              </w:rPr>
              <w:t>B</w:t>
            </w:r>
          </w:p>
        </w:tc>
        <w:tc>
          <w:tcPr>
            <w:tcW w:w="2979" w:type="dxa"/>
          </w:tcPr>
          <w:p w14:paraId="70AA77EC" w14:textId="77777777" w:rsidR="00DE7ADA" w:rsidRDefault="00995995">
            <w:pPr>
              <w:pStyle w:val="TableParagraph"/>
              <w:ind w:left="439" w:right="494"/>
              <w:rPr>
                <w:sz w:val="24"/>
              </w:rPr>
            </w:pPr>
            <w:r>
              <w:rPr>
                <w:sz w:val="24"/>
              </w:rPr>
              <w:t>0010</w:t>
            </w:r>
          </w:p>
        </w:tc>
      </w:tr>
      <w:tr w:rsidR="00DE7ADA" w14:paraId="3957FEA0" w14:textId="77777777">
        <w:trPr>
          <w:trHeight w:val="551"/>
        </w:trPr>
        <w:tc>
          <w:tcPr>
            <w:tcW w:w="3536" w:type="dxa"/>
          </w:tcPr>
          <w:p w14:paraId="4231C1B6" w14:textId="77777777" w:rsidR="00DE7ADA" w:rsidRDefault="00995995">
            <w:pPr>
              <w:pStyle w:val="TableParagraph"/>
              <w:spacing w:line="275" w:lineRule="exact"/>
              <w:ind w:right="0"/>
              <w:jc w:val="left"/>
              <w:rPr>
                <w:sz w:val="24"/>
              </w:rPr>
            </w:pPr>
            <w:r>
              <w:rPr>
                <w:sz w:val="24"/>
              </w:rPr>
              <w:t>Incident identifier</w:t>
            </w:r>
          </w:p>
        </w:tc>
        <w:tc>
          <w:tcPr>
            <w:tcW w:w="1280" w:type="dxa"/>
          </w:tcPr>
          <w:p w14:paraId="09E135D7" w14:textId="77777777" w:rsidR="00DE7ADA" w:rsidRDefault="00995995">
            <w:pPr>
              <w:pStyle w:val="TableParagraph"/>
              <w:spacing w:line="275" w:lineRule="exact"/>
              <w:ind w:left="377"/>
              <w:rPr>
                <w:sz w:val="24"/>
              </w:rPr>
            </w:pPr>
            <w:r>
              <w:rPr>
                <w:sz w:val="24"/>
              </w:rPr>
              <w:t>0010</w:t>
            </w:r>
          </w:p>
        </w:tc>
        <w:tc>
          <w:tcPr>
            <w:tcW w:w="2979" w:type="dxa"/>
          </w:tcPr>
          <w:p w14:paraId="1FDB40F7" w14:textId="77777777" w:rsidR="00DE7ADA" w:rsidRDefault="00995995">
            <w:pPr>
              <w:pStyle w:val="TableParagraph"/>
              <w:spacing w:line="276" w:lineRule="exact"/>
              <w:ind w:left="320" w:right="334" w:firstLine="19"/>
              <w:jc w:val="left"/>
              <w:rPr>
                <w:sz w:val="24"/>
              </w:rPr>
            </w:pPr>
            <w:r>
              <w:rPr>
                <w:sz w:val="24"/>
              </w:rPr>
              <w:t>the internal identifier of the market participant</w:t>
            </w:r>
          </w:p>
        </w:tc>
      </w:tr>
      <w:tr w:rsidR="00DE7ADA" w14:paraId="5EEEBD92" w14:textId="77777777">
        <w:trPr>
          <w:trHeight w:val="275"/>
        </w:trPr>
        <w:tc>
          <w:tcPr>
            <w:tcW w:w="3536" w:type="dxa"/>
          </w:tcPr>
          <w:p w14:paraId="7FD0111E" w14:textId="77777777" w:rsidR="00DE7ADA" w:rsidRDefault="00995995">
            <w:pPr>
              <w:pStyle w:val="TableParagraph"/>
              <w:spacing w:line="255" w:lineRule="exact"/>
              <w:ind w:right="0"/>
              <w:jc w:val="left"/>
              <w:rPr>
                <w:sz w:val="24"/>
              </w:rPr>
            </w:pPr>
            <w:r>
              <w:rPr>
                <w:sz w:val="24"/>
              </w:rPr>
              <w:t>Date and time of occurrence</w:t>
            </w:r>
          </w:p>
        </w:tc>
        <w:tc>
          <w:tcPr>
            <w:tcW w:w="1280" w:type="dxa"/>
          </w:tcPr>
          <w:p w14:paraId="6C2DB9A9" w14:textId="77777777" w:rsidR="00DE7ADA" w:rsidRDefault="00995995">
            <w:pPr>
              <w:pStyle w:val="TableParagraph"/>
              <w:spacing w:line="255" w:lineRule="exact"/>
              <w:ind w:left="377"/>
              <w:rPr>
                <w:sz w:val="24"/>
              </w:rPr>
            </w:pPr>
            <w:r>
              <w:rPr>
                <w:sz w:val="24"/>
              </w:rPr>
              <w:t>0020</w:t>
            </w:r>
          </w:p>
        </w:tc>
        <w:tc>
          <w:tcPr>
            <w:tcW w:w="2979" w:type="dxa"/>
          </w:tcPr>
          <w:p w14:paraId="31387BB6" w14:textId="77777777" w:rsidR="00DE7ADA" w:rsidRDefault="00995995">
            <w:pPr>
              <w:pStyle w:val="TableParagraph"/>
              <w:spacing w:line="255" w:lineRule="exact"/>
              <w:ind w:left="441" w:right="494"/>
              <w:rPr>
                <w:sz w:val="24"/>
              </w:rPr>
            </w:pPr>
            <w:r>
              <w:rPr>
                <w:sz w:val="24"/>
              </w:rPr>
              <w:t>dd-mm-yyyy hh:mm</w:t>
            </w:r>
          </w:p>
        </w:tc>
      </w:tr>
      <w:tr w:rsidR="00DE7ADA" w14:paraId="05ECAA1D" w14:textId="77777777">
        <w:trPr>
          <w:trHeight w:val="275"/>
        </w:trPr>
        <w:tc>
          <w:tcPr>
            <w:tcW w:w="3536" w:type="dxa"/>
          </w:tcPr>
          <w:p w14:paraId="07EB7CAF" w14:textId="77777777" w:rsidR="00DE7ADA" w:rsidRDefault="00995995">
            <w:pPr>
              <w:pStyle w:val="TableParagraph"/>
              <w:ind w:right="0"/>
              <w:jc w:val="left"/>
              <w:rPr>
                <w:sz w:val="24"/>
              </w:rPr>
            </w:pPr>
            <w:r>
              <w:rPr>
                <w:sz w:val="24"/>
              </w:rPr>
              <w:t>Estimated elimination time</w:t>
            </w:r>
          </w:p>
        </w:tc>
        <w:tc>
          <w:tcPr>
            <w:tcW w:w="1280" w:type="dxa"/>
          </w:tcPr>
          <w:p w14:paraId="701AF59A" w14:textId="77777777" w:rsidR="00DE7ADA" w:rsidRDefault="00995995">
            <w:pPr>
              <w:pStyle w:val="TableParagraph"/>
              <w:ind w:left="377"/>
              <w:rPr>
                <w:sz w:val="24"/>
              </w:rPr>
            </w:pPr>
            <w:r>
              <w:rPr>
                <w:sz w:val="24"/>
              </w:rPr>
              <w:t>0030</w:t>
            </w:r>
          </w:p>
        </w:tc>
        <w:tc>
          <w:tcPr>
            <w:tcW w:w="2979" w:type="dxa"/>
          </w:tcPr>
          <w:p w14:paraId="554CFF58" w14:textId="77777777" w:rsidR="00DE7ADA" w:rsidRDefault="00995995">
            <w:pPr>
              <w:pStyle w:val="TableParagraph"/>
              <w:ind w:left="441" w:right="494"/>
              <w:rPr>
                <w:sz w:val="24"/>
              </w:rPr>
            </w:pPr>
            <w:r>
              <w:rPr>
                <w:sz w:val="24"/>
              </w:rPr>
              <w:t>dd-mm-yyyy hh:mm</w:t>
            </w:r>
          </w:p>
        </w:tc>
      </w:tr>
      <w:tr w:rsidR="00DE7ADA" w14:paraId="2AD66369" w14:textId="77777777">
        <w:trPr>
          <w:trHeight w:val="275"/>
        </w:trPr>
        <w:tc>
          <w:tcPr>
            <w:tcW w:w="3536" w:type="dxa"/>
          </w:tcPr>
          <w:p w14:paraId="6346D786" w14:textId="77777777" w:rsidR="00DE7ADA" w:rsidRDefault="00995995">
            <w:pPr>
              <w:pStyle w:val="TableParagraph"/>
              <w:ind w:right="0"/>
              <w:jc w:val="left"/>
              <w:rPr>
                <w:sz w:val="24"/>
              </w:rPr>
            </w:pPr>
            <w:r>
              <w:rPr>
                <w:sz w:val="24"/>
              </w:rPr>
              <w:t>Reason and description</w:t>
            </w:r>
          </w:p>
        </w:tc>
        <w:tc>
          <w:tcPr>
            <w:tcW w:w="1280" w:type="dxa"/>
          </w:tcPr>
          <w:p w14:paraId="2FC72A57" w14:textId="77777777" w:rsidR="00DE7ADA" w:rsidRDefault="00995995">
            <w:pPr>
              <w:pStyle w:val="TableParagraph"/>
              <w:ind w:left="377"/>
              <w:rPr>
                <w:sz w:val="24"/>
              </w:rPr>
            </w:pPr>
            <w:r>
              <w:rPr>
                <w:sz w:val="24"/>
              </w:rPr>
              <w:t>0040</w:t>
            </w:r>
          </w:p>
        </w:tc>
        <w:tc>
          <w:tcPr>
            <w:tcW w:w="2979" w:type="dxa"/>
          </w:tcPr>
          <w:p w14:paraId="06B00C59" w14:textId="77777777" w:rsidR="00DE7ADA" w:rsidRDefault="00995995">
            <w:pPr>
              <w:pStyle w:val="TableParagraph"/>
              <w:ind w:left="439" w:right="494"/>
              <w:rPr>
                <w:sz w:val="24"/>
              </w:rPr>
            </w:pPr>
            <w:r>
              <w:rPr>
                <w:sz w:val="24"/>
              </w:rPr>
              <w:t>text</w:t>
            </w:r>
          </w:p>
        </w:tc>
      </w:tr>
      <w:tr w:rsidR="00DE7ADA" w14:paraId="119BA9D6" w14:textId="77777777">
        <w:trPr>
          <w:trHeight w:val="551"/>
        </w:trPr>
        <w:tc>
          <w:tcPr>
            <w:tcW w:w="3536" w:type="dxa"/>
          </w:tcPr>
          <w:p w14:paraId="7DB08C02" w14:textId="77777777" w:rsidR="00DE7ADA" w:rsidRDefault="00995995">
            <w:pPr>
              <w:pStyle w:val="TableParagraph"/>
              <w:spacing w:line="276" w:lineRule="exact"/>
              <w:ind w:right="959"/>
              <w:jc w:val="left"/>
              <w:rPr>
                <w:sz w:val="24"/>
              </w:rPr>
            </w:pPr>
            <w:r>
              <w:rPr>
                <w:sz w:val="24"/>
              </w:rPr>
              <w:t xml:space="preserve">The incident is related to cyber </w:t>
            </w:r>
            <w:r>
              <w:rPr>
                <w:sz w:val="24"/>
              </w:rPr>
              <w:t>security</w:t>
            </w:r>
          </w:p>
        </w:tc>
        <w:tc>
          <w:tcPr>
            <w:tcW w:w="1280" w:type="dxa"/>
          </w:tcPr>
          <w:p w14:paraId="78F812E6" w14:textId="77777777" w:rsidR="00DE7ADA" w:rsidRDefault="00995995">
            <w:pPr>
              <w:pStyle w:val="TableParagraph"/>
              <w:spacing w:line="275" w:lineRule="exact"/>
              <w:ind w:left="377"/>
              <w:rPr>
                <w:sz w:val="24"/>
              </w:rPr>
            </w:pPr>
            <w:r>
              <w:rPr>
                <w:sz w:val="24"/>
              </w:rPr>
              <w:t>0050</w:t>
            </w:r>
          </w:p>
        </w:tc>
        <w:tc>
          <w:tcPr>
            <w:tcW w:w="2979" w:type="dxa"/>
          </w:tcPr>
          <w:p w14:paraId="5FF9EA3A" w14:textId="77777777" w:rsidR="00DE7ADA" w:rsidRDefault="00995995">
            <w:pPr>
              <w:pStyle w:val="TableParagraph"/>
              <w:spacing w:line="275" w:lineRule="exact"/>
              <w:ind w:left="439" w:right="494"/>
              <w:rPr>
                <w:sz w:val="24"/>
              </w:rPr>
            </w:pPr>
            <w:r>
              <w:rPr>
                <w:sz w:val="24"/>
              </w:rPr>
              <w:t>text</w:t>
            </w:r>
          </w:p>
        </w:tc>
      </w:tr>
      <w:tr w:rsidR="00DE7ADA" w14:paraId="7E28D480" w14:textId="77777777">
        <w:trPr>
          <w:trHeight w:val="278"/>
        </w:trPr>
        <w:tc>
          <w:tcPr>
            <w:tcW w:w="3536" w:type="dxa"/>
          </w:tcPr>
          <w:p w14:paraId="1BCF2666" w14:textId="77777777" w:rsidR="00DE7ADA" w:rsidRDefault="00995995">
            <w:pPr>
              <w:pStyle w:val="TableParagraph"/>
              <w:spacing w:before="1" w:line="257" w:lineRule="exact"/>
              <w:ind w:right="0"/>
              <w:jc w:val="left"/>
              <w:rPr>
                <w:sz w:val="24"/>
              </w:rPr>
            </w:pPr>
            <w:r>
              <w:rPr>
                <w:sz w:val="24"/>
              </w:rPr>
              <w:t>Time of elimination</w:t>
            </w:r>
          </w:p>
        </w:tc>
        <w:tc>
          <w:tcPr>
            <w:tcW w:w="1280" w:type="dxa"/>
          </w:tcPr>
          <w:p w14:paraId="7500DE9C" w14:textId="77777777" w:rsidR="00DE7ADA" w:rsidRDefault="00995995">
            <w:pPr>
              <w:pStyle w:val="TableParagraph"/>
              <w:spacing w:before="1" w:line="257" w:lineRule="exact"/>
              <w:ind w:left="377"/>
              <w:rPr>
                <w:sz w:val="24"/>
              </w:rPr>
            </w:pPr>
            <w:r>
              <w:rPr>
                <w:sz w:val="24"/>
              </w:rPr>
              <w:t>0060</w:t>
            </w:r>
          </w:p>
        </w:tc>
        <w:tc>
          <w:tcPr>
            <w:tcW w:w="2979" w:type="dxa"/>
          </w:tcPr>
          <w:p w14:paraId="3D68F26B" w14:textId="77777777" w:rsidR="00DE7ADA" w:rsidRDefault="00995995">
            <w:pPr>
              <w:pStyle w:val="TableParagraph"/>
              <w:spacing w:before="1" w:line="257" w:lineRule="exact"/>
              <w:ind w:left="441" w:right="494"/>
              <w:rPr>
                <w:sz w:val="24"/>
              </w:rPr>
            </w:pPr>
            <w:r>
              <w:rPr>
                <w:sz w:val="24"/>
              </w:rPr>
              <w:t>dd-mm-yyyy hh:mm</w:t>
            </w:r>
          </w:p>
        </w:tc>
      </w:tr>
      <w:tr w:rsidR="00DE7ADA" w14:paraId="19A7DB50" w14:textId="77777777">
        <w:trPr>
          <w:trHeight w:val="275"/>
        </w:trPr>
        <w:tc>
          <w:tcPr>
            <w:tcW w:w="3536" w:type="dxa"/>
          </w:tcPr>
          <w:p w14:paraId="7F6D2656" w14:textId="77777777" w:rsidR="00DE7ADA" w:rsidRDefault="00995995">
            <w:pPr>
              <w:pStyle w:val="TableParagraph"/>
              <w:ind w:right="0"/>
              <w:jc w:val="left"/>
              <w:rPr>
                <w:sz w:val="24"/>
              </w:rPr>
            </w:pPr>
            <w:r>
              <w:rPr>
                <w:sz w:val="24"/>
              </w:rPr>
              <w:t>Additional description</w:t>
            </w:r>
          </w:p>
        </w:tc>
        <w:tc>
          <w:tcPr>
            <w:tcW w:w="1280" w:type="dxa"/>
          </w:tcPr>
          <w:p w14:paraId="1964AA8E" w14:textId="77777777" w:rsidR="00DE7ADA" w:rsidRDefault="00995995">
            <w:pPr>
              <w:pStyle w:val="TableParagraph"/>
              <w:ind w:left="377"/>
              <w:rPr>
                <w:sz w:val="24"/>
              </w:rPr>
            </w:pPr>
            <w:r>
              <w:rPr>
                <w:sz w:val="24"/>
              </w:rPr>
              <w:t>0070</w:t>
            </w:r>
          </w:p>
        </w:tc>
        <w:tc>
          <w:tcPr>
            <w:tcW w:w="2979" w:type="dxa"/>
          </w:tcPr>
          <w:p w14:paraId="45EFC00F" w14:textId="77777777" w:rsidR="00DE7ADA" w:rsidRDefault="00995995">
            <w:pPr>
              <w:pStyle w:val="TableParagraph"/>
              <w:ind w:left="439" w:right="494"/>
              <w:rPr>
                <w:sz w:val="24"/>
              </w:rPr>
            </w:pPr>
            <w:r>
              <w:rPr>
                <w:sz w:val="24"/>
              </w:rPr>
              <w:t>text</w:t>
            </w:r>
          </w:p>
        </w:tc>
      </w:tr>
      <w:tr w:rsidR="00DE7ADA" w14:paraId="0C003114" w14:textId="77777777">
        <w:trPr>
          <w:trHeight w:val="275"/>
        </w:trPr>
        <w:tc>
          <w:tcPr>
            <w:tcW w:w="3536" w:type="dxa"/>
          </w:tcPr>
          <w:p w14:paraId="57955A10" w14:textId="77777777" w:rsidR="00DE7ADA" w:rsidRDefault="00995995">
            <w:pPr>
              <w:pStyle w:val="TableParagraph"/>
              <w:ind w:right="0"/>
              <w:jc w:val="left"/>
              <w:rPr>
                <w:sz w:val="24"/>
              </w:rPr>
            </w:pPr>
            <w:r>
              <w:rPr>
                <w:sz w:val="24"/>
              </w:rPr>
              <w:t>Description of elimination process</w:t>
            </w:r>
          </w:p>
        </w:tc>
        <w:tc>
          <w:tcPr>
            <w:tcW w:w="1280" w:type="dxa"/>
          </w:tcPr>
          <w:p w14:paraId="17ACF507" w14:textId="77777777" w:rsidR="00DE7ADA" w:rsidRDefault="00995995">
            <w:pPr>
              <w:pStyle w:val="TableParagraph"/>
              <w:ind w:left="377"/>
              <w:rPr>
                <w:sz w:val="24"/>
              </w:rPr>
            </w:pPr>
            <w:r>
              <w:rPr>
                <w:sz w:val="24"/>
              </w:rPr>
              <w:t>0080</w:t>
            </w:r>
          </w:p>
        </w:tc>
        <w:tc>
          <w:tcPr>
            <w:tcW w:w="2979" w:type="dxa"/>
          </w:tcPr>
          <w:p w14:paraId="6140BF85" w14:textId="77777777" w:rsidR="00DE7ADA" w:rsidRDefault="00995995">
            <w:pPr>
              <w:pStyle w:val="TableParagraph"/>
              <w:ind w:left="439" w:right="494"/>
              <w:rPr>
                <w:sz w:val="24"/>
              </w:rPr>
            </w:pPr>
            <w:r>
              <w:rPr>
                <w:sz w:val="24"/>
              </w:rPr>
              <w:t>text</w:t>
            </w:r>
          </w:p>
        </w:tc>
      </w:tr>
      <w:tr w:rsidR="00DE7ADA" w14:paraId="42771881" w14:textId="77777777">
        <w:trPr>
          <w:trHeight w:val="551"/>
        </w:trPr>
        <w:tc>
          <w:tcPr>
            <w:tcW w:w="3536" w:type="dxa"/>
          </w:tcPr>
          <w:p w14:paraId="7E6784FC" w14:textId="77777777" w:rsidR="00DE7ADA" w:rsidRDefault="00995995">
            <w:pPr>
              <w:pStyle w:val="TableParagraph"/>
              <w:spacing w:line="276" w:lineRule="exact"/>
              <w:ind w:right="1223"/>
              <w:jc w:val="left"/>
              <w:rPr>
                <w:sz w:val="24"/>
              </w:rPr>
            </w:pPr>
            <w:r>
              <w:rPr>
                <w:sz w:val="24"/>
              </w:rPr>
              <w:t>Impact and consequences (incl. financial)</w:t>
            </w:r>
          </w:p>
        </w:tc>
        <w:tc>
          <w:tcPr>
            <w:tcW w:w="1280" w:type="dxa"/>
          </w:tcPr>
          <w:p w14:paraId="6465A4A4" w14:textId="77777777" w:rsidR="00DE7ADA" w:rsidRDefault="00995995">
            <w:pPr>
              <w:pStyle w:val="TableParagraph"/>
              <w:spacing w:line="275" w:lineRule="exact"/>
              <w:ind w:left="377"/>
              <w:rPr>
                <w:sz w:val="24"/>
              </w:rPr>
            </w:pPr>
            <w:r>
              <w:rPr>
                <w:sz w:val="24"/>
              </w:rPr>
              <w:t>0090</w:t>
            </w:r>
          </w:p>
        </w:tc>
        <w:tc>
          <w:tcPr>
            <w:tcW w:w="2979" w:type="dxa"/>
          </w:tcPr>
          <w:p w14:paraId="2A6A1367" w14:textId="77777777" w:rsidR="00DE7ADA" w:rsidRDefault="00995995">
            <w:pPr>
              <w:pStyle w:val="TableParagraph"/>
              <w:spacing w:line="275" w:lineRule="exact"/>
              <w:ind w:left="439" w:right="494"/>
              <w:rPr>
                <w:sz w:val="24"/>
              </w:rPr>
            </w:pPr>
            <w:r>
              <w:rPr>
                <w:sz w:val="24"/>
              </w:rPr>
              <w:t>text</w:t>
            </w:r>
          </w:p>
        </w:tc>
      </w:tr>
      <w:tr w:rsidR="00DE7ADA" w14:paraId="7C22929B" w14:textId="77777777">
        <w:trPr>
          <w:trHeight w:val="551"/>
        </w:trPr>
        <w:tc>
          <w:tcPr>
            <w:tcW w:w="3536" w:type="dxa"/>
          </w:tcPr>
          <w:p w14:paraId="6DF3EEA4" w14:textId="77777777" w:rsidR="00DE7ADA" w:rsidRDefault="00995995">
            <w:pPr>
              <w:pStyle w:val="TableParagraph"/>
              <w:spacing w:line="276" w:lineRule="exact"/>
              <w:ind w:right="466"/>
              <w:jc w:val="left"/>
              <w:rPr>
                <w:sz w:val="24"/>
              </w:rPr>
            </w:pPr>
            <w:r>
              <w:rPr>
                <w:sz w:val="24"/>
              </w:rPr>
              <w:t>Future actions to prevent such incidents</w:t>
            </w:r>
          </w:p>
        </w:tc>
        <w:tc>
          <w:tcPr>
            <w:tcW w:w="1280" w:type="dxa"/>
          </w:tcPr>
          <w:p w14:paraId="42170B5B" w14:textId="77777777" w:rsidR="00DE7ADA" w:rsidRDefault="00995995">
            <w:pPr>
              <w:pStyle w:val="TableParagraph"/>
              <w:spacing w:line="275" w:lineRule="exact"/>
              <w:ind w:left="377"/>
              <w:rPr>
                <w:sz w:val="24"/>
              </w:rPr>
            </w:pPr>
            <w:r>
              <w:rPr>
                <w:sz w:val="24"/>
              </w:rPr>
              <w:t>0100</w:t>
            </w:r>
          </w:p>
        </w:tc>
        <w:tc>
          <w:tcPr>
            <w:tcW w:w="2979" w:type="dxa"/>
          </w:tcPr>
          <w:p w14:paraId="091B6C9E" w14:textId="77777777" w:rsidR="00DE7ADA" w:rsidRDefault="00995995">
            <w:pPr>
              <w:pStyle w:val="TableParagraph"/>
              <w:spacing w:line="275" w:lineRule="exact"/>
              <w:ind w:left="439" w:right="494"/>
              <w:rPr>
                <w:sz w:val="24"/>
              </w:rPr>
            </w:pPr>
            <w:r>
              <w:rPr>
                <w:sz w:val="24"/>
              </w:rPr>
              <w:t>text</w:t>
            </w:r>
          </w:p>
        </w:tc>
      </w:tr>
    </w:tbl>
    <w:p w14:paraId="555F40C3" w14:textId="77777777" w:rsidR="005E0778" w:rsidRDefault="005E0778"/>
    <w:sectPr w:rsidR="005E0778">
      <w:pgSz w:w="11910" w:h="16840"/>
      <w:pgMar w:top="520" w:right="1680" w:bottom="1080" w:left="1680" w:header="0" w:footer="8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389E2C" w14:textId="77777777" w:rsidR="005E0778" w:rsidRDefault="005E0778">
      <w:r>
        <w:separator/>
      </w:r>
    </w:p>
  </w:endnote>
  <w:endnote w:type="continuationSeparator" w:id="0">
    <w:p w14:paraId="36E9D2B7" w14:textId="77777777" w:rsidR="005E0778" w:rsidRDefault="005E0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Lora">
    <w:panose1 w:val="00000000000000000000"/>
    <w:charset w:val="BA"/>
    <w:family w:val="auto"/>
    <w:pitch w:val="variable"/>
    <w:sig w:usb0="A00002FF" w:usb1="5000204B" w:usb2="00000000" w:usb3="00000000" w:csb0="00000097" w:csb1="00000000"/>
  </w:font>
  <w:font w:name="Open Sans">
    <w:panose1 w:val="00000000000000000000"/>
    <w:charset w:val="BA"/>
    <w:family w:val="auto"/>
    <w:pitch w:val="variable"/>
    <w:sig w:usb0="E00002FF" w:usb1="4000201B" w:usb2="00000028"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E4860" w14:textId="4CFB8941" w:rsidR="00DE7ADA" w:rsidRDefault="00995995">
    <w:pPr>
      <w:pStyle w:val="BodyText"/>
      <w:spacing w:line="14" w:lineRule="auto"/>
      <w:rPr>
        <w:sz w:val="20"/>
      </w:rPr>
    </w:pPr>
    <w:r>
      <w:rPr>
        <w:noProof/>
      </w:rPr>
      <mc:AlternateContent>
        <mc:Choice Requires="wps">
          <w:drawing>
            <wp:anchor distT="0" distB="0" distL="114300" distR="114300" simplePos="0" relativeHeight="487488512" behindDoc="1" locked="0" layoutInCell="1" allowOverlap="1" wp14:anchorId="60D74C5F" wp14:editId="2190D9AD">
              <wp:simplePos x="0" y="0"/>
              <wp:positionH relativeFrom="page">
                <wp:posOffset>3608705</wp:posOffset>
              </wp:positionH>
              <wp:positionV relativeFrom="page">
                <wp:posOffset>10002520</wp:posOffset>
              </wp:positionV>
              <wp:extent cx="337820" cy="689610"/>
              <wp:effectExtent l="0" t="0" r="0" b="0"/>
              <wp:wrapNone/>
              <wp:docPr id="2052382684"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820" cy="689610"/>
                      </a:xfrm>
                      <a:prstGeom prst="rect">
                        <a:avLst/>
                      </a:prstGeom>
                      <a:solidFill>
                        <a:srgbClr val="479E9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548D6" id="docshape2" o:spid="_x0000_s1026" style="position:absolute;margin-left:284.15pt;margin-top:787.6pt;width:26.6pt;height:54.3pt;z-index:-1582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" fillcolor="#479e9e" stroked="f">
              <w10:wrap anchorx="page" anchory="page"/>
            </v:rect>
          </w:pict>
        </mc:Fallback>
      </mc:AlternateContent>
    </w:r>
    <w:r>
      <w:rPr>
        <w:noProof/>
      </w:rPr>
      <mc:AlternateContent>
        <mc:Choice Requires="wps">
          <w:drawing>
            <wp:anchor distT="0" distB="0" distL="114300" distR="114300" simplePos="0" relativeHeight="487489024" behindDoc="1" locked="0" layoutInCell="1" allowOverlap="1" wp14:anchorId="3E99BF2A" wp14:editId="0053E1B5">
              <wp:simplePos x="0" y="0"/>
              <wp:positionH relativeFrom="page">
                <wp:posOffset>3703955</wp:posOffset>
              </wp:positionH>
              <wp:positionV relativeFrom="page">
                <wp:posOffset>10095230</wp:posOffset>
              </wp:positionV>
              <wp:extent cx="173990" cy="216535"/>
              <wp:effectExtent l="0" t="0" r="0" b="0"/>
              <wp:wrapNone/>
              <wp:docPr id="1672315947" name="docshap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90"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78241" w14:textId="77777777" w:rsidR="00DE7ADA" w:rsidRDefault="00995995">
                          <w:pPr>
                            <w:spacing w:before="8"/>
                            <w:ind w:left="67"/>
                            <w:rPr>
                              <w:rFonts w:ascii="Open Sans"/>
                            </w:rPr>
                          </w:pPr>
                          <w:r>
                            <w:fldChar w:fldCharType="begin"/>
                          </w:r>
                          <w:r>
                            <w:rPr>
                              <w:rFonts w:ascii="Open Sans"/>
                              <w:color w:val="FFFFFF"/>
                            </w:rP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99BF2A" id="_x0000_t202" coordsize="21600,21600" o:spt="202" path="m,l,21600r21600,l21600,xe">
              <v:stroke joinstyle="miter"/>
              <v:path gradientshapeok="t" o:connecttype="rect"/>
            </v:shapetype>
            <v:shape id="docshape3" o:spid="_x0000_s1026" type="#_x0000_t202" style="position:absolute;margin-left:291.65pt;margin-top:794.9pt;width:13.7pt;height:17.05pt;z-index:-1582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" filled="f" stroked="f">
              <v:textbox inset="0,0,0,0">
                <w:txbxContent>
                  <w:p w14:paraId="2B478241" w14:textId="77777777" w:rsidR="00DE7ADA" w:rsidRDefault="00995995">
                    <w:pPr>
                      <w:spacing w:before="8"/>
                      <w:ind w:left="67"/>
                      <w:rPr>
                        <w:rFonts w:ascii="Open Sans"/>
                      </w:rPr>
                    </w:pPr>
                    <w:r>
                      <w:fldChar w:fldCharType="begin"/>
                    </w:r>
                    <w:r>
                      <w:rPr>
                        <w:rFonts w:ascii="Open Sans"/>
                        <w:color w:val="FFFFFF"/>
                      </w:rPr>
                      <w:instrText xml:space="preserve"> PAGE </w:instrText>
                    </w:r>
                    <w:r>
                      <w:fldChar w:fldCharType="separate"/>
                    </w:r>
                    <w: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891CCE" w14:textId="77777777" w:rsidR="005E0778" w:rsidRDefault="005E0778">
      <w:r>
        <w:separator/>
      </w:r>
    </w:p>
  </w:footnote>
  <w:footnote w:type="continuationSeparator" w:id="0">
    <w:p w14:paraId="62304F19" w14:textId="77777777" w:rsidR="005E0778" w:rsidRDefault="005E07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30D80" w14:textId="57FC0BF5" w:rsidR="00DE7ADA" w:rsidRDefault="00995995">
    <w:pPr>
      <w:pStyle w:val="BodyText"/>
      <w:spacing w:line="14" w:lineRule="auto"/>
      <w:rPr>
        <w:sz w:val="20"/>
      </w:rPr>
    </w:pPr>
    <w:r>
      <w:rPr>
        <w:noProof/>
      </w:rPr>
      <mc:AlternateContent>
        <mc:Choice Requires="wps">
          <w:drawing>
            <wp:anchor distT="0" distB="0" distL="114300" distR="114300" simplePos="0" relativeHeight="487488000" behindDoc="1" locked="0" layoutInCell="1" allowOverlap="1" wp14:anchorId="4706898A" wp14:editId="24D3449D">
              <wp:simplePos x="0" y="0"/>
              <wp:positionH relativeFrom="page">
                <wp:posOffset>1141095</wp:posOffset>
              </wp:positionH>
              <wp:positionV relativeFrom="page">
                <wp:posOffset>0</wp:posOffset>
              </wp:positionV>
              <wp:extent cx="2978150" cy="331470"/>
              <wp:effectExtent l="0" t="0" r="0" b="0"/>
              <wp:wrapNone/>
              <wp:docPr id="1619589664"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8150" cy="331470"/>
                      </a:xfrm>
                      <a:prstGeom prst="rect">
                        <a:avLst/>
                      </a:prstGeom>
                      <a:solidFill>
                        <a:srgbClr val="479E9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449D66" id="docshape1" o:spid="_x0000_s1026" style="position:absolute;margin-left:89.85pt;margin-top:0;width:234.5pt;height:26.1pt;z-index:-1582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" fillcolor="#479e9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0A534D"/>
    <w:multiLevelType w:val="multilevel"/>
    <w:tmpl w:val="57C207E2"/>
    <w:lvl w:ilvl="0">
      <w:start w:val="1"/>
      <w:numFmt w:val="decimal"/>
      <w:lvlText w:val="%1."/>
      <w:lvlJc w:val="left"/>
      <w:pPr>
        <w:ind w:left="358" w:hanging="240"/>
      </w:pPr>
      <w:rPr>
        <w:rFonts w:hint="default"/>
        <w:lang w:val="lv-LV" w:eastAsia="en-US" w:bidi="ar-SA"/>
      </w:rPr>
    </w:lvl>
    <w:lvl w:ilvl="1">
      <w:start w:val="1"/>
      <w:numFmt w:val="decimal"/>
      <w:lvlText w:val="%1.%2"/>
      <w:lvlJc w:val="left"/>
      <w:pPr>
        <w:ind w:left="118" w:hanging="492"/>
      </w:pPr>
      <w:rPr>
        <w:rFonts w:hint="default"/>
        <w:lang w:val="lv-LV" w:eastAsia="en-US" w:bidi="ar-SA"/>
      </w:rPr>
    </w:lvl>
    <w:lvl w:ilvl="2">
      <w:start w:val="1"/>
      <w:numFmt w:val="decimal"/>
      <w:lvlText w:val="%1.%2.%3."/>
      <w:lvlJc w:val="left"/>
      <w:pPr>
        <w:ind w:left="718" w:hanging="492"/>
      </w:pPr>
      <w:rPr>
        <w:rFonts w:ascii="Times New Roman" w:eastAsia="Times New Roman" w:hAnsi="Times New Roman" w:cs="Times New Roman" w:hint="default"/>
        <w:b w:val="0"/>
        <w:bCs w:val="0"/>
        <w:i w:val="0"/>
        <w:iCs w:val="0"/>
        <w:sz w:val="24"/>
        <w:szCs w:val="24"/>
        <w:lang w:val="lv-LV" w:eastAsia="en-US" w:bidi="ar-SA"/>
      </w:rPr>
    </w:lvl>
    <w:lvl w:ilvl="3">
      <w:numFmt w:val="bullet"/>
      <w:lvlText w:val="•"/>
      <w:lvlJc w:val="left"/>
      <w:pPr>
        <w:ind w:left="720" w:hanging="492"/>
      </w:pPr>
      <w:rPr>
        <w:rFonts w:hint="default"/>
        <w:lang w:val="lv-LV" w:eastAsia="en-US" w:bidi="ar-SA"/>
      </w:rPr>
    </w:lvl>
    <w:lvl w:ilvl="4">
      <w:numFmt w:val="bullet"/>
      <w:lvlText w:val="•"/>
      <w:lvlJc w:val="left"/>
      <w:pPr>
        <w:ind w:left="1838" w:hanging="492"/>
      </w:pPr>
      <w:rPr>
        <w:rFonts w:hint="default"/>
        <w:lang w:val="lv-LV" w:eastAsia="en-US" w:bidi="ar-SA"/>
      </w:rPr>
    </w:lvl>
    <w:lvl w:ilvl="5">
      <w:numFmt w:val="bullet"/>
      <w:lvlText w:val="•"/>
      <w:lvlJc w:val="left"/>
      <w:pPr>
        <w:ind w:left="2956" w:hanging="492"/>
      </w:pPr>
      <w:rPr>
        <w:rFonts w:hint="default"/>
        <w:lang w:val="lv-LV" w:eastAsia="en-US" w:bidi="ar-SA"/>
      </w:rPr>
    </w:lvl>
    <w:lvl w:ilvl="6">
      <w:numFmt w:val="bullet"/>
      <w:lvlText w:val="•"/>
      <w:lvlJc w:val="left"/>
      <w:pPr>
        <w:ind w:left="4074" w:hanging="492"/>
      </w:pPr>
      <w:rPr>
        <w:rFonts w:hint="default"/>
        <w:lang w:val="lv-LV" w:eastAsia="en-US" w:bidi="ar-SA"/>
      </w:rPr>
    </w:lvl>
    <w:lvl w:ilvl="7">
      <w:numFmt w:val="bullet"/>
      <w:lvlText w:val="•"/>
      <w:lvlJc w:val="left"/>
      <w:pPr>
        <w:ind w:left="5192" w:hanging="492"/>
      </w:pPr>
      <w:rPr>
        <w:rFonts w:hint="default"/>
        <w:lang w:val="lv-LV" w:eastAsia="en-US" w:bidi="ar-SA"/>
      </w:rPr>
    </w:lvl>
    <w:lvl w:ilvl="8">
      <w:numFmt w:val="bullet"/>
      <w:lvlText w:val="•"/>
      <w:lvlJc w:val="left"/>
      <w:pPr>
        <w:ind w:left="6310" w:hanging="492"/>
      </w:pPr>
      <w:rPr>
        <w:rFonts w:hint="default"/>
        <w:lang w:val="lv-LV" w:eastAsia="en-US" w:bidi="ar-SA"/>
      </w:rPr>
    </w:lvl>
  </w:abstractNum>
  <w:num w:numId="1" w16cid:durableId="521214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ADA"/>
    <w:rsid w:val="00380040"/>
    <w:rsid w:val="005E0778"/>
    <w:rsid w:val="00995995"/>
    <w:rsid w:val="00DE7AD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1DBB33"/>
  <w15:docId w15:val="{B2C9DD8F-7C0D-46D6-8DE2-EF4FB1D6B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4"/>
      <w:szCs w:val="24"/>
    </w:rPr>
  </w:style>
  <w:style w:type="paragraph" w:styleId="Title">
    <w:name w:val="Title"/>
    <w:basedOn w:val="Normal"/>
    <w:uiPriority w:val="10"/>
    <w:qFormat/>
    <w:pPr>
      <w:spacing w:before="91"/>
      <w:ind w:left="118" w:right="979"/>
    </w:pPr>
    <w:rPr>
      <w:rFonts w:ascii="Lora" w:eastAsia="Lora" w:hAnsi="Lora" w:cs="Lora"/>
      <w:sz w:val="48"/>
      <w:szCs w:val="48"/>
    </w:rPr>
  </w:style>
  <w:style w:type="paragraph" w:styleId="ListParagraph">
    <w:name w:val="List Paragraph"/>
    <w:basedOn w:val="Normal"/>
    <w:uiPriority w:val="1"/>
    <w:qFormat/>
    <w:pPr>
      <w:ind w:left="118"/>
    </w:pPr>
  </w:style>
  <w:style w:type="paragraph" w:customStyle="1" w:styleId="TableParagraph">
    <w:name w:val="Table Paragraph"/>
    <w:basedOn w:val="Normal"/>
    <w:uiPriority w:val="1"/>
    <w:qFormat/>
    <w:pPr>
      <w:spacing w:line="256" w:lineRule="exact"/>
      <w:ind w:left="107" w:right="372"/>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bank.lv/ta/xbrl-taksonomija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2183</Words>
  <Characters>1245</Characters>
  <Application>Microsoft Office Word</Application>
  <DocSecurity>4</DocSecurity>
  <Lines>10</Lines>
  <Paragraphs>6</Paragraphs>
  <ScaleCrop>false</ScaleCrop>
  <Company>Latvijas Banka</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Anda Rozenblate</dc:creator>
  <cp:lastModifiedBy>Ieva Utāne</cp:lastModifiedBy>
  <cp:revision>2</cp:revision>
  <dcterms:created xsi:type="dcterms:W3CDTF">2024-05-07T07:05:00Z</dcterms:created>
  <dcterms:modified xsi:type="dcterms:W3CDTF">2024-05-07T07:05:00Z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2024-04-04T00:00:00Z</vt:filetime>
  </property>
  <property fmtid="{D5CDD505-2E9C-101B-9397-08002B2CF9AE}" pid="3" name="Creator">
    <vt:lpwstr>Microsoft® Word pakalpojumam Microsoft 365</vt:lpwstr>
  </property>
  <property fmtid="{D5CDD505-2E9C-101B-9397-08002B2CF9AE}" pid="4" name="LastSaved">
    <vt:filetime>2024-04-30T00:00:00Z</vt:filetime>
  </property>
</Properties>
</file>