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2C296B7B" w:rsidR="006C3828" w:rsidRPr="00894D21" w:rsidRDefault="006C3828" w:rsidP="00B917A7">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9E52A2" w:rsidRPr="009E52A2">
        <w:rPr>
          <w:rFonts w:ascii="Times New Roman" w:hAnsi="Times New Roman" w:cs="Times New Roman"/>
          <w:b/>
          <w:bCs/>
          <w:sz w:val="24"/>
          <w:szCs w:val="24"/>
        </w:rPr>
        <w:t>Apdrošināšanas un pārapdrošināšanas līguma robežu noteikšanas principi un tehnisko rezervju aprēķināšanas pamatprincipi</w:t>
      </w:r>
      <w:r w:rsidRPr="00894D21">
        <w:rPr>
          <w:rFonts w:ascii="Times New Roman" w:hAnsi="Times New Roman" w:cs="Times New Roman"/>
          <w:b/>
          <w:bCs/>
          <w:sz w:val="24"/>
          <w:szCs w:val="24"/>
        </w:rPr>
        <w:t>" anotācija</w:t>
      </w:r>
    </w:p>
    <w:p w14:paraId="328163FB" w14:textId="77777777" w:rsidR="006C3828" w:rsidRPr="00894D21" w:rsidRDefault="006C3828" w:rsidP="00B917A7">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6513"/>
      </w:tblGrid>
      <w:tr w:rsidR="006C3828" w:rsidRPr="00894D21" w14:paraId="2962AEE1" w14:textId="77777777" w:rsidTr="00780E7D">
        <w:trPr>
          <w:trHeight w:val="567"/>
        </w:trPr>
        <w:tc>
          <w:tcPr>
            <w:tcW w:w="1166" w:type="pct"/>
            <w:shd w:val="clear" w:color="auto" w:fill="auto"/>
            <w:hideMark/>
          </w:tcPr>
          <w:p w14:paraId="28E56CFA"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00D2931F" w14:textId="4C0D05A8" w:rsidR="006C3828" w:rsidRPr="00894D21" w:rsidRDefault="009E52A2" w:rsidP="00B917A7">
            <w:pPr>
              <w:spacing w:after="120" w:line="240" w:lineRule="auto"/>
              <w:jc w:val="both"/>
              <w:rPr>
                <w:rFonts w:ascii="Times New Roman" w:eastAsia="Times New Roman" w:hAnsi="Times New Roman" w:cs="Times New Roman"/>
                <w:sz w:val="24"/>
                <w:szCs w:val="24"/>
                <w:lang w:eastAsia="lv-LV"/>
              </w:rPr>
            </w:pPr>
            <w:r w:rsidRPr="009E52A2">
              <w:rPr>
                <w:rFonts w:ascii="Times New Roman" w:eastAsia="Times New Roman" w:hAnsi="Times New Roman" w:cs="Times New Roman"/>
                <w:sz w:val="24"/>
                <w:szCs w:val="24"/>
                <w:lang w:eastAsia="lv-LV"/>
              </w:rPr>
              <w:t>Apdrošināšanas un pārapdrošināšanas līguma robežu noteikšanas principi un tehnisko rezervju aprēķināšanas pamatprincipi</w:t>
            </w:r>
          </w:p>
        </w:tc>
      </w:tr>
      <w:tr w:rsidR="006C3828" w:rsidRPr="00894D21" w14:paraId="7F11A741" w14:textId="77777777" w:rsidTr="00780E7D">
        <w:trPr>
          <w:trHeight w:val="395"/>
        </w:trPr>
        <w:tc>
          <w:tcPr>
            <w:tcW w:w="1166" w:type="pct"/>
            <w:shd w:val="clear" w:color="auto" w:fill="auto"/>
            <w:hideMark/>
          </w:tcPr>
          <w:p w14:paraId="49DBC46E"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B5460C8"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634A573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8EEF1AA" w14:textId="0ED83C8C" w:rsidR="006C3828" w:rsidRPr="00894D21" w:rsidRDefault="009E52A2" w:rsidP="009E52A2">
            <w:pPr>
              <w:spacing w:after="120" w:line="240" w:lineRule="auto"/>
              <w:jc w:val="both"/>
              <w:rPr>
                <w:rFonts w:ascii="Times New Roman" w:eastAsia="Times New Roman" w:hAnsi="Times New Roman" w:cs="Times New Roman"/>
                <w:sz w:val="24"/>
                <w:szCs w:val="24"/>
                <w:lang w:eastAsia="lv-LV"/>
              </w:rPr>
            </w:pPr>
            <w:r w:rsidRPr="009E52A2">
              <w:rPr>
                <w:rFonts w:ascii="Times New Roman" w:eastAsia="Times New Roman" w:hAnsi="Times New Roman" w:cs="Times New Roman"/>
                <w:sz w:val="24"/>
                <w:szCs w:val="24"/>
                <w:lang w:eastAsia="lv-LV"/>
              </w:rPr>
              <w:t>Apdrošināšanas un pārapdrošināšanas likuma</w:t>
            </w:r>
            <w:r>
              <w:rPr>
                <w:rFonts w:ascii="Times New Roman" w:eastAsia="Times New Roman" w:hAnsi="Times New Roman" w:cs="Times New Roman"/>
                <w:sz w:val="24"/>
                <w:szCs w:val="24"/>
                <w:lang w:eastAsia="lv-LV"/>
              </w:rPr>
              <w:t xml:space="preserve"> </w:t>
            </w:r>
            <w:r w:rsidRPr="009E52A2">
              <w:rPr>
                <w:rFonts w:ascii="Times New Roman" w:eastAsia="Times New Roman" w:hAnsi="Times New Roman" w:cs="Times New Roman"/>
                <w:sz w:val="24"/>
                <w:szCs w:val="24"/>
                <w:lang w:eastAsia="lv-LV"/>
              </w:rPr>
              <w:t>40.</w:t>
            </w:r>
            <w:r w:rsidR="004653D7">
              <w:rPr>
                <w:rFonts w:ascii="Times New Roman" w:eastAsia="Times New Roman" w:hAnsi="Times New Roman" w:cs="Times New Roman"/>
                <w:sz w:val="24"/>
                <w:szCs w:val="24"/>
                <w:lang w:eastAsia="lv-LV"/>
              </w:rPr>
              <w:t> </w:t>
            </w:r>
            <w:r w:rsidRPr="009E52A2">
              <w:rPr>
                <w:rFonts w:ascii="Times New Roman" w:eastAsia="Times New Roman" w:hAnsi="Times New Roman" w:cs="Times New Roman"/>
                <w:sz w:val="24"/>
                <w:szCs w:val="24"/>
                <w:lang w:eastAsia="lv-LV"/>
              </w:rPr>
              <w:t>panta sest</w:t>
            </w:r>
            <w:r>
              <w:rPr>
                <w:rFonts w:ascii="Times New Roman" w:eastAsia="Times New Roman" w:hAnsi="Times New Roman" w:cs="Times New Roman"/>
                <w:sz w:val="24"/>
                <w:szCs w:val="24"/>
                <w:lang w:eastAsia="lv-LV"/>
              </w:rPr>
              <w:t>ā</w:t>
            </w:r>
            <w:r w:rsidRPr="009E52A2">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9E52A2">
              <w:rPr>
                <w:rFonts w:ascii="Times New Roman" w:eastAsia="Times New Roman" w:hAnsi="Times New Roman" w:cs="Times New Roman"/>
                <w:sz w:val="24"/>
                <w:szCs w:val="24"/>
                <w:lang w:eastAsia="lv-LV"/>
              </w:rPr>
              <w:t xml:space="preserve"> un 101.</w:t>
            </w:r>
            <w:r w:rsidR="004653D7">
              <w:rPr>
                <w:rFonts w:ascii="Times New Roman" w:eastAsia="Times New Roman" w:hAnsi="Times New Roman" w:cs="Times New Roman"/>
                <w:sz w:val="24"/>
                <w:szCs w:val="24"/>
                <w:lang w:eastAsia="lv-LV"/>
              </w:rPr>
              <w:t> </w:t>
            </w:r>
            <w:r w:rsidRPr="009E52A2">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9E52A2">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6C3828" w:rsidRPr="00894D21" w14:paraId="26D3F596" w14:textId="77777777" w:rsidTr="00780E7D">
        <w:trPr>
          <w:trHeight w:val="567"/>
        </w:trPr>
        <w:tc>
          <w:tcPr>
            <w:tcW w:w="1166" w:type="pct"/>
            <w:shd w:val="clear" w:color="auto" w:fill="auto"/>
            <w:hideMark/>
          </w:tcPr>
          <w:p w14:paraId="253A449D"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470A3BB" w14:textId="605B2DFE" w:rsidR="00896DBD" w:rsidRPr="00894D21" w:rsidRDefault="00896DBD" w:rsidP="00B917A7">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Saskaņā ar Latvijas Bankas likuma pārejas noteikumu 3.</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gada 31.</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decembrim.</w:t>
            </w:r>
          </w:p>
          <w:p w14:paraId="5EEF3941" w14:textId="4D4D86B0" w:rsidR="00BF3F58" w:rsidRDefault="00896DBD" w:rsidP="00B917A7">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Ņemot vērā minēto, Latvijas Banka ir izstrādājusi noteikumu projektu "</w:t>
            </w:r>
            <w:r w:rsidR="009E52A2" w:rsidRPr="009E52A2">
              <w:rPr>
                <w:rFonts w:ascii="Times New Roman" w:eastAsia="Times New Roman" w:hAnsi="Times New Roman" w:cs="Times New Roman"/>
                <w:sz w:val="24"/>
                <w:szCs w:val="24"/>
                <w:lang w:eastAsia="lv-LV"/>
              </w:rPr>
              <w:t>Apdrošināšanas un pārapdrošināšanas līguma robežu noteikšanas principi un tehnisko rezervju aprēķināšanas pamatprincipi</w:t>
            </w:r>
            <w:r w:rsidRPr="00894D21">
              <w:rPr>
                <w:rFonts w:ascii="Times New Roman" w:hAnsi="Times New Roman" w:cs="Times New Roman"/>
                <w:sz w:val="24"/>
                <w:szCs w:val="24"/>
              </w:rPr>
              <w:t>" (turpmāk</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 noteikumu projekts), kas</w:t>
            </w:r>
            <w:r w:rsidR="00591CBF" w:rsidRPr="00894D21">
              <w:rPr>
                <w:rFonts w:ascii="Times New Roman" w:hAnsi="Times New Roman" w:cs="Times New Roman"/>
                <w:sz w:val="24"/>
                <w:szCs w:val="24"/>
              </w:rPr>
              <w:t xml:space="preserve"> </w:t>
            </w:r>
            <w:r w:rsidRPr="00894D21">
              <w:rPr>
                <w:rFonts w:ascii="Times New Roman" w:hAnsi="Times New Roman" w:cs="Times New Roman"/>
                <w:sz w:val="24"/>
                <w:szCs w:val="24"/>
              </w:rPr>
              <w:t>aizstās</w:t>
            </w:r>
            <w:r w:rsidR="006A2A11" w:rsidRPr="00894D21">
              <w:rPr>
                <w:rFonts w:ascii="Times New Roman" w:hAnsi="Times New Roman" w:cs="Times New Roman"/>
                <w:sz w:val="24"/>
                <w:szCs w:val="24"/>
              </w:rPr>
              <w:t xml:space="preserve"> </w:t>
            </w:r>
            <w:r w:rsidRPr="00894D21">
              <w:rPr>
                <w:rFonts w:ascii="Times New Roman" w:hAnsi="Times New Roman" w:cs="Times New Roman"/>
                <w:sz w:val="24"/>
                <w:szCs w:val="24"/>
              </w:rPr>
              <w:t xml:space="preserve">Finanšu un kapitāla tirgus komisijas </w:t>
            </w:r>
            <w:r w:rsidR="009E52A2" w:rsidRPr="009E52A2">
              <w:rPr>
                <w:rFonts w:ascii="Times New Roman" w:hAnsi="Times New Roman" w:cs="Times New Roman"/>
                <w:sz w:val="24"/>
                <w:szCs w:val="24"/>
              </w:rPr>
              <w:t>2020.</w:t>
            </w:r>
            <w:r w:rsidR="004653D7">
              <w:rPr>
                <w:rFonts w:ascii="Times New Roman" w:hAnsi="Times New Roman" w:cs="Times New Roman"/>
                <w:sz w:val="24"/>
                <w:szCs w:val="24"/>
              </w:rPr>
              <w:t> </w:t>
            </w:r>
            <w:r w:rsidR="009E52A2" w:rsidRPr="009E52A2">
              <w:rPr>
                <w:rFonts w:ascii="Times New Roman" w:hAnsi="Times New Roman" w:cs="Times New Roman"/>
                <w:sz w:val="24"/>
                <w:szCs w:val="24"/>
              </w:rPr>
              <w:t>gada 14.</w:t>
            </w:r>
            <w:r w:rsidR="004653D7">
              <w:rPr>
                <w:rFonts w:ascii="Times New Roman" w:hAnsi="Times New Roman" w:cs="Times New Roman"/>
                <w:sz w:val="24"/>
                <w:szCs w:val="24"/>
              </w:rPr>
              <w:t> </w:t>
            </w:r>
            <w:r w:rsidR="009E52A2" w:rsidRPr="009E52A2">
              <w:rPr>
                <w:rFonts w:ascii="Times New Roman" w:hAnsi="Times New Roman" w:cs="Times New Roman"/>
                <w:sz w:val="24"/>
                <w:szCs w:val="24"/>
              </w:rPr>
              <w:t>jūlija normatīvos noteikumus Nr.</w:t>
            </w:r>
            <w:r w:rsidR="004653D7">
              <w:rPr>
                <w:rFonts w:ascii="Times New Roman" w:hAnsi="Times New Roman" w:cs="Times New Roman"/>
                <w:sz w:val="24"/>
                <w:szCs w:val="24"/>
              </w:rPr>
              <w:t> </w:t>
            </w:r>
            <w:r w:rsidR="009E52A2" w:rsidRPr="009E52A2">
              <w:rPr>
                <w:rFonts w:ascii="Times New Roman" w:hAnsi="Times New Roman" w:cs="Times New Roman"/>
                <w:sz w:val="24"/>
                <w:szCs w:val="24"/>
              </w:rPr>
              <w:t xml:space="preserve">87 "Normatīvie noteikumi par tehnisko rezervju aprēķināšanas pamatprincipiem" </w:t>
            </w:r>
            <w:r w:rsidR="00751877" w:rsidRPr="00D33B79">
              <w:rPr>
                <w:rFonts w:ascii="Times New Roman" w:hAnsi="Times New Roman" w:cs="Times New Roman"/>
                <w:sz w:val="24"/>
                <w:szCs w:val="24"/>
              </w:rPr>
              <w:t>(turpmāk</w:t>
            </w:r>
            <w:r w:rsidR="00B917A7" w:rsidRPr="00D33B79">
              <w:rPr>
                <w:rFonts w:ascii="Times New Roman" w:hAnsi="Times New Roman" w:cs="Times New Roman"/>
                <w:sz w:val="24"/>
                <w:szCs w:val="24"/>
              </w:rPr>
              <w:t> </w:t>
            </w:r>
            <w:r w:rsidR="00751877" w:rsidRPr="00D33B79">
              <w:rPr>
                <w:rFonts w:ascii="Times New Roman" w:hAnsi="Times New Roman" w:cs="Times New Roman"/>
                <w:sz w:val="24"/>
                <w:szCs w:val="24"/>
              </w:rPr>
              <w:t>– Noteikumi Nr.</w:t>
            </w:r>
            <w:r w:rsidR="003B58DB" w:rsidRPr="00D33B79">
              <w:rPr>
                <w:rFonts w:ascii="Times New Roman" w:hAnsi="Times New Roman" w:cs="Times New Roman"/>
                <w:sz w:val="24"/>
                <w:szCs w:val="24"/>
              </w:rPr>
              <w:t> </w:t>
            </w:r>
            <w:r w:rsidR="009E52A2" w:rsidRPr="00D33B79">
              <w:rPr>
                <w:rFonts w:ascii="Times New Roman" w:hAnsi="Times New Roman" w:cs="Times New Roman"/>
                <w:sz w:val="24"/>
                <w:szCs w:val="24"/>
              </w:rPr>
              <w:t>87</w:t>
            </w:r>
            <w:r w:rsidR="00751877" w:rsidRPr="00D33B79">
              <w:rPr>
                <w:rFonts w:ascii="Times New Roman" w:hAnsi="Times New Roman" w:cs="Times New Roman"/>
                <w:sz w:val="24"/>
                <w:szCs w:val="24"/>
              </w:rPr>
              <w:t>)</w:t>
            </w:r>
            <w:r w:rsidR="00BF3F58" w:rsidRPr="00D33B79">
              <w:rPr>
                <w:rFonts w:ascii="Times New Roman" w:hAnsi="Times New Roman" w:cs="Times New Roman"/>
                <w:sz w:val="24"/>
                <w:szCs w:val="24"/>
              </w:rPr>
              <w:t>.</w:t>
            </w:r>
          </w:p>
          <w:p w14:paraId="18F55787" w14:textId="5FBD909E" w:rsidR="00BF3F58" w:rsidRDefault="00DD54AE"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projekta prasības būs saistošas </w:t>
            </w:r>
            <w:r w:rsidR="009E52A2" w:rsidRPr="009E52A2">
              <w:rPr>
                <w:rFonts w:ascii="Times New Roman" w:eastAsia="Times New Roman" w:hAnsi="Times New Roman" w:cs="Times New Roman"/>
                <w:sz w:val="24"/>
                <w:szCs w:val="24"/>
                <w:lang w:eastAsia="lv-LV"/>
              </w:rPr>
              <w:t>apdrošināšanas sabiedrīb</w:t>
            </w:r>
            <w:r w:rsidR="009E52A2">
              <w:rPr>
                <w:rFonts w:ascii="Times New Roman" w:eastAsia="Times New Roman" w:hAnsi="Times New Roman" w:cs="Times New Roman"/>
                <w:sz w:val="24"/>
                <w:szCs w:val="24"/>
                <w:lang w:eastAsia="lv-LV"/>
              </w:rPr>
              <w:t>ām</w:t>
            </w:r>
            <w:r w:rsidR="009E52A2" w:rsidRPr="009E52A2">
              <w:rPr>
                <w:rFonts w:ascii="Times New Roman" w:eastAsia="Times New Roman" w:hAnsi="Times New Roman" w:cs="Times New Roman"/>
                <w:sz w:val="24"/>
                <w:szCs w:val="24"/>
                <w:lang w:eastAsia="lv-LV"/>
              </w:rPr>
              <w:t>, pārapdrošināšanas sabiedrīb</w:t>
            </w:r>
            <w:r w:rsidR="009E52A2">
              <w:rPr>
                <w:rFonts w:ascii="Times New Roman" w:eastAsia="Times New Roman" w:hAnsi="Times New Roman" w:cs="Times New Roman"/>
                <w:sz w:val="24"/>
                <w:szCs w:val="24"/>
                <w:lang w:eastAsia="lv-LV"/>
              </w:rPr>
              <w:t>ām</w:t>
            </w:r>
            <w:r w:rsidR="009E52A2" w:rsidRPr="009E52A2">
              <w:rPr>
                <w:rFonts w:ascii="Times New Roman" w:eastAsia="Times New Roman" w:hAnsi="Times New Roman" w:cs="Times New Roman"/>
                <w:sz w:val="24"/>
                <w:szCs w:val="24"/>
                <w:lang w:eastAsia="lv-LV"/>
              </w:rPr>
              <w:t xml:space="preserve"> un ārvalsts apdrošinātāj</w:t>
            </w:r>
            <w:r w:rsidR="009E52A2">
              <w:rPr>
                <w:rFonts w:ascii="Times New Roman" w:eastAsia="Times New Roman" w:hAnsi="Times New Roman" w:cs="Times New Roman"/>
                <w:sz w:val="24"/>
                <w:szCs w:val="24"/>
                <w:lang w:eastAsia="lv-LV"/>
              </w:rPr>
              <w:t>u</w:t>
            </w:r>
            <w:r w:rsidR="009E52A2" w:rsidRPr="009E52A2">
              <w:rPr>
                <w:rFonts w:ascii="Times New Roman" w:eastAsia="Times New Roman" w:hAnsi="Times New Roman" w:cs="Times New Roman"/>
                <w:sz w:val="24"/>
                <w:szCs w:val="24"/>
                <w:lang w:eastAsia="lv-LV"/>
              </w:rPr>
              <w:t xml:space="preserve"> filiāl</w:t>
            </w:r>
            <w:r w:rsidR="009E52A2">
              <w:rPr>
                <w:rFonts w:ascii="Times New Roman" w:eastAsia="Times New Roman" w:hAnsi="Times New Roman" w:cs="Times New Roman"/>
                <w:sz w:val="24"/>
                <w:szCs w:val="24"/>
                <w:lang w:eastAsia="lv-LV"/>
              </w:rPr>
              <w:t>ēm</w:t>
            </w:r>
            <w:r w:rsidR="00BF3F58">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w:t>
            </w:r>
          </w:p>
          <w:p w14:paraId="5BF24571" w14:textId="50E97769" w:rsidR="00BF3F58" w:rsidRPr="00BF3F58" w:rsidRDefault="00D33B79" w:rsidP="00B917A7">
            <w:pPr>
              <w:spacing w:after="120" w:line="240" w:lineRule="auto"/>
              <w:jc w:val="both"/>
              <w:rPr>
                <w:rFonts w:ascii="Times New Roman" w:eastAsia="Times New Roman" w:hAnsi="Times New Roman" w:cs="Times New Roman"/>
                <w:sz w:val="24"/>
                <w:szCs w:val="24"/>
                <w:lang w:eastAsia="lv-LV"/>
              </w:rPr>
            </w:pPr>
            <w:bookmarkStart w:id="0" w:name="_Hlk165369027"/>
            <w:r>
              <w:rPr>
                <w:rFonts w:ascii="Times New Roman" w:eastAsia="Times New Roman" w:hAnsi="Times New Roman" w:cs="Times New Roman"/>
                <w:sz w:val="24"/>
                <w:szCs w:val="24"/>
                <w:lang w:eastAsia="lv-LV"/>
              </w:rPr>
              <w:t xml:space="preserve">Saskaņā ar </w:t>
            </w:r>
            <w:r w:rsidR="00BF3F58" w:rsidRPr="00BF3F58">
              <w:rPr>
                <w:rFonts w:ascii="Times New Roman" w:eastAsia="Times New Roman" w:hAnsi="Times New Roman" w:cs="Times New Roman"/>
                <w:sz w:val="24"/>
                <w:szCs w:val="24"/>
                <w:lang w:eastAsia="lv-LV"/>
              </w:rPr>
              <w:t>Apdrošināšanas un pārapdrošināšanas likuma 4</w:t>
            </w:r>
            <w:r w:rsidR="0061416F">
              <w:rPr>
                <w:rFonts w:ascii="Times New Roman" w:eastAsia="Times New Roman" w:hAnsi="Times New Roman" w:cs="Times New Roman"/>
                <w:sz w:val="24"/>
                <w:szCs w:val="24"/>
                <w:lang w:eastAsia="lv-LV"/>
              </w:rPr>
              <w:t>0</w:t>
            </w:r>
            <w:r w:rsidR="00BF3F58" w:rsidRPr="00BF3F58">
              <w:rPr>
                <w:rFonts w:ascii="Times New Roman" w:eastAsia="Times New Roman" w:hAnsi="Times New Roman" w:cs="Times New Roman"/>
                <w:sz w:val="24"/>
                <w:szCs w:val="24"/>
                <w:lang w:eastAsia="lv-LV"/>
              </w:rPr>
              <w:t>.</w:t>
            </w:r>
            <w:r w:rsidR="00B917A7">
              <w:rPr>
                <w:rFonts w:ascii="Times New Roman" w:eastAsia="Times New Roman" w:hAnsi="Times New Roman" w:cs="Times New Roman"/>
                <w:sz w:val="24"/>
                <w:szCs w:val="24"/>
                <w:lang w:eastAsia="lv-LV"/>
              </w:rPr>
              <w:t> </w:t>
            </w:r>
            <w:r w:rsidR="00BF3F58" w:rsidRPr="00BF3F58">
              <w:rPr>
                <w:rFonts w:ascii="Times New Roman" w:eastAsia="Times New Roman" w:hAnsi="Times New Roman" w:cs="Times New Roman"/>
                <w:sz w:val="24"/>
                <w:szCs w:val="24"/>
                <w:lang w:eastAsia="lv-LV"/>
              </w:rPr>
              <w:t xml:space="preserve">panta </w:t>
            </w:r>
            <w:r w:rsidR="0061416F">
              <w:rPr>
                <w:rFonts w:ascii="Times New Roman" w:eastAsia="Times New Roman" w:hAnsi="Times New Roman" w:cs="Times New Roman"/>
                <w:sz w:val="24"/>
                <w:szCs w:val="24"/>
                <w:lang w:eastAsia="lv-LV"/>
              </w:rPr>
              <w:t>sest</w:t>
            </w:r>
            <w:r>
              <w:rPr>
                <w:rFonts w:ascii="Times New Roman" w:eastAsia="Times New Roman" w:hAnsi="Times New Roman" w:cs="Times New Roman"/>
                <w:sz w:val="24"/>
                <w:szCs w:val="24"/>
                <w:lang w:eastAsia="lv-LV"/>
              </w:rPr>
              <w:t>o</w:t>
            </w:r>
            <w:r w:rsidR="00BF3F58" w:rsidRPr="00BF3F5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u</w:t>
            </w:r>
            <w:r w:rsidR="00646AD1" w:rsidRPr="00BF3F58">
              <w:rPr>
                <w:rFonts w:ascii="Times New Roman" w:eastAsia="Times New Roman" w:hAnsi="Times New Roman" w:cs="Times New Roman"/>
                <w:sz w:val="24"/>
                <w:szCs w:val="24"/>
                <w:lang w:eastAsia="lv-LV"/>
              </w:rPr>
              <w:t xml:space="preserve">, </w:t>
            </w:r>
            <w:r w:rsidRPr="004807E9">
              <w:rPr>
                <w:rFonts w:ascii="Times New Roman" w:eastAsia="Times New Roman" w:hAnsi="Times New Roman" w:cs="Times New Roman"/>
                <w:sz w:val="24"/>
                <w:szCs w:val="24"/>
              </w:rPr>
              <w:t xml:space="preserve">lai nodrošinātu dalībvalstīs vienotu, efektīvu un konstruktīvu uzraudzības praksi un vienveidīgu un konsekventu tieši piemērojamo Eiropas Savienības tiesību aktu piemērošanu, </w:t>
            </w:r>
            <w:r w:rsidR="00646AD1" w:rsidRPr="00BF3F58">
              <w:rPr>
                <w:rFonts w:ascii="Times New Roman" w:eastAsia="Times New Roman" w:hAnsi="Times New Roman" w:cs="Times New Roman"/>
                <w:sz w:val="24"/>
                <w:szCs w:val="24"/>
                <w:lang w:eastAsia="lv-LV"/>
              </w:rPr>
              <w:t>Latvijas Banka</w:t>
            </w:r>
            <w:r w:rsidR="0002646F">
              <w:rPr>
                <w:rFonts w:ascii="Times New Roman" w:eastAsia="Times New Roman" w:hAnsi="Times New Roman" w:cs="Times New Roman"/>
                <w:sz w:val="24"/>
                <w:szCs w:val="24"/>
                <w:lang w:eastAsia="lv-LV"/>
              </w:rPr>
              <w:t>i</w:t>
            </w:r>
            <w:r w:rsidR="00646AD1" w:rsidRPr="00BF3F58">
              <w:rPr>
                <w:rFonts w:ascii="Times New Roman" w:eastAsia="Times New Roman" w:hAnsi="Times New Roman" w:cs="Times New Roman"/>
                <w:sz w:val="24"/>
                <w:szCs w:val="24"/>
                <w:lang w:eastAsia="lv-LV"/>
              </w:rPr>
              <w:t xml:space="preserve"> ir</w:t>
            </w:r>
            <w:r w:rsidR="0061416F" w:rsidRPr="0061416F">
              <w:rPr>
                <w:rFonts w:ascii="Times New Roman" w:eastAsia="Times New Roman" w:hAnsi="Times New Roman" w:cs="Times New Roman"/>
                <w:sz w:val="24"/>
                <w:szCs w:val="24"/>
                <w:lang w:eastAsia="lv-LV"/>
              </w:rPr>
              <w:t xml:space="preserve"> tiesības noteikt apdrošināšanas un pārapdrošināšanas jomu regulējošās prasības, kas izriet no Eiropas Apdrošināšanas un aroda pensiju iestādes </w:t>
            </w:r>
            <w:r w:rsidR="0061416F">
              <w:rPr>
                <w:rFonts w:ascii="Times New Roman" w:eastAsia="Times New Roman" w:hAnsi="Times New Roman" w:cs="Times New Roman"/>
                <w:sz w:val="24"/>
                <w:szCs w:val="24"/>
                <w:lang w:eastAsia="lv-LV"/>
              </w:rPr>
              <w:t>(</w:t>
            </w:r>
            <w:r w:rsidR="0061416F" w:rsidRPr="00D33B79">
              <w:rPr>
                <w:rFonts w:ascii="Times New Roman" w:hAnsi="Times New Roman" w:cs="Times New Roman"/>
                <w:sz w:val="24"/>
                <w:szCs w:val="24"/>
              </w:rPr>
              <w:t xml:space="preserve">turpmāk – </w:t>
            </w:r>
            <w:r w:rsidR="0061416F" w:rsidRPr="0061416F">
              <w:rPr>
                <w:rFonts w:ascii="Times New Roman" w:eastAsia="Times New Roman" w:hAnsi="Times New Roman" w:cs="Times New Roman"/>
                <w:sz w:val="24"/>
                <w:szCs w:val="24"/>
                <w:lang w:eastAsia="lv-LV"/>
              </w:rPr>
              <w:t>EAAPI</w:t>
            </w:r>
            <w:r w:rsidR="0061416F">
              <w:rPr>
                <w:rFonts w:ascii="Times New Roman" w:eastAsia="Times New Roman" w:hAnsi="Times New Roman" w:cs="Times New Roman"/>
                <w:sz w:val="24"/>
                <w:szCs w:val="24"/>
                <w:lang w:eastAsia="lv-LV"/>
              </w:rPr>
              <w:t>)</w:t>
            </w:r>
            <w:r w:rsidR="0061416F" w:rsidRPr="0061416F">
              <w:rPr>
                <w:rFonts w:ascii="Times New Roman" w:eastAsia="Times New Roman" w:hAnsi="Times New Roman" w:cs="Times New Roman"/>
                <w:sz w:val="24"/>
                <w:szCs w:val="24"/>
                <w:lang w:eastAsia="lv-LV"/>
              </w:rPr>
              <w:t xml:space="preserve"> pieņemtaj</w:t>
            </w:r>
            <w:r w:rsidR="0061416F">
              <w:rPr>
                <w:rFonts w:ascii="Times New Roman" w:eastAsia="Times New Roman" w:hAnsi="Times New Roman" w:cs="Times New Roman"/>
                <w:sz w:val="24"/>
                <w:szCs w:val="24"/>
                <w:lang w:eastAsia="lv-LV"/>
              </w:rPr>
              <w:t>ā</w:t>
            </w:r>
            <w:r w:rsidR="0061416F" w:rsidRPr="0061416F">
              <w:rPr>
                <w:rFonts w:ascii="Times New Roman" w:eastAsia="Times New Roman" w:hAnsi="Times New Roman" w:cs="Times New Roman"/>
                <w:sz w:val="24"/>
                <w:szCs w:val="24"/>
                <w:lang w:eastAsia="lv-LV"/>
              </w:rPr>
              <w:t>m pamatnostādnēm</w:t>
            </w:r>
            <w:r w:rsidR="00BF3F58" w:rsidRPr="00BF3F58">
              <w:rPr>
                <w:rFonts w:ascii="Times New Roman" w:eastAsia="Times New Roman" w:hAnsi="Times New Roman" w:cs="Times New Roman"/>
                <w:sz w:val="24"/>
                <w:szCs w:val="24"/>
                <w:lang w:eastAsia="lv-LV"/>
              </w:rPr>
              <w:t xml:space="preserve">. </w:t>
            </w:r>
          </w:p>
          <w:p w14:paraId="341892F1" w14:textId="28FD8C82" w:rsidR="0003113C" w:rsidRPr="0003113C" w:rsidRDefault="00BF3F58" w:rsidP="00B917A7">
            <w:pPr>
              <w:pStyle w:val="Heading2"/>
              <w:tabs>
                <w:tab w:val="clear" w:pos="576"/>
                <w:tab w:val="num" w:pos="0"/>
              </w:tabs>
              <w:spacing w:after="120"/>
              <w:ind w:left="0" w:firstLine="0"/>
              <w:rPr>
                <w:lang w:val="lv-LV" w:eastAsia="lv-LV"/>
              </w:rPr>
            </w:pPr>
            <w:r w:rsidRPr="00BF3F58">
              <w:rPr>
                <w:rFonts w:eastAsia="Times New Roman"/>
                <w:lang w:val="lv-LV" w:eastAsia="lv-LV"/>
              </w:rPr>
              <w:t>Apdrošināšanas un pārapdrošināšanas likuma</w:t>
            </w:r>
            <w:r w:rsidR="006C3828" w:rsidRPr="00894D21">
              <w:rPr>
                <w:rFonts w:eastAsia="Times New Roman"/>
                <w:lang w:val="lv-LV" w:eastAsia="lv-LV"/>
              </w:rPr>
              <w:t xml:space="preserve"> </w:t>
            </w:r>
            <w:r w:rsidR="00D33B79">
              <w:rPr>
                <w:rFonts w:eastAsia="Times New Roman"/>
                <w:lang w:val="lv-LV" w:eastAsia="lv-LV"/>
              </w:rPr>
              <w:t>101</w:t>
            </w:r>
            <w:r w:rsidRPr="00BF3F58">
              <w:rPr>
                <w:rFonts w:eastAsia="Times New Roman"/>
                <w:lang w:val="lv-LV" w:eastAsia="lv-LV"/>
              </w:rPr>
              <w:t>.</w:t>
            </w:r>
            <w:r w:rsidR="00B917A7">
              <w:rPr>
                <w:rFonts w:eastAsia="Times New Roman"/>
                <w:lang w:val="lv-LV" w:eastAsia="lv-LV"/>
              </w:rPr>
              <w:t> </w:t>
            </w:r>
            <w:r w:rsidRPr="00BF3F58">
              <w:rPr>
                <w:rFonts w:eastAsia="Times New Roman"/>
                <w:lang w:val="lv-LV" w:eastAsia="lv-LV"/>
              </w:rPr>
              <w:t xml:space="preserve">panta </w:t>
            </w:r>
            <w:r w:rsidR="00D33B79">
              <w:rPr>
                <w:rFonts w:eastAsia="Times New Roman"/>
                <w:lang w:val="lv-LV" w:eastAsia="lv-LV"/>
              </w:rPr>
              <w:t>otrā</w:t>
            </w:r>
            <w:r w:rsidRPr="00BF3F58">
              <w:rPr>
                <w:rFonts w:eastAsia="Times New Roman"/>
                <w:lang w:val="lv-LV" w:eastAsia="lv-LV"/>
              </w:rPr>
              <w:t xml:space="preserve"> daļ</w:t>
            </w:r>
            <w:r w:rsidR="0003113C">
              <w:rPr>
                <w:rFonts w:eastAsia="Times New Roman"/>
                <w:lang w:val="lv-LV" w:eastAsia="lv-LV"/>
              </w:rPr>
              <w:t>a</w:t>
            </w:r>
            <w:r w:rsidR="007B1B00" w:rsidRPr="00894D21">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002D14DC" w:rsidRPr="009E52A2">
              <w:rPr>
                <w:rFonts w:eastAsia="Times New Roman"/>
                <w:lang w:eastAsia="lv-LV"/>
              </w:rPr>
              <w:t>apdrošināšanas sabiedrīb</w:t>
            </w:r>
            <w:r w:rsidR="002D14DC">
              <w:rPr>
                <w:rFonts w:eastAsia="Times New Roman"/>
                <w:lang w:eastAsia="lv-LV"/>
              </w:rPr>
              <w:t>ām</w:t>
            </w:r>
            <w:r w:rsidR="002D14DC" w:rsidRPr="009E52A2">
              <w:rPr>
                <w:rFonts w:eastAsia="Times New Roman"/>
                <w:lang w:eastAsia="lv-LV"/>
              </w:rPr>
              <w:t>, pārapdrošināšanas sabiedrīb</w:t>
            </w:r>
            <w:r w:rsidR="002D14DC">
              <w:rPr>
                <w:rFonts w:eastAsia="Times New Roman"/>
                <w:lang w:eastAsia="lv-LV"/>
              </w:rPr>
              <w:t>ām</w:t>
            </w:r>
            <w:r w:rsidR="002D14DC" w:rsidRPr="009E52A2">
              <w:rPr>
                <w:rFonts w:eastAsia="Times New Roman"/>
                <w:lang w:eastAsia="lv-LV"/>
              </w:rPr>
              <w:t xml:space="preserve"> un ārvalsts apdrošinātāj</w:t>
            </w:r>
            <w:r w:rsidR="002D14DC">
              <w:rPr>
                <w:rFonts w:eastAsia="Times New Roman"/>
                <w:lang w:eastAsia="lv-LV"/>
              </w:rPr>
              <w:t>u</w:t>
            </w:r>
            <w:r w:rsidR="002D14DC" w:rsidRPr="009E52A2">
              <w:rPr>
                <w:rFonts w:eastAsia="Times New Roman"/>
                <w:lang w:eastAsia="lv-LV"/>
              </w:rPr>
              <w:t xml:space="preserve"> filiāl</w:t>
            </w:r>
            <w:r w:rsidR="002D14DC">
              <w:rPr>
                <w:rFonts w:eastAsia="Times New Roman"/>
                <w:lang w:eastAsia="lv-LV"/>
              </w:rPr>
              <w:t>ēm</w:t>
            </w:r>
            <w:r w:rsidR="002D14DC" w:rsidRPr="0061416F">
              <w:rPr>
                <w:rFonts w:eastAsia="Times New Roman"/>
                <w:lang w:val="lv-LV" w:eastAsia="lv-LV"/>
              </w:rPr>
              <w:t xml:space="preserve"> </w:t>
            </w:r>
            <w:r w:rsidR="0061416F" w:rsidRPr="0061416F">
              <w:rPr>
                <w:rFonts w:eastAsia="Times New Roman"/>
                <w:lang w:val="lv-LV" w:eastAsia="lv-LV"/>
              </w:rPr>
              <w:t>tehnisko rezervju aprēķināšanas pamatprincipus.</w:t>
            </w:r>
            <w:r w:rsidR="002866A5">
              <w:rPr>
                <w:rFonts w:eastAsia="Times New Roman"/>
                <w:lang w:val="lv-LV" w:eastAsia="lv-LV"/>
              </w:rPr>
              <w:t xml:space="preserve"> </w:t>
            </w:r>
          </w:p>
          <w:bookmarkEnd w:id="0"/>
          <w:p w14:paraId="034E16F9" w14:textId="3234EE5F" w:rsidR="00E318FE" w:rsidRPr="00E318FE" w:rsidRDefault="00E318FE" w:rsidP="00E318FE">
            <w:pPr>
              <w:pStyle w:val="Heading2"/>
              <w:numPr>
                <w:ilvl w:val="0"/>
                <w:numId w:val="0"/>
              </w:numPr>
              <w:rPr>
                <w:rFonts w:eastAsia="Times New Roman"/>
                <w:lang w:val="lv-LV" w:eastAsia="lv-LV"/>
              </w:rPr>
            </w:pPr>
            <w:r w:rsidRPr="00E318FE">
              <w:rPr>
                <w:rFonts w:eastAsia="Times New Roman"/>
                <w:lang w:val="lv-LV" w:eastAsia="lv-LV"/>
              </w:rPr>
              <w:t>Lai veicinātu vienotu un precīzu regulējošo prasību piemērošanu</w:t>
            </w:r>
            <w:r w:rsidR="00634418">
              <w:rPr>
                <w:rFonts w:eastAsia="Times New Roman"/>
                <w:lang w:val="lv-LV" w:eastAsia="lv-LV"/>
              </w:rPr>
              <w:t>,</w:t>
            </w:r>
            <w:r>
              <w:rPr>
                <w:rFonts w:eastAsia="Times New Roman"/>
                <w:lang w:val="lv-LV" w:eastAsia="lv-LV"/>
              </w:rPr>
              <w:t xml:space="preserve"> </w:t>
            </w:r>
            <w:r w:rsidRPr="00E318FE">
              <w:rPr>
                <w:rFonts w:eastAsia="Times New Roman"/>
                <w:lang w:val="lv-LV" w:eastAsia="lv-LV"/>
              </w:rPr>
              <w:t xml:space="preserve">uzlabotu profesionālās prakses konsekvenci un sniegtu atbalstu </w:t>
            </w:r>
            <w:r w:rsidR="002D14DC" w:rsidRPr="009E52A2">
              <w:rPr>
                <w:rFonts w:eastAsia="Times New Roman"/>
                <w:lang w:eastAsia="lv-LV"/>
              </w:rPr>
              <w:t xml:space="preserve">apdrošināšanas </w:t>
            </w:r>
            <w:r w:rsidRPr="0022793C">
              <w:rPr>
                <w:rFonts w:eastAsia="Times New Roman"/>
                <w:lang w:val="lv-LV" w:eastAsia="lv-LV"/>
              </w:rPr>
              <w:t>sabiedrībām</w:t>
            </w:r>
            <w:r w:rsidRPr="00E318FE">
              <w:rPr>
                <w:rFonts w:eastAsia="Times New Roman"/>
                <w:lang w:val="lv-LV" w:eastAsia="lv-LV"/>
              </w:rPr>
              <w:t xml:space="preserve">, </w:t>
            </w:r>
            <w:r w:rsidR="002D14DC" w:rsidRPr="009E52A2">
              <w:rPr>
                <w:rFonts w:eastAsia="Times New Roman"/>
                <w:lang w:eastAsia="lv-LV"/>
              </w:rPr>
              <w:t>pārapdrošināšanas sabiedrīb</w:t>
            </w:r>
            <w:r w:rsidR="002D14DC">
              <w:rPr>
                <w:rFonts w:eastAsia="Times New Roman"/>
                <w:lang w:eastAsia="lv-LV"/>
              </w:rPr>
              <w:t>ām</w:t>
            </w:r>
            <w:r w:rsidR="002D14DC" w:rsidRPr="009E52A2">
              <w:rPr>
                <w:rFonts w:eastAsia="Times New Roman"/>
                <w:lang w:eastAsia="lv-LV"/>
              </w:rPr>
              <w:t xml:space="preserve"> un ārvalsts apdrošinātāj</w:t>
            </w:r>
            <w:r w:rsidR="002D14DC">
              <w:rPr>
                <w:rFonts w:eastAsia="Times New Roman"/>
                <w:lang w:eastAsia="lv-LV"/>
              </w:rPr>
              <w:t>u</w:t>
            </w:r>
            <w:r w:rsidR="002D14DC" w:rsidRPr="009E52A2">
              <w:rPr>
                <w:rFonts w:eastAsia="Times New Roman"/>
                <w:lang w:eastAsia="lv-LV"/>
              </w:rPr>
              <w:t xml:space="preserve"> filiāl</w:t>
            </w:r>
            <w:r w:rsidR="002D14DC">
              <w:rPr>
                <w:rFonts w:eastAsia="Times New Roman"/>
                <w:lang w:eastAsia="lv-LV"/>
              </w:rPr>
              <w:t>ēm</w:t>
            </w:r>
            <w:r w:rsidR="00780E7D">
              <w:rPr>
                <w:rFonts w:eastAsia="Times New Roman"/>
                <w:lang w:eastAsia="lv-LV"/>
              </w:rPr>
              <w:t>,</w:t>
            </w:r>
            <w:r w:rsidR="002D14DC" w:rsidRPr="00E318FE">
              <w:rPr>
                <w:rFonts w:eastAsia="Times New Roman"/>
                <w:lang w:val="lv-LV" w:eastAsia="lv-LV"/>
              </w:rPr>
              <w:t xml:space="preserve"> </w:t>
            </w:r>
            <w:r w:rsidRPr="00E318FE">
              <w:rPr>
                <w:rFonts w:eastAsia="Times New Roman"/>
                <w:lang w:val="lv-LV" w:eastAsia="lv-LV"/>
              </w:rPr>
              <w:t>aprēķinot to</w:t>
            </w:r>
            <w:r>
              <w:rPr>
                <w:rFonts w:eastAsia="Times New Roman"/>
                <w:lang w:val="lv-LV" w:eastAsia="lv-LV"/>
              </w:rPr>
              <w:t xml:space="preserve"> </w:t>
            </w:r>
            <w:r w:rsidRPr="00E318FE">
              <w:rPr>
                <w:rFonts w:eastAsia="Times New Roman"/>
                <w:lang w:val="lv-LV" w:eastAsia="lv-LV"/>
              </w:rPr>
              <w:t>tehniskās rezerves saskaņā ar Apdrošināšanas un pārapdrošināšanas likumu un Eiropas Savienības tieši piemērojamiem tiesību aktiem,</w:t>
            </w:r>
            <w:r w:rsidR="005274E9" w:rsidRPr="005274E9">
              <w:rPr>
                <w:rFonts w:eastAsia="Times New Roman"/>
                <w:lang w:val="lv-LV" w:eastAsia="lv-LV"/>
              </w:rPr>
              <w:t xml:space="preserve"> ir lietderīgi izdot ārējo normatīvo aktu, kas būs saistošs attiecīgajiem finanšu tirgus dalībniekiem.</w:t>
            </w:r>
          </w:p>
          <w:p w14:paraId="719A2D4A" w14:textId="33A98396" w:rsidR="00E318FE" w:rsidRDefault="00E318FE" w:rsidP="00E318FE">
            <w:pPr>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lastRenderedPageBreak/>
              <w:t xml:space="preserve">Noteikumu projekts nosaka, </w:t>
            </w:r>
            <w:r w:rsidR="00780E7D">
              <w:rPr>
                <w:rFonts w:ascii="Times New Roman" w:eastAsia="Times New Roman" w:hAnsi="Times New Roman" w:cs="Times New Roman"/>
                <w:color w:val="000000"/>
                <w:sz w:val="24"/>
                <w:szCs w:val="24"/>
                <w:lang w:eastAsia="lv-LV"/>
              </w:rPr>
              <w:t xml:space="preserve">ka, </w:t>
            </w:r>
            <w:r>
              <w:rPr>
                <w:rFonts w:ascii="Times New Roman" w:eastAsia="Times New Roman" w:hAnsi="Times New Roman" w:cs="Times New Roman"/>
                <w:color w:val="000000"/>
                <w:sz w:val="24"/>
                <w:szCs w:val="24"/>
                <w:lang w:eastAsia="lv-LV"/>
              </w:rPr>
              <w:t>l</w:t>
            </w:r>
            <w:r w:rsidRPr="00E318FE">
              <w:rPr>
                <w:rFonts w:ascii="Times New Roman" w:eastAsia="Times New Roman" w:hAnsi="Times New Roman" w:cs="Times New Roman"/>
                <w:color w:val="000000"/>
                <w:sz w:val="24"/>
                <w:szCs w:val="24"/>
                <w:lang w:eastAsia="lv-LV"/>
              </w:rPr>
              <w:t xml:space="preserve">ai nodrošinātu apdrošināšanas un pārapdrošināšanas līguma robežu noteikšanas principu un tehnisko rezervju aprēķināšanas pamatprincipu </w:t>
            </w:r>
            <w:r w:rsidR="00634418">
              <w:rPr>
                <w:rFonts w:ascii="Times New Roman" w:eastAsia="Times New Roman" w:hAnsi="Times New Roman" w:cs="Times New Roman"/>
                <w:color w:val="000000"/>
                <w:sz w:val="24"/>
                <w:szCs w:val="24"/>
                <w:lang w:eastAsia="lv-LV"/>
              </w:rPr>
              <w:t>ievērošanu</w:t>
            </w:r>
            <w:r w:rsidRPr="00E318FE">
              <w:rPr>
                <w:rFonts w:ascii="Times New Roman" w:eastAsia="Times New Roman" w:hAnsi="Times New Roman" w:cs="Times New Roman"/>
                <w:color w:val="000000"/>
                <w:sz w:val="24"/>
                <w:szCs w:val="24"/>
                <w:lang w:eastAsia="lv-LV"/>
              </w:rPr>
              <w:t>, apdrošināšanas sabiedrīb</w:t>
            </w:r>
            <w:r w:rsidR="000A4A2F">
              <w:rPr>
                <w:rFonts w:ascii="Times New Roman" w:eastAsia="Times New Roman" w:hAnsi="Times New Roman" w:cs="Times New Roman"/>
                <w:color w:val="000000"/>
                <w:sz w:val="24"/>
                <w:szCs w:val="24"/>
                <w:lang w:eastAsia="lv-LV"/>
              </w:rPr>
              <w:t>ām</w:t>
            </w:r>
            <w:r w:rsidRPr="00E318FE">
              <w:rPr>
                <w:rFonts w:ascii="Times New Roman" w:eastAsia="Times New Roman" w:hAnsi="Times New Roman" w:cs="Times New Roman"/>
                <w:color w:val="000000"/>
                <w:sz w:val="24"/>
                <w:szCs w:val="24"/>
                <w:lang w:eastAsia="lv-LV"/>
              </w:rPr>
              <w:t>, pārapdrošināšanas sabiedrīb</w:t>
            </w:r>
            <w:r w:rsidR="000A4A2F">
              <w:rPr>
                <w:rFonts w:ascii="Times New Roman" w:eastAsia="Times New Roman" w:hAnsi="Times New Roman" w:cs="Times New Roman"/>
                <w:color w:val="000000"/>
                <w:sz w:val="24"/>
                <w:szCs w:val="24"/>
                <w:lang w:eastAsia="lv-LV"/>
              </w:rPr>
              <w:t>ām</w:t>
            </w:r>
            <w:r w:rsidRPr="00E318FE">
              <w:rPr>
                <w:rFonts w:ascii="Times New Roman" w:eastAsia="Times New Roman" w:hAnsi="Times New Roman" w:cs="Times New Roman"/>
                <w:color w:val="000000"/>
                <w:sz w:val="24"/>
                <w:szCs w:val="24"/>
                <w:lang w:eastAsia="lv-LV"/>
              </w:rPr>
              <w:t xml:space="preserve"> un ārvalsts apdrošinātāj</w:t>
            </w:r>
            <w:r w:rsidR="000A4A2F">
              <w:rPr>
                <w:rFonts w:ascii="Times New Roman" w:eastAsia="Times New Roman" w:hAnsi="Times New Roman" w:cs="Times New Roman"/>
                <w:color w:val="000000"/>
                <w:sz w:val="24"/>
                <w:szCs w:val="24"/>
                <w:lang w:eastAsia="lv-LV"/>
              </w:rPr>
              <w:t>u</w:t>
            </w:r>
            <w:r w:rsidRPr="00E318FE">
              <w:rPr>
                <w:rFonts w:ascii="Times New Roman" w:eastAsia="Times New Roman" w:hAnsi="Times New Roman" w:cs="Times New Roman"/>
                <w:color w:val="000000"/>
                <w:sz w:val="24"/>
                <w:szCs w:val="24"/>
                <w:lang w:eastAsia="lv-LV"/>
              </w:rPr>
              <w:t xml:space="preserve"> filiāl</w:t>
            </w:r>
            <w:r w:rsidR="000A4A2F">
              <w:rPr>
                <w:rFonts w:ascii="Times New Roman" w:eastAsia="Times New Roman" w:hAnsi="Times New Roman" w:cs="Times New Roman"/>
                <w:color w:val="000000"/>
                <w:sz w:val="24"/>
                <w:szCs w:val="24"/>
                <w:lang w:eastAsia="lv-LV"/>
              </w:rPr>
              <w:t>ēm</w:t>
            </w:r>
            <w:r w:rsidRPr="00E318FE">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būs jā</w:t>
            </w:r>
            <w:r w:rsidRPr="00E318FE">
              <w:rPr>
                <w:rFonts w:ascii="Times New Roman" w:eastAsia="Times New Roman" w:hAnsi="Times New Roman" w:cs="Times New Roman"/>
                <w:color w:val="000000"/>
                <w:sz w:val="24"/>
                <w:szCs w:val="24"/>
                <w:lang w:eastAsia="lv-LV"/>
              </w:rPr>
              <w:t xml:space="preserve">ievēro </w:t>
            </w:r>
            <w:r w:rsidR="000A4A2F">
              <w:rPr>
                <w:rFonts w:ascii="Times New Roman" w:eastAsia="Times New Roman" w:hAnsi="Times New Roman" w:cs="Times New Roman"/>
                <w:color w:val="000000"/>
                <w:sz w:val="24"/>
                <w:szCs w:val="24"/>
                <w:lang w:eastAsia="lv-LV"/>
              </w:rPr>
              <w:t>EAAPI</w:t>
            </w:r>
            <w:r w:rsidR="000A4A2F" w:rsidRPr="00E318FE">
              <w:rPr>
                <w:rFonts w:ascii="Times New Roman" w:eastAsia="Times New Roman" w:hAnsi="Times New Roman" w:cs="Times New Roman"/>
                <w:color w:val="000000"/>
                <w:sz w:val="24"/>
                <w:szCs w:val="24"/>
                <w:lang w:eastAsia="lv-LV"/>
              </w:rPr>
              <w:t xml:space="preserve"> </w:t>
            </w:r>
            <w:r w:rsidRPr="00E318FE">
              <w:rPr>
                <w:rFonts w:ascii="Times New Roman" w:eastAsia="Times New Roman" w:hAnsi="Times New Roman" w:cs="Times New Roman"/>
                <w:color w:val="000000"/>
                <w:sz w:val="24"/>
                <w:szCs w:val="24"/>
                <w:lang w:eastAsia="lv-LV"/>
              </w:rPr>
              <w:t>2015.</w:t>
            </w:r>
            <w:r w:rsidR="004653D7">
              <w:rPr>
                <w:rFonts w:ascii="Times New Roman" w:eastAsia="Times New Roman" w:hAnsi="Times New Roman" w:cs="Times New Roman"/>
                <w:color w:val="000000"/>
                <w:sz w:val="24"/>
                <w:szCs w:val="24"/>
                <w:lang w:eastAsia="lv-LV"/>
              </w:rPr>
              <w:t> </w:t>
            </w:r>
            <w:r w:rsidRPr="00E318FE">
              <w:rPr>
                <w:rFonts w:ascii="Times New Roman" w:eastAsia="Times New Roman" w:hAnsi="Times New Roman" w:cs="Times New Roman"/>
                <w:color w:val="000000"/>
                <w:sz w:val="24"/>
                <w:szCs w:val="24"/>
                <w:lang w:eastAsia="lv-LV"/>
              </w:rPr>
              <w:t>gada 2.</w:t>
            </w:r>
            <w:r w:rsidR="004653D7">
              <w:rPr>
                <w:rFonts w:ascii="Times New Roman" w:eastAsia="Times New Roman" w:hAnsi="Times New Roman" w:cs="Times New Roman"/>
                <w:color w:val="000000"/>
                <w:sz w:val="24"/>
                <w:szCs w:val="24"/>
                <w:lang w:eastAsia="lv-LV"/>
              </w:rPr>
              <w:t> </w:t>
            </w:r>
            <w:r w:rsidRPr="00E318FE">
              <w:rPr>
                <w:rFonts w:ascii="Times New Roman" w:eastAsia="Times New Roman" w:hAnsi="Times New Roman" w:cs="Times New Roman"/>
                <w:color w:val="000000"/>
                <w:sz w:val="24"/>
                <w:szCs w:val="24"/>
                <w:lang w:eastAsia="lv-LV"/>
              </w:rPr>
              <w:t>februāra pamatnostādnes Nr.</w:t>
            </w:r>
            <w:r w:rsidR="004653D7">
              <w:rPr>
                <w:rFonts w:ascii="Times New Roman" w:eastAsia="Times New Roman" w:hAnsi="Times New Roman" w:cs="Times New Roman"/>
                <w:color w:val="000000"/>
                <w:sz w:val="24"/>
                <w:szCs w:val="24"/>
                <w:lang w:eastAsia="lv-LV"/>
              </w:rPr>
              <w:t> </w:t>
            </w:r>
            <w:r w:rsidRPr="00E318FE">
              <w:rPr>
                <w:rFonts w:ascii="Times New Roman" w:eastAsia="Times New Roman" w:hAnsi="Times New Roman" w:cs="Times New Roman"/>
                <w:color w:val="000000"/>
                <w:sz w:val="24"/>
                <w:szCs w:val="24"/>
                <w:lang w:eastAsia="lv-LV"/>
              </w:rPr>
              <w:t>EIOPA-BoS-14/165</w:t>
            </w:r>
            <w:r w:rsidR="004653D7">
              <w:rPr>
                <w:rFonts w:ascii="Times New Roman" w:eastAsia="Times New Roman" w:hAnsi="Times New Roman" w:cs="Times New Roman"/>
                <w:color w:val="000000"/>
                <w:sz w:val="24"/>
                <w:szCs w:val="24"/>
                <w:lang w:eastAsia="lv-LV"/>
              </w:rPr>
              <w:t> </w:t>
            </w:r>
            <w:r w:rsidRPr="00E318FE">
              <w:rPr>
                <w:rFonts w:ascii="Times New Roman" w:eastAsia="Times New Roman" w:hAnsi="Times New Roman" w:cs="Times New Roman"/>
                <w:color w:val="000000"/>
                <w:sz w:val="24"/>
                <w:szCs w:val="24"/>
                <w:lang w:eastAsia="lv-LV"/>
              </w:rPr>
              <w:t xml:space="preserve">LV "Pamatnostādnes par līguma robežām" un </w:t>
            </w:r>
            <w:r w:rsidRPr="00EB7E37">
              <w:rPr>
                <w:rFonts w:ascii="Times New Roman" w:eastAsia="Times New Roman" w:hAnsi="Times New Roman" w:cs="Times New Roman"/>
                <w:color w:val="000000"/>
                <w:sz w:val="24"/>
                <w:szCs w:val="24"/>
                <w:lang w:eastAsia="lv-LV"/>
              </w:rPr>
              <w:t>pamatnostādnes</w:t>
            </w:r>
            <w:r>
              <w:rPr>
                <w:rFonts w:ascii="Times New Roman" w:eastAsia="Times New Roman" w:hAnsi="Times New Roman" w:cs="Times New Roman"/>
                <w:color w:val="000000"/>
                <w:sz w:val="24"/>
                <w:szCs w:val="24"/>
                <w:lang w:eastAsia="lv-LV"/>
              </w:rPr>
              <w:t xml:space="preserve"> </w:t>
            </w:r>
            <w:r w:rsidRPr="00E318FE">
              <w:rPr>
                <w:rFonts w:ascii="Times New Roman" w:eastAsia="Times New Roman" w:hAnsi="Times New Roman" w:cs="Times New Roman"/>
                <w:color w:val="000000"/>
                <w:sz w:val="24"/>
                <w:szCs w:val="24"/>
                <w:lang w:eastAsia="lv-LV"/>
              </w:rPr>
              <w:t>Nr.</w:t>
            </w:r>
            <w:r w:rsidR="00780E7D">
              <w:rPr>
                <w:rFonts w:ascii="Times New Roman" w:eastAsia="Times New Roman" w:hAnsi="Times New Roman" w:cs="Times New Roman"/>
                <w:color w:val="000000"/>
                <w:sz w:val="24"/>
                <w:szCs w:val="24"/>
                <w:lang w:eastAsia="lv-LV"/>
              </w:rPr>
              <w:t> </w:t>
            </w:r>
            <w:bookmarkStart w:id="1" w:name="_Hlk175642938"/>
            <w:r w:rsidRPr="00E318FE">
              <w:rPr>
                <w:rFonts w:ascii="Times New Roman" w:eastAsia="Times New Roman" w:hAnsi="Times New Roman" w:cs="Times New Roman"/>
                <w:color w:val="000000"/>
                <w:sz w:val="24"/>
                <w:szCs w:val="24"/>
                <w:lang w:eastAsia="lv-LV"/>
              </w:rPr>
              <w:t>EIOPA-BoS-14/166</w:t>
            </w:r>
            <w:r w:rsidR="00780E7D">
              <w:rPr>
                <w:rFonts w:ascii="Times New Roman" w:eastAsia="Times New Roman" w:hAnsi="Times New Roman" w:cs="Times New Roman"/>
                <w:color w:val="000000"/>
                <w:sz w:val="24"/>
                <w:szCs w:val="24"/>
                <w:lang w:eastAsia="lv-LV"/>
              </w:rPr>
              <w:t> </w:t>
            </w:r>
            <w:r w:rsidRPr="00E318FE">
              <w:rPr>
                <w:rFonts w:ascii="Times New Roman" w:eastAsia="Times New Roman" w:hAnsi="Times New Roman" w:cs="Times New Roman"/>
                <w:color w:val="000000"/>
                <w:sz w:val="24"/>
                <w:szCs w:val="24"/>
                <w:lang w:eastAsia="lv-LV"/>
              </w:rPr>
              <w:t xml:space="preserve">LV </w:t>
            </w:r>
            <w:bookmarkEnd w:id="1"/>
            <w:r w:rsidRPr="00E318FE">
              <w:rPr>
                <w:rFonts w:ascii="Times New Roman" w:eastAsia="Times New Roman" w:hAnsi="Times New Roman" w:cs="Times New Roman"/>
                <w:color w:val="000000"/>
                <w:sz w:val="24"/>
                <w:szCs w:val="24"/>
                <w:lang w:eastAsia="lv-LV"/>
              </w:rPr>
              <w:t>"Pamatnostādnes par tehnisko rezervju novērtēšanu"</w:t>
            </w:r>
            <w:r>
              <w:rPr>
                <w:rFonts w:ascii="Times New Roman" w:eastAsia="Times New Roman" w:hAnsi="Times New Roman" w:cs="Times New Roman"/>
                <w:color w:val="000000"/>
                <w:sz w:val="24"/>
                <w:szCs w:val="24"/>
                <w:lang w:eastAsia="lv-LV"/>
              </w:rPr>
              <w:t>.</w:t>
            </w:r>
          </w:p>
          <w:p w14:paraId="1F7A240F" w14:textId="75B3405A" w:rsidR="00E318FE" w:rsidRPr="00562502" w:rsidRDefault="00D93756" w:rsidP="00E318FE">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lv-LV"/>
              </w:rPr>
              <w:t>Salīdzinot ar N</w:t>
            </w:r>
            <w:r w:rsidRPr="00D33B79">
              <w:rPr>
                <w:rFonts w:ascii="Times New Roman" w:hAnsi="Times New Roman" w:cs="Times New Roman"/>
                <w:sz w:val="24"/>
                <w:szCs w:val="24"/>
              </w:rPr>
              <w:t>oteikum</w:t>
            </w:r>
            <w:r>
              <w:rPr>
                <w:rFonts w:ascii="Times New Roman" w:hAnsi="Times New Roman" w:cs="Times New Roman"/>
                <w:sz w:val="24"/>
                <w:szCs w:val="24"/>
              </w:rPr>
              <w:t>u</w:t>
            </w:r>
            <w:r w:rsidRPr="00D33B79">
              <w:rPr>
                <w:rFonts w:ascii="Times New Roman" w:hAnsi="Times New Roman" w:cs="Times New Roman"/>
                <w:sz w:val="24"/>
                <w:szCs w:val="24"/>
              </w:rPr>
              <w:t xml:space="preserve"> Nr. 87</w:t>
            </w:r>
            <w:r>
              <w:rPr>
                <w:rFonts w:ascii="Times New Roman" w:hAnsi="Times New Roman" w:cs="Times New Roman"/>
                <w:sz w:val="24"/>
                <w:szCs w:val="24"/>
              </w:rPr>
              <w:t xml:space="preserve"> prasībām, kas ievieš iepriekš minēto </w:t>
            </w:r>
            <w:r w:rsidR="000A4A2F">
              <w:rPr>
                <w:rFonts w:ascii="Times New Roman" w:hAnsi="Times New Roman" w:cs="Times New Roman"/>
                <w:sz w:val="24"/>
                <w:szCs w:val="24"/>
              </w:rPr>
              <w:t xml:space="preserve">EAAPI </w:t>
            </w:r>
            <w:r>
              <w:rPr>
                <w:rFonts w:ascii="Times New Roman" w:hAnsi="Times New Roman" w:cs="Times New Roman"/>
                <w:sz w:val="24"/>
                <w:szCs w:val="24"/>
              </w:rPr>
              <w:t>pamatnostādņu prasības</w:t>
            </w:r>
            <w:r w:rsidR="00955A54">
              <w:rPr>
                <w:rFonts w:ascii="Times New Roman" w:hAnsi="Times New Roman" w:cs="Times New Roman"/>
                <w:sz w:val="24"/>
                <w:szCs w:val="24"/>
              </w:rPr>
              <w:t xml:space="preserve"> to </w:t>
            </w:r>
            <w:r w:rsidR="00955A54" w:rsidRPr="00E318FE">
              <w:rPr>
                <w:rFonts w:ascii="Times New Roman" w:eastAsia="Times New Roman" w:hAnsi="Times New Roman" w:cs="Times New Roman"/>
                <w:color w:val="000000"/>
                <w:sz w:val="24"/>
                <w:szCs w:val="24"/>
                <w:lang w:eastAsia="lv-LV"/>
              </w:rPr>
              <w:t>2015.</w:t>
            </w:r>
            <w:r w:rsidR="00780E7D">
              <w:rPr>
                <w:rFonts w:ascii="Times New Roman" w:eastAsia="Times New Roman" w:hAnsi="Times New Roman" w:cs="Times New Roman"/>
                <w:color w:val="000000"/>
                <w:sz w:val="24"/>
                <w:szCs w:val="24"/>
                <w:lang w:eastAsia="lv-LV"/>
              </w:rPr>
              <w:t> </w:t>
            </w:r>
            <w:r w:rsidR="00955A54" w:rsidRPr="00E318FE">
              <w:rPr>
                <w:rFonts w:ascii="Times New Roman" w:eastAsia="Times New Roman" w:hAnsi="Times New Roman" w:cs="Times New Roman"/>
                <w:color w:val="000000"/>
                <w:sz w:val="24"/>
                <w:szCs w:val="24"/>
                <w:lang w:eastAsia="lv-LV"/>
              </w:rPr>
              <w:t>gada 2.</w:t>
            </w:r>
            <w:r w:rsidR="00780E7D">
              <w:rPr>
                <w:rFonts w:ascii="Times New Roman" w:eastAsia="Times New Roman" w:hAnsi="Times New Roman" w:cs="Times New Roman"/>
                <w:color w:val="000000"/>
                <w:sz w:val="24"/>
                <w:szCs w:val="24"/>
                <w:lang w:eastAsia="lv-LV"/>
              </w:rPr>
              <w:t> </w:t>
            </w:r>
            <w:r w:rsidR="00955A54" w:rsidRPr="00E318FE">
              <w:rPr>
                <w:rFonts w:ascii="Times New Roman" w:eastAsia="Times New Roman" w:hAnsi="Times New Roman" w:cs="Times New Roman"/>
                <w:color w:val="000000"/>
                <w:sz w:val="24"/>
                <w:szCs w:val="24"/>
                <w:lang w:eastAsia="lv-LV"/>
              </w:rPr>
              <w:t>februāra</w:t>
            </w:r>
            <w:r w:rsidR="00955A54">
              <w:rPr>
                <w:rFonts w:ascii="Times New Roman" w:eastAsia="Times New Roman" w:hAnsi="Times New Roman" w:cs="Times New Roman"/>
                <w:color w:val="000000"/>
                <w:sz w:val="24"/>
                <w:szCs w:val="24"/>
                <w:lang w:eastAsia="lv-LV"/>
              </w:rPr>
              <w:t xml:space="preserve"> redakcijā</w:t>
            </w:r>
            <w:r>
              <w:rPr>
                <w:rFonts w:ascii="Times New Roman" w:hAnsi="Times New Roman" w:cs="Times New Roman"/>
                <w:sz w:val="24"/>
                <w:szCs w:val="24"/>
              </w:rPr>
              <w:t xml:space="preserve">, </w:t>
            </w:r>
            <w:r>
              <w:rPr>
                <w:rFonts w:ascii="Times New Roman" w:eastAsia="Times New Roman" w:hAnsi="Times New Roman" w:cs="Times New Roman"/>
                <w:sz w:val="24"/>
                <w:szCs w:val="24"/>
              </w:rPr>
              <w:t>noteikumu projekt</w:t>
            </w:r>
            <w:r w:rsidR="00955A54">
              <w:rPr>
                <w:rFonts w:ascii="Times New Roman" w:eastAsia="Times New Roman" w:hAnsi="Times New Roman" w:cs="Times New Roman"/>
                <w:sz w:val="24"/>
                <w:szCs w:val="24"/>
              </w:rPr>
              <w:t>s nosaka, ka</w:t>
            </w:r>
            <w:r w:rsidR="000A4A2F">
              <w:rPr>
                <w:rFonts w:ascii="Times New Roman" w:eastAsia="Times New Roman" w:hAnsi="Times New Roman" w:cs="Times New Roman"/>
                <w:sz w:val="24"/>
                <w:szCs w:val="24"/>
              </w:rPr>
              <w:t>,</w:t>
            </w:r>
            <w:r w:rsidR="00955A54">
              <w:rPr>
                <w:rFonts w:ascii="Times New Roman" w:eastAsia="Times New Roman" w:hAnsi="Times New Roman" w:cs="Times New Roman"/>
                <w:sz w:val="24"/>
                <w:szCs w:val="24"/>
              </w:rPr>
              <w:t xml:space="preserve"> ievērojot </w:t>
            </w:r>
            <w:r w:rsidR="00634418">
              <w:rPr>
                <w:rFonts w:ascii="Times New Roman" w:eastAsia="Times New Roman" w:hAnsi="Times New Roman" w:cs="Times New Roman"/>
                <w:sz w:val="24"/>
                <w:szCs w:val="24"/>
              </w:rPr>
              <w:t xml:space="preserve">minētajās </w:t>
            </w:r>
            <w:r w:rsidR="00955A54">
              <w:rPr>
                <w:rFonts w:ascii="Times New Roman" w:eastAsia="Times New Roman" w:hAnsi="Times New Roman" w:cs="Times New Roman"/>
                <w:sz w:val="24"/>
                <w:szCs w:val="24"/>
              </w:rPr>
              <w:t>pamatnostādn</w:t>
            </w:r>
            <w:r w:rsidR="000A4A2F">
              <w:rPr>
                <w:rFonts w:ascii="Times New Roman" w:eastAsia="Times New Roman" w:hAnsi="Times New Roman" w:cs="Times New Roman"/>
                <w:sz w:val="24"/>
                <w:szCs w:val="24"/>
              </w:rPr>
              <w:t>ēs paredzētās prasības</w:t>
            </w:r>
            <w:r w:rsidR="00955A54">
              <w:rPr>
                <w:rFonts w:ascii="Times New Roman" w:eastAsia="Times New Roman" w:hAnsi="Times New Roman" w:cs="Times New Roman"/>
                <w:sz w:val="24"/>
                <w:szCs w:val="24"/>
              </w:rPr>
              <w:t xml:space="preserve">, </w:t>
            </w:r>
            <w:r w:rsidR="000A4A2F">
              <w:rPr>
                <w:rFonts w:ascii="Times New Roman" w:eastAsia="Times New Roman" w:hAnsi="Times New Roman" w:cs="Times New Roman"/>
                <w:sz w:val="24"/>
                <w:szCs w:val="24"/>
              </w:rPr>
              <w:t xml:space="preserve">ir </w:t>
            </w:r>
            <w:r w:rsidR="00955A54">
              <w:rPr>
                <w:rFonts w:ascii="Times New Roman" w:eastAsia="Times New Roman" w:hAnsi="Times New Roman" w:cs="Times New Roman"/>
                <w:sz w:val="24"/>
                <w:szCs w:val="24"/>
              </w:rPr>
              <w:t xml:space="preserve">jāņem vērā </w:t>
            </w:r>
            <w:r w:rsidR="000A4A2F">
              <w:rPr>
                <w:rFonts w:ascii="Times New Roman" w:eastAsia="Times New Roman" w:hAnsi="Times New Roman" w:cs="Times New Roman"/>
                <w:sz w:val="24"/>
                <w:szCs w:val="24"/>
              </w:rPr>
              <w:t xml:space="preserve">tajās veiktie </w:t>
            </w:r>
            <w:r w:rsidR="00955A54">
              <w:rPr>
                <w:rFonts w:ascii="Times New Roman" w:eastAsia="Times New Roman" w:hAnsi="Times New Roman" w:cs="Times New Roman"/>
                <w:sz w:val="24"/>
                <w:szCs w:val="24"/>
              </w:rPr>
              <w:t>g</w:t>
            </w:r>
            <w:r w:rsidR="00955A54" w:rsidRPr="00955A54">
              <w:rPr>
                <w:rFonts w:ascii="Times New Roman" w:eastAsia="Times New Roman" w:hAnsi="Times New Roman" w:cs="Times New Roman"/>
                <w:sz w:val="24"/>
                <w:szCs w:val="24"/>
              </w:rPr>
              <w:t>rozījum</w:t>
            </w:r>
            <w:r w:rsidR="00955A54">
              <w:rPr>
                <w:rFonts w:ascii="Times New Roman" w:eastAsia="Times New Roman" w:hAnsi="Times New Roman" w:cs="Times New Roman"/>
                <w:sz w:val="24"/>
                <w:szCs w:val="24"/>
              </w:rPr>
              <w:t>i, ko</w:t>
            </w:r>
            <w:r w:rsidR="00955A54" w:rsidRPr="00955A54">
              <w:rPr>
                <w:rFonts w:ascii="Times New Roman" w:eastAsia="Times New Roman" w:hAnsi="Times New Roman" w:cs="Times New Roman"/>
                <w:sz w:val="24"/>
                <w:szCs w:val="24"/>
              </w:rPr>
              <w:t xml:space="preserve"> nosaka </w:t>
            </w:r>
            <w:r w:rsidR="000A4A2F">
              <w:rPr>
                <w:rFonts w:ascii="Times New Roman" w:eastAsia="Times New Roman" w:hAnsi="Times New Roman" w:cs="Times New Roman"/>
                <w:sz w:val="24"/>
                <w:szCs w:val="24"/>
              </w:rPr>
              <w:t>EAAPI</w:t>
            </w:r>
            <w:r w:rsidR="000A4A2F" w:rsidRPr="00955A54">
              <w:rPr>
                <w:rFonts w:ascii="Times New Roman" w:eastAsia="Times New Roman" w:hAnsi="Times New Roman" w:cs="Times New Roman"/>
                <w:sz w:val="24"/>
                <w:szCs w:val="24"/>
              </w:rPr>
              <w:t xml:space="preserve"> </w:t>
            </w:r>
            <w:r w:rsidR="00955A54" w:rsidRPr="00955A54">
              <w:rPr>
                <w:rFonts w:ascii="Times New Roman" w:eastAsia="Times New Roman" w:hAnsi="Times New Roman" w:cs="Times New Roman"/>
                <w:sz w:val="24"/>
                <w:szCs w:val="24"/>
              </w:rPr>
              <w:t>2022.</w:t>
            </w:r>
            <w:r w:rsidR="00780E7D">
              <w:rPr>
                <w:rFonts w:ascii="Times New Roman" w:eastAsia="Times New Roman" w:hAnsi="Times New Roman" w:cs="Times New Roman"/>
                <w:sz w:val="24"/>
                <w:szCs w:val="24"/>
              </w:rPr>
              <w:t> </w:t>
            </w:r>
            <w:r w:rsidR="00955A54" w:rsidRPr="00955A54">
              <w:rPr>
                <w:rFonts w:ascii="Times New Roman" w:eastAsia="Times New Roman" w:hAnsi="Times New Roman" w:cs="Times New Roman"/>
                <w:sz w:val="24"/>
                <w:szCs w:val="24"/>
              </w:rPr>
              <w:t>gada 6.</w:t>
            </w:r>
            <w:r w:rsidR="00780E7D">
              <w:rPr>
                <w:rFonts w:ascii="Times New Roman" w:eastAsia="Times New Roman" w:hAnsi="Times New Roman" w:cs="Times New Roman"/>
                <w:sz w:val="24"/>
                <w:szCs w:val="24"/>
              </w:rPr>
              <w:t> </w:t>
            </w:r>
            <w:r w:rsidR="00955A54" w:rsidRPr="00955A54">
              <w:rPr>
                <w:rFonts w:ascii="Times New Roman" w:eastAsia="Times New Roman" w:hAnsi="Times New Roman" w:cs="Times New Roman"/>
                <w:sz w:val="24"/>
                <w:szCs w:val="24"/>
              </w:rPr>
              <w:t xml:space="preserve">jūlija </w:t>
            </w:r>
            <w:bookmarkStart w:id="2" w:name="_Hlk175240864"/>
            <w:r w:rsidR="000A4A2F">
              <w:rPr>
                <w:rFonts w:ascii="Times New Roman" w:eastAsia="Times New Roman" w:hAnsi="Times New Roman" w:cs="Times New Roman"/>
                <w:sz w:val="24"/>
                <w:szCs w:val="24"/>
              </w:rPr>
              <w:t>pamatnostādnes Nr.</w:t>
            </w:r>
            <w:r w:rsidR="00780E7D">
              <w:rPr>
                <w:rFonts w:ascii="Times New Roman" w:eastAsia="Times New Roman" w:hAnsi="Times New Roman" w:cs="Times New Roman"/>
                <w:sz w:val="24"/>
                <w:szCs w:val="24"/>
              </w:rPr>
              <w:t> </w:t>
            </w:r>
            <w:r w:rsidR="00C71AEA" w:rsidRPr="00C71AEA">
              <w:rPr>
                <w:rFonts w:ascii="Times New Roman" w:eastAsia="Times New Roman" w:hAnsi="Times New Roman" w:cs="Times New Roman"/>
                <w:sz w:val="24"/>
                <w:szCs w:val="24"/>
              </w:rPr>
              <w:t>EIOPA-BoS-22/218</w:t>
            </w:r>
            <w:r w:rsidR="000A4A2F">
              <w:rPr>
                <w:rFonts w:ascii="Times New Roman" w:eastAsia="Times New Roman" w:hAnsi="Times New Roman" w:cs="Times New Roman"/>
                <w:sz w:val="24"/>
                <w:szCs w:val="24"/>
              </w:rPr>
              <w:t xml:space="preserve"> </w:t>
            </w:r>
            <w:bookmarkEnd w:id="2"/>
            <w:r w:rsidR="00955A54" w:rsidRPr="00955A54">
              <w:rPr>
                <w:rFonts w:ascii="Times New Roman" w:eastAsia="Times New Roman" w:hAnsi="Times New Roman" w:cs="Times New Roman"/>
                <w:sz w:val="24"/>
                <w:szCs w:val="24"/>
              </w:rPr>
              <w:t>"Grozītās pamatnostādnes par līguma robežām" un</w:t>
            </w:r>
            <w:r w:rsidR="000A4A2F">
              <w:rPr>
                <w:rFonts w:ascii="Times New Roman" w:eastAsia="Times New Roman" w:hAnsi="Times New Roman" w:cs="Times New Roman"/>
                <w:sz w:val="24"/>
                <w:szCs w:val="24"/>
              </w:rPr>
              <w:t xml:space="preserve"> </w:t>
            </w:r>
            <w:r w:rsidR="00EB7E37">
              <w:rPr>
                <w:rFonts w:ascii="Times New Roman" w:eastAsia="Times New Roman" w:hAnsi="Times New Roman" w:cs="Times New Roman"/>
                <w:sz w:val="24"/>
                <w:szCs w:val="24"/>
              </w:rPr>
              <w:t xml:space="preserve">pamatnostādnes </w:t>
            </w:r>
            <w:r w:rsidR="000A4A2F">
              <w:rPr>
                <w:rFonts w:ascii="Times New Roman" w:eastAsia="Times New Roman" w:hAnsi="Times New Roman" w:cs="Times New Roman"/>
                <w:sz w:val="24"/>
                <w:szCs w:val="24"/>
              </w:rPr>
              <w:t>Nr.</w:t>
            </w:r>
            <w:r w:rsidR="00780E7D">
              <w:rPr>
                <w:rFonts w:ascii="Times New Roman" w:eastAsia="Times New Roman" w:hAnsi="Times New Roman" w:cs="Times New Roman"/>
                <w:sz w:val="24"/>
                <w:szCs w:val="24"/>
              </w:rPr>
              <w:t> </w:t>
            </w:r>
            <w:r w:rsidR="00C71AEA" w:rsidRPr="00C71AEA">
              <w:rPr>
                <w:rFonts w:ascii="Times New Roman" w:eastAsia="Times New Roman" w:hAnsi="Times New Roman" w:cs="Times New Roman"/>
                <w:sz w:val="24"/>
                <w:szCs w:val="24"/>
              </w:rPr>
              <w:t>EIOPA</w:t>
            </w:r>
            <w:r w:rsidR="00780E7D">
              <w:rPr>
                <w:rFonts w:ascii="Times New Roman" w:eastAsia="Times New Roman" w:hAnsi="Times New Roman" w:cs="Times New Roman"/>
                <w:sz w:val="24"/>
                <w:szCs w:val="24"/>
              </w:rPr>
              <w:noBreakHyphen/>
            </w:r>
            <w:r w:rsidR="00C71AEA" w:rsidRPr="00C71AEA">
              <w:rPr>
                <w:rFonts w:ascii="Times New Roman" w:eastAsia="Times New Roman" w:hAnsi="Times New Roman" w:cs="Times New Roman"/>
                <w:sz w:val="24"/>
                <w:szCs w:val="24"/>
              </w:rPr>
              <w:t>BoS</w:t>
            </w:r>
            <w:r w:rsidR="00780E7D">
              <w:rPr>
                <w:rFonts w:ascii="Times New Roman" w:eastAsia="Times New Roman" w:hAnsi="Times New Roman" w:cs="Times New Roman"/>
                <w:sz w:val="24"/>
                <w:szCs w:val="24"/>
              </w:rPr>
              <w:noBreakHyphen/>
            </w:r>
            <w:r w:rsidR="00C71AEA" w:rsidRPr="00C71AEA">
              <w:rPr>
                <w:rFonts w:ascii="Times New Roman" w:eastAsia="Times New Roman" w:hAnsi="Times New Roman" w:cs="Times New Roman"/>
                <w:sz w:val="24"/>
                <w:szCs w:val="24"/>
              </w:rPr>
              <w:t>22/21</w:t>
            </w:r>
            <w:r w:rsidR="00C71AEA">
              <w:rPr>
                <w:rFonts w:ascii="Times New Roman" w:eastAsia="Times New Roman" w:hAnsi="Times New Roman" w:cs="Times New Roman"/>
                <w:sz w:val="24"/>
                <w:szCs w:val="24"/>
              </w:rPr>
              <w:t>7</w:t>
            </w:r>
            <w:r w:rsidR="00955A54" w:rsidRPr="00955A54">
              <w:rPr>
                <w:rFonts w:ascii="Times New Roman" w:eastAsia="Times New Roman" w:hAnsi="Times New Roman" w:cs="Times New Roman"/>
                <w:sz w:val="24"/>
                <w:szCs w:val="24"/>
              </w:rPr>
              <w:t xml:space="preserve"> "Grozītās pamatnostādnes par tehnisko rezervju novērtēšanu"</w:t>
            </w:r>
            <w:r w:rsidR="00955A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D704356" w14:textId="3270A1A3" w:rsidR="0009394F" w:rsidRPr="00955A54" w:rsidRDefault="000A4A2F" w:rsidP="00955A54">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projekts faktiski attieksies uz </w:t>
            </w:r>
            <w:r w:rsidR="00EB7E37">
              <w:rPr>
                <w:rFonts w:ascii="Times New Roman" w:eastAsia="Times New Roman" w:hAnsi="Times New Roman" w:cs="Times New Roman"/>
                <w:color w:val="000000"/>
                <w:sz w:val="24"/>
                <w:szCs w:val="24"/>
                <w:lang w:eastAsia="lv-LV"/>
              </w:rPr>
              <w:t xml:space="preserve">apdrošināšanas sabiedrībām, kuras darbojas </w:t>
            </w:r>
            <w:r>
              <w:rPr>
                <w:rFonts w:ascii="Times New Roman" w:eastAsia="Times New Roman" w:hAnsi="Times New Roman" w:cs="Times New Roman"/>
                <w:color w:val="000000"/>
                <w:sz w:val="24"/>
                <w:szCs w:val="24"/>
                <w:lang w:eastAsia="lv-LV"/>
              </w:rPr>
              <w:t xml:space="preserve">Latvijas tirgū. </w:t>
            </w:r>
            <w:r w:rsidR="00B37F0C">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Pr>
                <w:rFonts w:ascii="Times New Roman" w:eastAsia="Times New Roman" w:hAnsi="Times New Roman" w:cs="Times New Roman"/>
                <w:color w:val="000000"/>
                <w:sz w:val="24"/>
                <w:szCs w:val="24"/>
                <w:lang w:eastAsia="lv-LV"/>
              </w:rPr>
              <w:t xml:space="preserve">darbību nav uzsākusi neviena </w:t>
            </w:r>
            <w:r w:rsidR="00DF5BA7">
              <w:rPr>
                <w:rFonts w:ascii="Times New Roman" w:eastAsia="Times New Roman" w:hAnsi="Times New Roman" w:cs="Times New Roman"/>
                <w:color w:val="000000"/>
                <w:sz w:val="24"/>
                <w:szCs w:val="24"/>
                <w:lang w:eastAsia="lv-LV"/>
              </w:rPr>
              <w:t>pārapdrošināšanas sabiedrība</w:t>
            </w:r>
            <w:r>
              <w:rPr>
                <w:rFonts w:ascii="Times New Roman" w:eastAsia="Times New Roman" w:hAnsi="Times New Roman" w:cs="Times New Roman"/>
                <w:color w:val="000000"/>
                <w:sz w:val="24"/>
                <w:szCs w:val="24"/>
                <w:lang w:eastAsia="lv-LV"/>
              </w:rPr>
              <w:t xml:space="preserve"> vai</w:t>
            </w:r>
            <w:r w:rsidR="00DF5BA7">
              <w:rPr>
                <w:rFonts w:ascii="Times New Roman" w:eastAsia="Times New Roman" w:hAnsi="Times New Roman" w:cs="Times New Roman"/>
                <w:color w:val="000000"/>
                <w:sz w:val="24"/>
                <w:szCs w:val="24"/>
                <w:lang w:eastAsia="lv-LV"/>
              </w:rPr>
              <w:t xml:space="preserve"> </w:t>
            </w:r>
            <w:r w:rsidR="00364619">
              <w:rPr>
                <w:rFonts w:ascii="Times New Roman" w:eastAsia="Times New Roman" w:hAnsi="Times New Roman" w:cs="Times New Roman"/>
                <w:color w:val="000000"/>
                <w:sz w:val="24"/>
                <w:szCs w:val="24"/>
                <w:lang w:eastAsia="lv-LV"/>
              </w:rPr>
              <w:t>ā</w:t>
            </w:r>
            <w:r w:rsidR="00364619" w:rsidRPr="00364619">
              <w:rPr>
                <w:rFonts w:ascii="Times New Roman" w:eastAsia="Times New Roman" w:hAnsi="Times New Roman" w:cs="Times New Roman"/>
                <w:color w:val="000000"/>
                <w:sz w:val="24"/>
                <w:szCs w:val="24"/>
                <w:lang w:eastAsia="lv-LV"/>
              </w:rPr>
              <w:t>rvalst</w:t>
            </w:r>
            <w:r w:rsidR="002866A5">
              <w:rPr>
                <w:rFonts w:ascii="Times New Roman" w:eastAsia="Times New Roman" w:hAnsi="Times New Roman" w:cs="Times New Roman"/>
                <w:color w:val="000000"/>
                <w:sz w:val="24"/>
                <w:szCs w:val="24"/>
                <w:lang w:eastAsia="lv-LV"/>
              </w:rPr>
              <w:t>s</w:t>
            </w:r>
            <w:r w:rsidR="00364619" w:rsidRPr="00364619">
              <w:rPr>
                <w:rFonts w:ascii="Times New Roman" w:eastAsia="Times New Roman" w:hAnsi="Times New Roman" w:cs="Times New Roman"/>
                <w:color w:val="000000"/>
                <w:sz w:val="24"/>
                <w:szCs w:val="24"/>
                <w:lang w:eastAsia="lv-LV"/>
              </w:rPr>
              <w:t xml:space="preserve"> apdrošinātāj</w:t>
            </w:r>
            <w:r>
              <w:rPr>
                <w:rFonts w:ascii="Times New Roman" w:eastAsia="Times New Roman" w:hAnsi="Times New Roman" w:cs="Times New Roman"/>
                <w:color w:val="000000"/>
                <w:sz w:val="24"/>
                <w:szCs w:val="24"/>
                <w:lang w:eastAsia="lv-LV"/>
              </w:rPr>
              <w:t>a</w:t>
            </w:r>
            <w:r w:rsidR="00364619" w:rsidRPr="00364619">
              <w:rPr>
                <w:rFonts w:ascii="Times New Roman" w:eastAsia="Times New Roman" w:hAnsi="Times New Roman" w:cs="Times New Roman"/>
                <w:color w:val="000000"/>
                <w:sz w:val="24"/>
                <w:szCs w:val="24"/>
                <w:lang w:eastAsia="lv-LV"/>
              </w:rPr>
              <w:t xml:space="preserve"> filiā</w:t>
            </w:r>
            <w:r w:rsidR="00364619">
              <w:rPr>
                <w:rFonts w:ascii="Times New Roman" w:eastAsia="Times New Roman" w:hAnsi="Times New Roman" w:cs="Times New Roman"/>
                <w:color w:val="000000"/>
                <w:sz w:val="24"/>
                <w:szCs w:val="24"/>
                <w:lang w:eastAsia="lv-LV"/>
              </w:rPr>
              <w:t xml:space="preserve">le. </w:t>
            </w:r>
          </w:p>
        </w:tc>
      </w:tr>
      <w:tr w:rsidR="006C3828" w:rsidRPr="00894D21" w14:paraId="1068B2B5" w14:textId="77777777" w:rsidTr="00780E7D">
        <w:trPr>
          <w:trHeight w:val="567"/>
        </w:trPr>
        <w:tc>
          <w:tcPr>
            <w:tcW w:w="1166" w:type="pct"/>
            <w:shd w:val="clear" w:color="auto" w:fill="auto"/>
            <w:hideMark/>
          </w:tcPr>
          <w:p w14:paraId="2C814FF0" w14:textId="77777777" w:rsidR="006C3828" w:rsidRPr="00894D21" w:rsidRDefault="006C3828" w:rsidP="00B917A7">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B917A7">
            <w:pPr>
              <w:spacing w:after="12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2FD857D" w14:textId="7A469F2F" w:rsidR="006C3828" w:rsidRPr="00894D21" w:rsidRDefault="006C3828" w:rsidP="00EB7E3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EB7E3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w:t>
            </w:r>
            <w:proofErr w:type="spellStart"/>
            <w:r w:rsidRPr="00894D21">
              <w:rPr>
                <w:rFonts w:ascii="Times New Roman" w:eastAsia="Times New Roman" w:hAnsi="Times New Roman" w:cs="Times New Roman"/>
                <w:sz w:val="24"/>
                <w:szCs w:val="24"/>
                <w:lang w:eastAsia="lv-LV"/>
              </w:rPr>
              <w:t>pamattiesību</w:t>
            </w:r>
            <w:proofErr w:type="spellEnd"/>
            <w:r w:rsidRPr="00894D21">
              <w:rPr>
                <w:rFonts w:ascii="Times New Roman" w:eastAsia="Times New Roman" w:hAnsi="Times New Roman" w:cs="Times New Roman"/>
                <w:sz w:val="24"/>
                <w:szCs w:val="24"/>
                <w:lang w:eastAsia="lv-LV"/>
              </w:rPr>
              <w:t xml:space="preserve">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EB7E3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w:t>
            </w:r>
            <w:proofErr w:type="spellStart"/>
            <w:r w:rsidRPr="00894D21">
              <w:rPr>
                <w:rFonts w:ascii="Times New Roman" w:eastAsia="Times New Roman" w:hAnsi="Times New Roman" w:cs="Times New Roman"/>
                <w:sz w:val="24"/>
                <w:szCs w:val="24"/>
                <w:lang w:eastAsia="lv-LV"/>
              </w:rPr>
              <w:t>pamattiesības</w:t>
            </w:r>
            <w:proofErr w:type="spellEnd"/>
            <w:r w:rsidRPr="00894D21">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426CA364" w14:textId="25F5AC01" w:rsidR="007D4BE3" w:rsidRDefault="006C3828" w:rsidP="00EB7E3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kuri darbojas apdrošināšanas un pārapdrošinā</w:t>
            </w:r>
            <w:r w:rsidR="00EB7E37">
              <w:rPr>
                <w:rFonts w:ascii="Times New Roman" w:eastAsia="Times New Roman" w:hAnsi="Times New Roman" w:cs="Times New Roman"/>
                <w:sz w:val="24"/>
                <w:szCs w:val="24"/>
                <w:lang w:eastAsia="lv-LV"/>
              </w:rPr>
              <w:t>ša</w:t>
            </w:r>
            <w:r w:rsidR="00B612BF">
              <w:rPr>
                <w:rFonts w:ascii="Times New Roman" w:eastAsia="Times New Roman" w:hAnsi="Times New Roman" w:cs="Times New Roman"/>
                <w:sz w:val="24"/>
                <w:szCs w:val="24"/>
                <w:lang w:eastAsia="lv-LV"/>
              </w:rPr>
              <w:t>nas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D32B74">
              <w:rPr>
                <w:rFonts w:ascii="Times New Roman" w:eastAsia="Times New Roman" w:hAnsi="Times New Roman" w:cs="Times New Roman"/>
                <w:sz w:val="24"/>
                <w:szCs w:val="24"/>
                <w:lang w:eastAsia="lv-LV"/>
              </w:rPr>
              <w:t>apdrošināto personu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p>
          <w:p w14:paraId="320BF953" w14:textId="08ECF2AF" w:rsidR="00185035" w:rsidRPr="00894D21" w:rsidRDefault="00185035" w:rsidP="007F0833">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Noteikumi ir nepieciešami, lai nodrošinātu </w:t>
            </w:r>
            <w:r w:rsidR="00B612BF" w:rsidRPr="009E52A2">
              <w:rPr>
                <w:rFonts w:ascii="Times New Roman" w:eastAsia="Times New Roman" w:hAnsi="Times New Roman" w:cs="Times New Roman"/>
                <w:sz w:val="24"/>
                <w:szCs w:val="24"/>
                <w:lang w:eastAsia="lv-LV"/>
              </w:rPr>
              <w:t>apdrošināšanas sabiedrīb</w:t>
            </w:r>
            <w:r w:rsidR="00634418">
              <w:rPr>
                <w:rFonts w:ascii="Times New Roman" w:eastAsia="Times New Roman" w:hAnsi="Times New Roman" w:cs="Times New Roman"/>
                <w:sz w:val="24"/>
                <w:szCs w:val="24"/>
                <w:lang w:eastAsia="lv-LV"/>
              </w:rPr>
              <w:t>u</w:t>
            </w:r>
            <w:r w:rsidR="00B612BF" w:rsidRPr="009E52A2">
              <w:rPr>
                <w:rFonts w:ascii="Times New Roman" w:eastAsia="Times New Roman" w:hAnsi="Times New Roman" w:cs="Times New Roman"/>
                <w:sz w:val="24"/>
                <w:szCs w:val="24"/>
                <w:lang w:eastAsia="lv-LV"/>
              </w:rPr>
              <w:t>, pārapdrošināšanas sabiedrīb</w:t>
            </w:r>
            <w:r w:rsidR="00634418">
              <w:rPr>
                <w:rFonts w:ascii="Times New Roman" w:eastAsia="Times New Roman" w:hAnsi="Times New Roman" w:cs="Times New Roman"/>
                <w:sz w:val="24"/>
                <w:szCs w:val="24"/>
                <w:lang w:eastAsia="lv-LV"/>
              </w:rPr>
              <w:t>u</w:t>
            </w:r>
            <w:r w:rsidR="00B612BF" w:rsidRPr="009E52A2">
              <w:rPr>
                <w:rFonts w:ascii="Times New Roman" w:eastAsia="Times New Roman" w:hAnsi="Times New Roman" w:cs="Times New Roman"/>
                <w:sz w:val="24"/>
                <w:szCs w:val="24"/>
                <w:lang w:eastAsia="lv-LV"/>
              </w:rPr>
              <w:t xml:space="preserve"> un ārvalsts </w:t>
            </w:r>
            <w:r w:rsidR="00B612BF" w:rsidRPr="009E52A2">
              <w:rPr>
                <w:rFonts w:ascii="Times New Roman" w:eastAsia="Times New Roman" w:hAnsi="Times New Roman" w:cs="Times New Roman"/>
                <w:sz w:val="24"/>
                <w:szCs w:val="24"/>
                <w:lang w:eastAsia="lv-LV"/>
              </w:rPr>
              <w:lastRenderedPageBreak/>
              <w:t>apdrošinātāj</w:t>
            </w:r>
            <w:r w:rsidR="00B612BF">
              <w:rPr>
                <w:rFonts w:ascii="Times New Roman" w:eastAsia="Times New Roman" w:hAnsi="Times New Roman" w:cs="Times New Roman"/>
                <w:sz w:val="24"/>
                <w:szCs w:val="24"/>
                <w:lang w:eastAsia="lv-LV"/>
              </w:rPr>
              <w:t>u</w:t>
            </w:r>
            <w:r w:rsidR="00B612BF" w:rsidRPr="009E52A2">
              <w:rPr>
                <w:rFonts w:ascii="Times New Roman" w:eastAsia="Times New Roman" w:hAnsi="Times New Roman" w:cs="Times New Roman"/>
                <w:sz w:val="24"/>
                <w:szCs w:val="24"/>
                <w:lang w:eastAsia="lv-LV"/>
              </w:rPr>
              <w:t xml:space="preserve"> filiā</w:t>
            </w:r>
            <w:r w:rsidR="00634418">
              <w:rPr>
                <w:rFonts w:ascii="Times New Roman" w:eastAsia="Times New Roman" w:hAnsi="Times New Roman" w:cs="Times New Roman"/>
                <w:sz w:val="24"/>
                <w:szCs w:val="24"/>
                <w:lang w:eastAsia="lv-LV"/>
              </w:rPr>
              <w:t>ļu</w:t>
            </w:r>
            <w:r w:rsidR="00B612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vienotu pieeju tehnisko rezervju aprēķināšanai un apstiprināšanai,</w:t>
            </w:r>
            <w:r w:rsidRPr="00F578A4">
              <w:rPr>
                <w:rFonts w:ascii="Times New Roman" w:hAnsi="Times New Roman" w:cs="Times New Roman"/>
                <w:sz w:val="24"/>
                <w:szCs w:val="24"/>
              </w:rPr>
              <w:t xml:space="preserve"> tehnisko rezervju aprēķināšanā izmantot</w:t>
            </w:r>
            <w:r>
              <w:rPr>
                <w:rFonts w:ascii="Times New Roman" w:hAnsi="Times New Roman" w:cs="Times New Roman"/>
                <w:sz w:val="24"/>
                <w:szCs w:val="24"/>
              </w:rPr>
              <w:t>o datu kvalitātes nodrošināšanai</w:t>
            </w:r>
            <w:r w:rsidRPr="00F578A4">
              <w:rPr>
                <w:rFonts w:ascii="Times New Roman" w:hAnsi="Times New Roman" w:cs="Times New Roman"/>
                <w:sz w:val="24"/>
                <w:szCs w:val="24"/>
              </w:rPr>
              <w:t>, apdrošināšanas un pārapdrošināšanas saistību segmentēšana</w:t>
            </w:r>
            <w:r>
              <w:rPr>
                <w:rFonts w:ascii="Times New Roman" w:hAnsi="Times New Roman" w:cs="Times New Roman"/>
                <w:sz w:val="24"/>
                <w:szCs w:val="24"/>
              </w:rPr>
              <w:t xml:space="preserve">i, </w:t>
            </w:r>
            <w:r w:rsidRPr="00F578A4">
              <w:rPr>
                <w:rFonts w:ascii="Times New Roman" w:hAnsi="Times New Roman" w:cs="Times New Roman"/>
                <w:sz w:val="24"/>
                <w:szCs w:val="24"/>
              </w:rPr>
              <w:t>kā arī apdrošināšanas un pārapdrošināšanas līgumu robežu noteikš</w:t>
            </w:r>
            <w:r>
              <w:rPr>
                <w:rFonts w:ascii="Times New Roman" w:hAnsi="Times New Roman" w:cs="Times New Roman"/>
                <w:sz w:val="24"/>
                <w:szCs w:val="24"/>
              </w:rPr>
              <w:t>anai</w:t>
            </w:r>
            <w:r w:rsidRPr="00F578A4">
              <w:rPr>
                <w:rFonts w:ascii="Times New Roman" w:hAnsi="Times New Roman" w:cs="Times New Roman"/>
                <w:sz w:val="24"/>
                <w:szCs w:val="24"/>
              </w:rPr>
              <w:t>.</w:t>
            </w:r>
          </w:p>
        </w:tc>
      </w:tr>
      <w:tr w:rsidR="006C3828" w:rsidRPr="00894D21" w14:paraId="1C6D72DB" w14:textId="77777777" w:rsidTr="00780E7D">
        <w:trPr>
          <w:trHeight w:val="567"/>
        </w:trPr>
        <w:tc>
          <w:tcPr>
            <w:tcW w:w="1166" w:type="pct"/>
            <w:shd w:val="clear" w:color="auto" w:fill="auto"/>
            <w:hideMark/>
          </w:tcPr>
          <w:p w14:paraId="1B9C7D28"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70DF230" w14:textId="0526D901" w:rsidR="007C5300" w:rsidRDefault="007C5300"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tiek izdoti, lai 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 darbības uzraudzību</w:t>
            </w:r>
            <w:r w:rsidR="00185035">
              <w:rPr>
                <w:rFonts w:ascii="Times New Roman" w:eastAsia="Times New Roman" w:hAnsi="Times New Roman" w:cs="Times New Roman"/>
                <w:sz w:val="24"/>
                <w:szCs w:val="24"/>
                <w:lang w:eastAsia="lv-LV"/>
              </w:rPr>
              <w:t>.</w:t>
            </w:r>
          </w:p>
          <w:p w14:paraId="5D689694" w14:textId="7A7D236C" w:rsidR="00185035" w:rsidRPr="00185035" w:rsidRDefault="00185035" w:rsidP="0018503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oteikumi papildina Apdrošināšanas un pārapdrošināšanas likumā un Eiropas Savienības tieši piemērojamos tiesību aktos noteiktās prasības ar mērķi nodrošināt vienotu pieeju tehnisko rezervju aprēķināšan</w:t>
            </w:r>
            <w:r w:rsidR="00EB7E37">
              <w:rPr>
                <w:rFonts w:ascii="Times New Roman" w:eastAsia="Times New Roman" w:hAnsi="Times New Roman" w:cs="Times New Roman"/>
                <w:sz w:val="24"/>
                <w:szCs w:val="24"/>
                <w:lang w:eastAsia="lv-LV"/>
              </w:rPr>
              <w:t>ai</w:t>
            </w:r>
            <w:r w:rsidRPr="00185035">
              <w:rPr>
                <w:rFonts w:ascii="Times New Roman" w:eastAsia="Times New Roman" w:hAnsi="Times New Roman" w:cs="Times New Roman"/>
                <w:sz w:val="24"/>
                <w:szCs w:val="24"/>
                <w:lang w:eastAsia="lv-LV"/>
              </w:rPr>
              <w:t xml:space="preserve"> un apstiprināšan</w:t>
            </w:r>
            <w:r w:rsidR="00EB7E37">
              <w:rPr>
                <w:rFonts w:ascii="Times New Roman" w:eastAsia="Times New Roman" w:hAnsi="Times New Roman" w:cs="Times New Roman"/>
                <w:sz w:val="24"/>
                <w:szCs w:val="24"/>
                <w:lang w:eastAsia="lv-LV"/>
              </w:rPr>
              <w:t>ai</w:t>
            </w:r>
            <w:r w:rsidR="00B612BF">
              <w:rPr>
                <w:rFonts w:ascii="Times New Roman" w:eastAsia="Times New Roman" w:hAnsi="Times New Roman" w:cs="Times New Roman"/>
                <w:sz w:val="24"/>
                <w:szCs w:val="24"/>
                <w:lang w:eastAsia="lv-LV"/>
              </w:rPr>
              <w:t xml:space="preserve">, </w:t>
            </w:r>
            <w:r w:rsidR="00B612BF" w:rsidRPr="00F578A4">
              <w:rPr>
                <w:rFonts w:ascii="Times New Roman" w:hAnsi="Times New Roman" w:cs="Times New Roman"/>
                <w:sz w:val="24"/>
                <w:szCs w:val="24"/>
              </w:rPr>
              <w:t>tehnisko rezervju aprēķināšanā izmantot</w:t>
            </w:r>
            <w:r w:rsidR="00B612BF">
              <w:rPr>
                <w:rFonts w:ascii="Times New Roman" w:hAnsi="Times New Roman" w:cs="Times New Roman"/>
                <w:sz w:val="24"/>
                <w:szCs w:val="24"/>
              </w:rPr>
              <w:t>o datu kvalitātes nodrošināšan</w:t>
            </w:r>
            <w:r w:rsidR="00EB7E37">
              <w:rPr>
                <w:rFonts w:ascii="Times New Roman" w:hAnsi="Times New Roman" w:cs="Times New Roman"/>
                <w:sz w:val="24"/>
                <w:szCs w:val="24"/>
              </w:rPr>
              <w:t>ai</w:t>
            </w:r>
            <w:r w:rsidR="00B612BF" w:rsidRPr="00F578A4">
              <w:rPr>
                <w:rFonts w:ascii="Times New Roman" w:hAnsi="Times New Roman" w:cs="Times New Roman"/>
                <w:sz w:val="24"/>
                <w:szCs w:val="24"/>
              </w:rPr>
              <w:t>, apdrošināšanas un pārapdrošināšanas saistību segmentēšan</w:t>
            </w:r>
            <w:r w:rsidR="00EB7E37">
              <w:rPr>
                <w:rFonts w:ascii="Times New Roman" w:hAnsi="Times New Roman" w:cs="Times New Roman"/>
                <w:sz w:val="24"/>
                <w:szCs w:val="24"/>
              </w:rPr>
              <w:t>ai</w:t>
            </w:r>
            <w:r w:rsidR="00B612BF">
              <w:rPr>
                <w:rFonts w:ascii="Times New Roman" w:hAnsi="Times New Roman" w:cs="Times New Roman"/>
                <w:sz w:val="24"/>
                <w:szCs w:val="24"/>
              </w:rPr>
              <w:t xml:space="preserve">, </w:t>
            </w:r>
            <w:r w:rsidR="00B612BF" w:rsidRPr="00F578A4">
              <w:rPr>
                <w:rFonts w:ascii="Times New Roman" w:hAnsi="Times New Roman" w:cs="Times New Roman"/>
                <w:sz w:val="24"/>
                <w:szCs w:val="24"/>
              </w:rPr>
              <w:t>kā arī apdrošināšanas un pārapdrošināšanas līgumu robežu noteikš</w:t>
            </w:r>
            <w:r w:rsidR="00B612BF">
              <w:rPr>
                <w:rFonts w:ascii="Times New Roman" w:hAnsi="Times New Roman" w:cs="Times New Roman"/>
                <w:sz w:val="24"/>
                <w:szCs w:val="24"/>
              </w:rPr>
              <w:t>an</w:t>
            </w:r>
            <w:r w:rsidR="00EB7E37">
              <w:rPr>
                <w:rFonts w:ascii="Times New Roman" w:hAnsi="Times New Roman" w:cs="Times New Roman"/>
                <w:sz w:val="24"/>
                <w:szCs w:val="24"/>
              </w:rPr>
              <w:t>ai</w:t>
            </w:r>
            <w:r w:rsidRPr="00185035">
              <w:rPr>
                <w:rFonts w:ascii="Times New Roman" w:eastAsia="Times New Roman" w:hAnsi="Times New Roman" w:cs="Times New Roman"/>
                <w:sz w:val="24"/>
                <w:szCs w:val="24"/>
                <w:lang w:eastAsia="lv-LV"/>
              </w:rPr>
              <w:t>.</w:t>
            </w:r>
          </w:p>
          <w:p w14:paraId="780B149B" w14:textId="2DC4D02F" w:rsidR="00185035" w:rsidRDefault="00185035" w:rsidP="00185035">
            <w:pPr>
              <w:spacing w:after="120" w:line="240" w:lineRule="auto"/>
              <w:jc w:val="both"/>
              <w:rPr>
                <w:rFonts w:ascii="Times New Roman" w:eastAsia="Times New Roman" w:hAnsi="Times New Roman" w:cs="Times New Roman"/>
                <w:sz w:val="24"/>
                <w:szCs w:val="24"/>
                <w:lang w:eastAsia="lv-LV"/>
              </w:rPr>
            </w:pPr>
            <w:r w:rsidRPr="00185035">
              <w:rPr>
                <w:rFonts w:ascii="Times New Roman" w:eastAsia="Times New Roman" w:hAnsi="Times New Roman" w:cs="Times New Roman"/>
                <w:sz w:val="24"/>
                <w:szCs w:val="24"/>
                <w:lang w:eastAsia="lv-LV"/>
              </w:rPr>
              <w:t xml:space="preserve">Atbilstošākais veids, kā noteikt </w:t>
            </w:r>
            <w:r w:rsidR="00B612BF">
              <w:rPr>
                <w:rFonts w:ascii="Times New Roman" w:eastAsia="Times New Roman" w:hAnsi="Times New Roman" w:cs="Times New Roman"/>
                <w:sz w:val="24"/>
                <w:szCs w:val="24"/>
                <w:lang w:eastAsia="lv-LV"/>
              </w:rPr>
              <w:t xml:space="preserve">finanšu </w:t>
            </w:r>
            <w:r w:rsidRPr="00185035">
              <w:rPr>
                <w:rFonts w:ascii="Times New Roman" w:eastAsia="Times New Roman" w:hAnsi="Times New Roman" w:cs="Times New Roman"/>
                <w:sz w:val="24"/>
                <w:szCs w:val="24"/>
                <w:lang w:eastAsia="lv-LV"/>
              </w:rPr>
              <w:t>tirgus dalībniekiem</w:t>
            </w:r>
            <w:r w:rsidR="00B612BF">
              <w:rPr>
                <w:rFonts w:ascii="Times New Roman" w:eastAsia="Times New Roman" w:hAnsi="Times New Roman" w:cs="Times New Roman"/>
                <w:sz w:val="24"/>
                <w:szCs w:val="24"/>
                <w:lang w:eastAsia="lv-LV"/>
              </w:rPr>
              <w:t>, kuri darbojas apdrošināšanas un pārapdrošinā</w:t>
            </w:r>
            <w:r w:rsidR="00A05461">
              <w:rPr>
                <w:rFonts w:ascii="Times New Roman" w:eastAsia="Times New Roman" w:hAnsi="Times New Roman" w:cs="Times New Roman"/>
                <w:sz w:val="24"/>
                <w:szCs w:val="24"/>
                <w:lang w:eastAsia="lv-LV"/>
              </w:rPr>
              <w:t>ša</w:t>
            </w:r>
            <w:r w:rsidR="00B612BF">
              <w:rPr>
                <w:rFonts w:ascii="Times New Roman" w:eastAsia="Times New Roman" w:hAnsi="Times New Roman" w:cs="Times New Roman"/>
                <w:sz w:val="24"/>
                <w:szCs w:val="24"/>
                <w:lang w:eastAsia="lv-LV"/>
              </w:rPr>
              <w:t>nas jomā,</w:t>
            </w:r>
            <w:r w:rsidRPr="00185035">
              <w:rPr>
                <w:rFonts w:ascii="Times New Roman" w:eastAsia="Times New Roman" w:hAnsi="Times New Roman" w:cs="Times New Roman"/>
                <w:sz w:val="24"/>
                <w:szCs w:val="24"/>
                <w:lang w:eastAsia="lv-LV"/>
              </w:rPr>
              <w:t xml:space="preserve"> vienotas un saistošas prasības, ir izdot tiem saistošus noteikumus. Citas alternatīvas jautājuma noregulēšanai un vienotu prasību noteikšanai nebūtu efektīvas un nesasniegtu izvirzīto mērķi, jo nenodrošinātu vienotu pieeju tehnisko rezervju aprēķināšanai un apstiprināšanai, tehnisko rezervju aprēķināšanā izmantoto datu kvalitātes nodrošināšanai, apdrošināšanas un pārapdrošināšanas saistību segmentēšanai, kā arī apdrošināšanas un pārapdrošināšanas līgumu robežu noteikšanai.</w:t>
            </w:r>
            <w:r>
              <w:rPr>
                <w:rFonts w:ascii="Times New Roman" w:eastAsia="Times New Roman" w:hAnsi="Times New Roman" w:cs="Times New Roman"/>
                <w:sz w:val="24"/>
                <w:szCs w:val="24"/>
                <w:lang w:eastAsia="lv-LV"/>
              </w:rPr>
              <w:t xml:space="preserve"> </w:t>
            </w:r>
          </w:p>
          <w:p w14:paraId="29E6F5B9" w14:textId="09471568" w:rsidR="00C071E2" w:rsidRPr="00894D21" w:rsidRDefault="0022793C" w:rsidP="0018503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2DDBFB53"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bookmarkStart w:id="3" w:name="_Hlk129966404"/>
            <w:r w:rsidRPr="00894D21">
              <w:rPr>
                <w:rFonts w:ascii="Times New Roman" w:eastAsia="Times New Roman" w:hAnsi="Times New Roman" w:cs="Times New Roman"/>
                <w:b/>
                <w:bCs/>
                <w:sz w:val="24"/>
                <w:szCs w:val="24"/>
                <w:lang w:eastAsia="lv-LV"/>
              </w:rPr>
              <w:t>Spēkā stāšanās</w:t>
            </w:r>
          </w:p>
          <w:bookmarkEnd w:id="3"/>
          <w:p w14:paraId="6B4568B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0CFB602" w14:textId="51731106"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w:t>
            </w:r>
            <w:r w:rsidR="00EB7E37">
              <w:rPr>
                <w:rFonts w:ascii="Times New Roman" w:eastAsia="Times New Roman" w:hAnsi="Times New Roman" w:cs="Times New Roman"/>
                <w:sz w:val="24"/>
                <w:szCs w:val="24"/>
                <w:lang w:eastAsia="lv-LV"/>
              </w:rPr>
              <w:t>i</w:t>
            </w:r>
            <w:r w:rsidRPr="00894D21">
              <w:rPr>
                <w:rFonts w:ascii="Times New Roman" w:eastAsia="Times New Roman" w:hAnsi="Times New Roman" w:cs="Times New Roman"/>
                <w:sz w:val="24"/>
                <w:szCs w:val="24"/>
                <w:lang w:eastAsia="lv-LV"/>
              </w:rPr>
              <w:t xml:space="preserve"> stāsies spēkā </w:t>
            </w:r>
            <w:r w:rsidR="00185035">
              <w:rPr>
                <w:rFonts w:ascii="Times New Roman" w:eastAsia="Times New Roman" w:hAnsi="Times New Roman" w:cs="Times New Roman"/>
                <w:sz w:val="24"/>
                <w:szCs w:val="24"/>
                <w:lang w:eastAsia="lv-LV"/>
              </w:rPr>
              <w:t xml:space="preserve">nākamajā dienā pēc </w:t>
            </w:r>
            <w:r w:rsidR="00EB7E37">
              <w:rPr>
                <w:rFonts w:ascii="Times New Roman" w:eastAsia="Times New Roman" w:hAnsi="Times New Roman" w:cs="Times New Roman"/>
                <w:sz w:val="24"/>
                <w:szCs w:val="24"/>
                <w:lang w:eastAsia="lv-LV"/>
              </w:rPr>
              <w:t xml:space="preserve">to </w:t>
            </w:r>
            <w:r w:rsidR="00185035">
              <w:rPr>
                <w:rFonts w:ascii="Times New Roman" w:eastAsia="Times New Roman" w:hAnsi="Times New Roman" w:cs="Times New Roman"/>
                <w:sz w:val="24"/>
                <w:szCs w:val="24"/>
                <w:lang w:eastAsia="lv-LV"/>
              </w:rPr>
              <w:t xml:space="preserve">publicēšanas oficiālajā izdevumā </w:t>
            </w:r>
            <w:r w:rsidR="00185035" w:rsidRPr="00955A54">
              <w:rPr>
                <w:rFonts w:ascii="Times New Roman" w:eastAsia="Times New Roman" w:hAnsi="Times New Roman" w:cs="Times New Roman"/>
                <w:sz w:val="24"/>
                <w:szCs w:val="24"/>
              </w:rPr>
              <w:t>"</w:t>
            </w:r>
            <w:r w:rsidR="00185035">
              <w:rPr>
                <w:rFonts w:ascii="Times New Roman" w:eastAsia="Times New Roman" w:hAnsi="Times New Roman" w:cs="Times New Roman"/>
                <w:sz w:val="24"/>
                <w:szCs w:val="24"/>
              </w:rPr>
              <w:t>Latvijas Vēstnesis</w:t>
            </w:r>
            <w:r w:rsidR="00185035" w:rsidRPr="00955A54">
              <w:rPr>
                <w:rFonts w:ascii="Times New Roman" w:eastAsia="Times New Roman" w:hAnsi="Times New Roman" w:cs="Times New Roman"/>
                <w:sz w:val="24"/>
                <w:szCs w:val="24"/>
              </w:rPr>
              <w:t>"</w:t>
            </w:r>
            <w:r w:rsidR="009E0BDF">
              <w:rPr>
                <w:rFonts w:ascii="Times New Roman" w:eastAsia="Times New Roman" w:hAnsi="Times New Roman" w:cs="Times New Roman"/>
                <w:sz w:val="24"/>
                <w:szCs w:val="24"/>
                <w:lang w:eastAsia="lv-LV"/>
              </w:rPr>
              <w:t>.</w:t>
            </w:r>
          </w:p>
        </w:tc>
      </w:tr>
      <w:tr w:rsidR="006C3828" w:rsidRPr="00894D21" w14:paraId="0DEA2EE8" w14:textId="77777777" w:rsidTr="00780E7D">
        <w:trPr>
          <w:trHeight w:val="567"/>
        </w:trPr>
        <w:tc>
          <w:tcPr>
            <w:tcW w:w="1166" w:type="pct"/>
            <w:shd w:val="clear" w:color="auto" w:fill="auto"/>
            <w:hideMark/>
          </w:tcPr>
          <w:p w14:paraId="0ABBEC6F"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0C919A9"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6C162AD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bookmarkStart w:id="4"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4"/>
          <w:p w14:paraId="29762232"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FDE5294" w14:textId="4661037F" w:rsidR="006C3828" w:rsidRPr="00894D21" w:rsidRDefault="00DF5BA7"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sidR="00F4369C">
              <w:rPr>
                <w:rFonts w:ascii="Times New Roman" w:eastAsia="Times New Roman" w:hAnsi="Times New Roman" w:cs="Times New Roman"/>
                <w:sz w:val="24"/>
                <w:szCs w:val="24"/>
                <w:lang w:eastAsia="lv-LV"/>
              </w:rPr>
              <w:t>as</w:t>
            </w:r>
            <w:r w:rsidR="00500264">
              <w:rPr>
                <w:rFonts w:ascii="Times New Roman" w:eastAsia="Times New Roman" w:hAnsi="Times New Roman" w:cs="Times New Roman"/>
                <w:sz w:val="24"/>
                <w:szCs w:val="24"/>
                <w:lang w:eastAsia="lv-LV"/>
              </w:rPr>
              <w:t xml:space="preserve">, jo </w:t>
            </w:r>
            <w:r w:rsidR="00500264" w:rsidRPr="00894D21">
              <w:rPr>
                <w:rFonts w:ascii="Times New Roman" w:eastAsia="Times New Roman" w:hAnsi="Times New Roman" w:cs="Times New Roman"/>
                <w:sz w:val="24"/>
                <w:szCs w:val="24"/>
                <w:lang w:eastAsia="lv-LV"/>
              </w:rPr>
              <w:t xml:space="preserve">noteikumu projekts neprasa </w:t>
            </w:r>
            <w:r w:rsidRPr="00DF5BA7">
              <w:rPr>
                <w:rFonts w:ascii="Times New Roman" w:eastAsia="Times New Roman" w:hAnsi="Times New Roman" w:cs="Times New Roman"/>
                <w:sz w:val="24"/>
                <w:szCs w:val="24"/>
                <w:lang w:eastAsia="lv-LV"/>
              </w:rPr>
              <w:t xml:space="preserve">apdrošināšanas sabiedrībām </w:t>
            </w:r>
            <w:r>
              <w:rPr>
                <w:rFonts w:ascii="Times New Roman" w:eastAsia="Times New Roman" w:hAnsi="Times New Roman" w:cs="Times New Roman"/>
                <w:sz w:val="24"/>
                <w:szCs w:val="24"/>
                <w:lang w:eastAsia="lv-LV"/>
              </w:rPr>
              <w:t>ieviest</w:t>
            </w:r>
            <w:r w:rsidR="00500264" w:rsidRPr="00894D21">
              <w:rPr>
                <w:rFonts w:ascii="Times New Roman" w:eastAsia="Times New Roman" w:hAnsi="Times New Roman" w:cs="Times New Roman"/>
                <w:sz w:val="24"/>
                <w:szCs w:val="24"/>
                <w:lang w:eastAsia="lv-LV"/>
              </w:rPr>
              <w:t xml:space="preserve"> jaunus procesus </w:t>
            </w:r>
            <w:r>
              <w:rPr>
                <w:rFonts w:ascii="Times New Roman" w:eastAsia="Times New Roman" w:hAnsi="Times New Roman" w:cs="Times New Roman"/>
                <w:sz w:val="24"/>
                <w:szCs w:val="24"/>
                <w:lang w:eastAsia="lv-LV"/>
              </w:rPr>
              <w:t>a</w:t>
            </w:r>
            <w:r w:rsidRPr="00DF5BA7">
              <w:rPr>
                <w:rFonts w:ascii="Times New Roman" w:eastAsia="Times New Roman" w:hAnsi="Times New Roman" w:cs="Times New Roman"/>
                <w:sz w:val="24"/>
                <w:szCs w:val="24"/>
                <w:lang w:eastAsia="lv-LV"/>
              </w:rPr>
              <w:t>pdrošināšanas līguma robežu noteikšanas princip</w:t>
            </w:r>
            <w:r>
              <w:rPr>
                <w:rFonts w:ascii="Times New Roman" w:eastAsia="Times New Roman" w:hAnsi="Times New Roman" w:cs="Times New Roman"/>
                <w:sz w:val="24"/>
                <w:szCs w:val="24"/>
                <w:lang w:eastAsia="lv-LV"/>
              </w:rPr>
              <w:t>u</w:t>
            </w:r>
            <w:r w:rsidRPr="00DF5BA7">
              <w:rPr>
                <w:rFonts w:ascii="Times New Roman" w:eastAsia="Times New Roman" w:hAnsi="Times New Roman" w:cs="Times New Roman"/>
                <w:sz w:val="24"/>
                <w:szCs w:val="24"/>
                <w:lang w:eastAsia="lv-LV"/>
              </w:rPr>
              <w:t xml:space="preserve"> un tehnisko rezervju aprēķināšanas pamatprincip</w:t>
            </w:r>
            <w:r>
              <w:rPr>
                <w:rFonts w:ascii="Times New Roman" w:eastAsia="Times New Roman" w:hAnsi="Times New Roman" w:cs="Times New Roman"/>
                <w:sz w:val="24"/>
                <w:szCs w:val="24"/>
                <w:lang w:eastAsia="lv-LV"/>
              </w:rPr>
              <w:t xml:space="preserve">u </w:t>
            </w:r>
            <w:r w:rsidR="00634418">
              <w:rPr>
                <w:rFonts w:ascii="Times New Roman" w:eastAsia="Times New Roman" w:hAnsi="Times New Roman" w:cs="Times New Roman"/>
                <w:sz w:val="24"/>
                <w:szCs w:val="24"/>
                <w:lang w:eastAsia="lv-LV"/>
              </w:rPr>
              <w:t>ievērošanai</w:t>
            </w:r>
            <w:r>
              <w:rPr>
                <w:rFonts w:ascii="Times New Roman" w:eastAsia="Times New Roman" w:hAnsi="Times New Roman" w:cs="Times New Roman"/>
                <w:sz w:val="24"/>
                <w:szCs w:val="24"/>
                <w:lang w:eastAsia="lv-LV"/>
              </w:rPr>
              <w:t>, bet gan precizē jau pašlaik spēkā esošās prasības.</w:t>
            </w:r>
            <w:r w:rsidR="00500264" w:rsidRPr="00894D21">
              <w:rPr>
                <w:rFonts w:ascii="Times New Roman" w:eastAsia="Times New Roman" w:hAnsi="Times New Roman" w:cs="Times New Roman"/>
                <w:sz w:val="24"/>
                <w:szCs w:val="24"/>
                <w:lang w:eastAsia="lv-LV"/>
              </w:rPr>
              <w:t xml:space="preserve"> </w:t>
            </w:r>
          </w:p>
        </w:tc>
      </w:tr>
      <w:tr w:rsidR="006C3828" w:rsidRPr="00894D21" w14:paraId="7C375F90" w14:textId="77777777" w:rsidTr="00780E7D">
        <w:trPr>
          <w:trHeight w:val="567"/>
        </w:trPr>
        <w:tc>
          <w:tcPr>
            <w:tcW w:w="1166" w:type="pct"/>
            <w:shd w:val="clear" w:color="auto" w:fill="auto"/>
            <w:hideMark/>
          </w:tcPr>
          <w:p w14:paraId="636CB18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E3550BE" w14:textId="637F123F" w:rsidR="00894D21" w:rsidRPr="00D53AC5" w:rsidRDefault="00894D21" w:rsidP="00B917A7">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58BF5D2D" w:rsidR="006A1E74" w:rsidRPr="00894D21" w:rsidRDefault="00901F92" w:rsidP="00780E7D">
            <w:pPr>
              <w:pStyle w:val="ListParagraph"/>
              <w:numPr>
                <w:ilvl w:val="0"/>
                <w:numId w:val="6"/>
              </w:numPr>
              <w:tabs>
                <w:tab w:val="left" w:pos="420"/>
              </w:tabs>
              <w:spacing w:after="0" w:line="240" w:lineRule="auto"/>
              <w:ind w:left="33"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4A5837B2" w14:textId="73C2EA05" w:rsidR="00901F92" w:rsidRPr="00901F92" w:rsidRDefault="00901F92" w:rsidP="00780E7D">
            <w:pPr>
              <w:pStyle w:val="ListParagraph"/>
              <w:numPr>
                <w:ilvl w:val="0"/>
                <w:numId w:val="6"/>
              </w:numPr>
              <w:tabs>
                <w:tab w:val="left" w:pos="420"/>
              </w:tabs>
              <w:spacing w:after="0" w:line="240" w:lineRule="auto"/>
              <w:ind w:left="33"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lastRenderedPageBreak/>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DF5BA7">
              <w:rPr>
                <w:rFonts w:ascii="Times New Roman" w:eastAsia="Times New Roman" w:hAnsi="Times New Roman" w:cs="Times New Roman"/>
                <w:sz w:val="24"/>
                <w:szCs w:val="24"/>
                <w:lang w:eastAsia="lv-LV"/>
              </w:rPr>
              <w:t>87</w:t>
            </w:r>
            <w:r>
              <w:rPr>
                <w:rFonts w:ascii="Times New Roman" w:eastAsia="Times New Roman" w:hAnsi="Times New Roman" w:cs="Times New Roman"/>
                <w:sz w:val="24"/>
                <w:szCs w:val="24"/>
                <w:lang w:eastAsia="lv-LV"/>
              </w:rPr>
              <w:t>;</w:t>
            </w:r>
          </w:p>
          <w:p w14:paraId="07FB5004" w14:textId="4696EBB8" w:rsidR="00DF5BA7" w:rsidRDefault="00DF5BA7" w:rsidP="00780E7D">
            <w:pPr>
              <w:pStyle w:val="ListParagraph"/>
              <w:numPr>
                <w:ilvl w:val="0"/>
                <w:numId w:val="6"/>
              </w:numPr>
              <w:tabs>
                <w:tab w:val="left" w:pos="420"/>
              </w:tabs>
              <w:spacing w:after="120" w:line="240" w:lineRule="auto"/>
              <w:ind w:left="34" w:firstLine="0"/>
              <w:jc w:val="both"/>
              <w:rPr>
                <w:rFonts w:ascii="Times New Roman" w:hAnsi="Times New Roman" w:cs="Times New Roman"/>
                <w:sz w:val="24"/>
                <w:szCs w:val="24"/>
              </w:rPr>
            </w:pPr>
            <w:r>
              <w:rPr>
                <w:rFonts w:ascii="Times New Roman" w:hAnsi="Times New Roman" w:cs="Times New Roman"/>
                <w:sz w:val="24"/>
                <w:szCs w:val="24"/>
              </w:rPr>
              <w:t>EA</w:t>
            </w:r>
            <w:r w:rsidR="0022793C">
              <w:rPr>
                <w:rFonts w:ascii="Times New Roman" w:hAnsi="Times New Roman" w:cs="Times New Roman"/>
                <w:sz w:val="24"/>
                <w:szCs w:val="24"/>
              </w:rPr>
              <w:t>API</w:t>
            </w:r>
            <w:r>
              <w:rPr>
                <w:rFonts w:ascii="Times New Roman" w:hAnsi="Times New Roman" w:cs="Times New Roman"/>
                <w:sz w:val="24"/>
                <w:szCs w:val="24"/>
              </w:rPr>
              <w:t xml:space="preserve"> </w:t>
            </w:r>
            <w:r w:rsidRPr="00DF5BA7">
              <w:rPr>
                <w:rFonts w:ascii="Times New Roman" w:hAnsi="Times New Roman" w:cs="Times New Roman"/>
                <w:sz w:val="24"/>
                <w:szCs w:val="24"/>
              </w:rPr>
              <w:t>2015.</w:t>
            </w:r>
            <w:r w:rsidR="00780E7D">
              <w:rPr>
                <w:rFonts w:ascii="Times New Roman" w:hAnsi="Times New Roman" w:cs="Times New Roman"/>
                <w:sz w:val="24"/>
                <w:szCs w:val="24"/>
              </w:rPr>
              <w:t> </w:t>
            </w:r>
            <w:r w:rsidRPr="00DF5BA7">
              <w:rPr>
                <w:rFonts w:ascii="Times New Roman" w:hAnsi="Times New Roman" w:cs="Times New Roman"/>
                <w:sz w:val="24"/>
                <w:szCs w:val="24"/>
              </w:rPr>
              <w:t>gada 2.</w:t>
            </w:r>
            <w:r w:rsidR="00780E7D">
              <w:rPr>
                <w:rFonts w:ascii="Times New Roman" w:hAnsi="Times New Roman" w:cs="Times New Roman"/>
                <w:sz w:val="24"/>
                <w:szCs w:val="24"/>
              </w:rPr>
              <w:t> </w:t>
            </w:r>
            <w:r w:rsidRPr="00DF5BA7">
              <w:rPr>
                <w:rFonts w:ascii="Times New Roman" w:hAnsi="Times New Roman" w:cs="Times New Roman"/>
                <w:sz w:val="24"/>
                <w:szCs w:val="24"/>
              </w:rPr>
              <w:t>februāra pamatnostādnes Nr.</w:t>
            </w:r>
            <w:r w:rsidR="00780E7D">
              <w:rPr>
                <w:rFonts w:ascii="Times New Roman" w:hAnsi="Times New Roman" w:cs="Times New Roman"/>
                <w:sz w:val="24"/>
                <w:szCs w:val="24"/>
              </w:rPr>
              <w:t> </w:t>
            </w:r>
            <w:r w:rsidRPr="00DF5BA7">
              <w:rPr>
                <w:rFonts w:ascii="Times New Roman" w:hAnsi="Times New Roman" w:cs="Times New Roman"/>
                <w:sz w:val="24"/>
                <w:szCs w:val="24"/>
              </w:rPr>
              <w:t>EIOPA</w:t>
            </w:r>
            <w:r w:rsidR="00780E7D">
              <w:rPr>
                <w:rFonts w:ascii="Times New Roman" w:hAnsi="Times New Roman" w:cs="Times New Roman"/>
                <w:sz w:val="24"/>
                <w:szCs w:val="24"/>
              </w:rPr>
              <w:noBreakHyphen/>
            </w:r>
            <w:r w:rsidRPr="00DF5BA7">
              <w:rPr>
                <w:rFonts w:ascii="Times New Roman" w:hAnsi="Times New Roman" w:cs="Times New Roman"/>
                <w:sz w:val="24"/>
                <w:szCs w:val="24"/>
              </w:rPr>
              <w:t>BoS</w:t>
            </w:r>
            <w:r w:rsidR="00780E7D">
              <w:rPr>
                <w:rFonts w:ascii="Times New Roman" w:hAnsi="Times New Roman" w:cs="Times New Roman"/>
                <w:sz w:val="24"/>
                <w:szCs w:val="24"/>
              </w:rPr>
              <w:noBreakHyphen/>
            </w:r>
            <w:r w:rsidRPr="00DF5BA7">
              <w:rPr>
                <w:rFonts w:ascii="Times New Roman" w:hAnsi="Times New Roman" w:cs="Times New Roman"/>
                <w:sz w:val="24"/>
                <w:szCs w:val="24"/>
              </w:rPr>
              <w:t>14/165</w:t>
            </w:r>
            <w:r w:rsidR="00780E7D">
              <w:rPr>
                <w:rFonts w:ascii="Times New Roman" w:hAnsi="Times New Roman" w:cs="Times New Roman"/>
                <w:sz w:val="24"/>
                <w:szCs w:val="24"/>
              </w:rPr>
              <w:t> </w:t>
            </w:r>
            <w:r w:rsidRPr="00DF5BA7">
              <w:rPr>
                <w:rFonts w:ascii="Times New Roman" w:hAnsi="Times New Roman" w:cs="Times New Roman"/>
                <w:sz w:val="24"/>
                <w:szCs w:val="24"/>
              </w:rPr>
              <w:t>LV "Pamatnostādnes par līguma robežām"</w:t>
            </w:r>
            <w:r>
              <w:rPr>
                <w:rFonts w:ascii="Times New Roman" w:hAnsi="Times New Roman" w:cs="Times New Roman"/>
                <w:sz w:val="24"/>
                <w:szCs w:val="24"/>
              </w:rPr>
              <w:t>;</w:t>
            </w:r>
          </w:p>
          <w:p w14:paraId="71FB1DF1" w14:textId="6F301CBC" w:rsidR="00DF5BA7" w:rsidRDefault="00DF5BA7" w:rsidP="00780E7D">
            <w:pPr>
              <w:pStyle w:val="ListParagraph"/>
              <w:numPr>
                <w:ilvl w:val="0"/>
                <w:numId w:val="6"/>
              </w:numPr>
              <w:tabs>
                <w:tab w:val="left" w:pos="420"/>
              </w:tabs>
              <w:spacing w:after="120" w:line="240" w:lineRule="auto"/>
              <w:ind w:left="34" w:firstLine="0"/>
              <w:jc w:val="both"/>
              <w:rPr>
                <w:rFonts w:ascii="Times New Roman" w:hAnsi="Times New Roman" w:cs="Times New Roman"/>
                <w:sz w:val="24"/>
                <w:szCs w:val="24"/>
              </w:rPr>
            </w:pPr>
            <w:r w:rsidRPr="00DF5BA7">
              <w:rPr>
                <w:rFonts w:ascii="Times New Roman" w:hAnsi="Times New Roman" w:cs="Times New Roman"/>
                <w:sz w:val="24"/>
                <w:szCs w:val="24"/>
              </w:rPr>
              <w:t xml:space="preserve"> EA</w:t>
            </w:r>
            <w:r w:rsidR="0022793C">
              <w:rPr>
                <w:rFonts w:ascii="Times New Roman" w:hAnsi="Times New Roman" w:cs="Times New Roman"/>
                <w:sz w:val="24"/>
                <w:szCs w:val="24"/>
              </w:rPr>
              <w:t>API</w:t>
            </w:r>
            <w:r w:rsidRPr="00DF5BA7">
              <w:rPr>
                <w:rFonts w:ascii="Times New Roman" w:hAnsi="Times New Roman" w:cs="Times New Roman"/>
                <w:sz w:val="24"/>
                <w:szCs w:val="24"/>
              </w:rPr>
              <w:t xml:space="preserve"> 2015.</w:t>
            </w:r>
            <w:r w:rsidR="00780E7D">
              <w:rPr>
                <w:rFonts w:ascii="Times New Roman" w:hAnsi="Times New Roman" w:cs="Times New Roman"/>
                <w:sz w:val="24"/>
                <w:szCs w:val="24"/>
              </w:rPr>
              <w:t> </w:t>
            </w:r>
            <w:r w:rsidRPr="00DF5BA7">
              <w:rPr>
                <w:rFonts w:ascii="Times New Roman" w:hAnsi="Times New Roman" w:cs="Times New Roman"/>
                <w:sz w:val="24"/>
                <w:szCs w:val="24"/>
              </w:rPr>
              <w:t>gada 2.</w:t>
            </w:r>
            <w:r w:rsidR="00780E7D">
              <w:rPr>
                <w:rFonts w:ascii="Times New Roman" w:hAnsi="Times New Roman" w:cs="Times New Roman"/>
                <w:sz w:val="24"/>
                <w:szCs w:val="24"/>
              </w:rPr>
              <w:t> </w:t>
            </w:r>
            <w:r w:rsidRPr="00DF5BA7">
              <w:rPr>
                <w:rFonts w:ascii="Times New Roman" w:hAnsi="Times New Roman" w:cs="Times New Roman"/>
                <w:sz w:val="24"/>
                <w:szCs w:val="24"/>
              </w:rPr>
              <w:t>februāra pamatnostādnes Nr.</w:t>
            </w:r>
            <w:r w:rsidR="00780E7D">
              <w:rPr>
                <w:rFonts w:ascii="Times New Roman" w:hAnsi="Times New Roman" w:cs="Times New Roman"/>
                <w:sz w:val="24"/>
                <w:szCs w:val="24"/>
              </w:rPr>
              <w:t> </w:t>
            </w:r>
            <w:r w:rsidRPr="00DF5BA7">
              <w:rPr>
                <w:rFonts w:ascii="Times New Roman" w:hAnsi="Times New Roman" w:cs="Times New Roman"/>
                <w:sz w:val="24"/>
                <w:szCs w:val="24"/>
              </w:rPr>
              <w:t>EIOPA</w:t>
            </w:r>
            <w:r w:rsidR="00780E7D">
              <w:rPr>
                <w:rFonts w:ascii="Times New Roman" w:hAnsi="Times New Roman" w:cs="Times New Roman"/>
                <w:sz w:val="24"/>
                <w:szCs w:val="24"/>
              </w:rPr>
              <w:noBreakHyphen/>
            </w:r>
            <w:r w:rsidRPr="00DF5BA7">
              <w:rPr>
                <w:rFonts w:ascii="Times New Roman" w:hAnsi="Times New Roman" w:cs="Times New Roman"/>
                <w:sz w:val="24"/>
                <w:szCs w:val="24"/>
              </w:rPr>
              <w:t>BoS</w:t>
            </w:r>
            <w:r w:rsidR="00780E7D">
              <w:rPr>
                <w:rFonts w:ascii="Times New Roman" w:hAnsi="Times New Roman" w:cs="Times New Roman"/>
                <w:sz w:val="24"/>
                <w:szCs w:val="24"/>
              </w:rPr>
              <w:noBreakHyphen/>
            </w:r>
            <w:r w:rsidRPr="00DF5BA7">
              <w:rPr>
                <w:rFonts w:ascii="Times New Roman" w:hAnsi="Times New Roman" w:cs="Times New Roman"/>
                <w:sz w:val="24"/>
                <w:szCs w:val="24"/>
              </w:rPr>
              <w:t>14/166</w:t>
            </w:r>
            <w:r w:rsidR="00780E7D">
              <w:rPr>
                <w:rFonts w:ascii="Times New Roman" w:hAnsi="Times New Roman" w:cs="Times New Roman"/>
                <w:sz w:val="24"/>
                <w:szCs w:val="24"/>
              </w:rPr>
              <w:t> </w:t>
            </w:r>
            <w:r w:rsidRPr="00DF5BA7">
              <w:rPr>
                <w:rFonts w:ascii="Times New Roman" w:hAnsi="Times New Roman" w:cs="Times New Roman"/>
                <w:sz w:val="24"/>
                <w:szCs w:val="24"/>
              </w:rPr>
              <w:t>LV "Pamatnostādnes par tehnisko rezervju novērtēšanu"</w:t>
            </w:r>
            <w:r>
              <w:rPr>
                <w:rFonts w:ascii="Times New Roman" w:hAnsi="Times New Roman" w:cs="Times New Roman"/>
                <w:sz w:val="24"/>
                <w:szCs w:val="24"/>
              </w:rPr>
              <w:t>;</w:t>
            </w:r>
          </w:p>
          <w:p w14:paraId="0E8DCB36" w14:textId="12D003B2" w:rsidR="00DF5BA7" w:rsidRDefault="00DF5BA7" w:rsidP="00780E7D">
            <w:pPr>
              <w:pStyle w:val="ListParagraph"/>
              <w:numPr>
                <w:ilvl w:val="0"/>
                <w:numId w:val="6"/>
              </w:numPr>
              <w:tabs>
                <w:tab w:val="left" w:pos="420"/>
              </w:tabs>
              <w:spacing w:after="120" w:line="240" w:lineRule="auto"/>
              <w:ind w:left="34" w:firstLine="0"/>
              <w:jc w:val="both"/>
              <w:rPr>
                <w:rFonts w:ascii="Times New Roman" w:hAnsi="Times New Roman" w:cs="Times New Roman"/>
                <w:sz w:val="24"/>
                <w:szCs w:val="24"/>
              </w:rPr>
            </w:pPr>
            <w:r w:rsidRPr="00DF5BA7">
              <w:rPr>
                <w:rFonts w:ascii="Times New Roman" w:hAnsi="Times New Roman" w:cs="Times New Roman"/>
                <w:sz w:val="24"/>
                <w:szCs w:val="24"/>
              </w:rPr>
              <w:t xml:space="preserve"> </w:t>
            </w:r>
            <w:r>
              <w:rPr>
                <w:rFonts w:ascii="Times New Roman" w:hAnsi="Times New Roman" w:cs="Times New Roman"/>
                <w:sz w:val="24"/>
                <w:szCs w:val="24"/>
              </w:rPr>
              <w:t>EA</w:t>
            </w:r>
            <w:r w:rsidR="0022793C">
              <w:rPr>
                <w:rFonts w:ascii="Times New Roman" w:hAnsi="Times New Roman" w:cs="Times New Roman"/>
                <w:sz w:val="24"/>
                <w:szCs w:val="24"/>
              </w:rPr>
              <w:t>API</w:t>
            </w:r>
            <w:r w:rsidRPr="00DF5BA7">
              <w:rPr>
                <w:rFonts w:ascii="Times New Roman" w:hAnsi="Times New Roman" w:cs="Times New Roman"/>
                <w:sz w:val="24"/>
                <w:szCs w:val="24"/>
              </w:rPr>
              <w:t xml:space="preserve"> 2022.</w:t>
            </w:r>
            <w:r w:rsidR="00780E7D">
              <w:rPr>
                <w:rFonts w:ascii="Times New Roman" w:hAnsi="Times New Roman" w:cs="Times New Roman"/>
                <w:sz w:val="24"/>
                <w:szCs w:val="24"/>
              </w:rPr>
              <w:t> </w:t>
            </w:r>
            <w:r w:rsidRPr="00DF5BA7">
              <w:rPr>
                <w:rFonts w:ascii="Times New Roman" w:hAnsi="Times New Roman" w:cs="Times New Roman"/>
                <w:sz w:val="24"/>
                <w:szCs w:val="24"/>
              </w:rPr>
              <w:t>gada 6.</w:t>
            </w:r>
            <w:r w:rsidR="00780E7D">
              <w:rPr>
                <w:rFonts w:ascii="Times New Roman" w:hAnsi="Times New Roman" w:cs="Times New Roman"/>
                <w:sz w:val="24"/>
                <w:szCs w:val="24"/>
              </w:rPr>
              <w:t> </w:t>
            </w:r>
            <w:r w:rsidRPr="00DF5BA7">
              <w:rPr>
                <w:rFonts w:ascii="Times New Roman" w:hAnsi="Times New Roman" w:cs="Times New Roman"/>
                <w:sz w:val="24"/>
                <w:szCs w:val="24"/>
              </w:rPr>
              <w:t>jūlija</w:t>
            </w:r>
            <w:r w:rsidR="0022793C">
              <w:rPr>
                <w:rFonts w:ascii="Times New Roman" w:hAnsi="Times New Roman" w:cs="Times New Roman"/>
                <w:sz w:val="24"/>
                <w:szCs w:val="24"/>
              </w:rPr>
              <w:t xml:space="preserve"> pamatnostādnes </w:t>
            </w:r>
            <w:r w:rsidR="0022793C">
              <w:rPr>
                <w:rFonts w:ascii="Times New Roman" w:eastAsia="Times New Roman" w:hAnsi="Times New Roman" w:cs="Times New Roman"/>
                <w:sz w:val="24"/>
                <w:szCs w:val="24"/>
              </w:rPr>
              <w:t>Nr.</w:t>
            </w:r>
            <w:r w:rsidR="00780E7D">
              <w:rPr>
                <w:rFonts w:ascii="Times New Roman" w:eastAsia="Times New Roman" w:hAnsi="Times New Roman" w:cs="Times New Roman"/>
                <w:sz w:val="24"/>
                <w:szCs w:val="24"/>
              </w:rPr>
              <w:t> </w:t>
            </w:r>
            <w:r w:rsidR="0022793C" w:rsidRPr="00C71AEA">
              <w:rPr>
                <w:rFonts w:ascii="Times New Roman" w:eastAsia="Times New Roman" w:hAnsi="Times New Roman" w:cs="Times New Roman"/>
                <w:sz w:val="24"/>
                <w:szCs w:val="24"/>
              </w:rPr>
              <w:t>EIOPA</w:t>
            </w:r>
            <w:r w:rsidR="00780E7D">
              <w:rPr>
                <w:rFonts w:ascii="Times New Roman" w:eastAsia="Times New Roman" w:hAnsi="Times New Roman" w:cs="Times New Roman"/>
                <w:sz w:val="24"/>
                <w:szCs w:val="24"/>
              </w:rPr>
              <w:noBreakHyphen/>
            </w:r>
            <w:r w:rsidR="0022793C" w:rsidRPr="00C71AEA">
              <w:rPr>
                <w:rFonts w:ascii="Times New Roman" w:eastAsia="Times New Roman" w:hAnsi="Times New Roman" w:cs="Times New Roman"/>
                <w:sz w:val="24"/>
                <w:szCs w:val="24"/>
              </w:rPr>
              <w:t>BoS</w:t>
            </w:r>
            <w:r w:rsidR="007F0833">
              <w:rPr>
                <w:rFonts w:ascii="Times New Roman" w:eastAsia="Times New Roman" w:hAnsi="Times New Roman" w:cs="Times New Roman"/>
                <w:sz w:val="24"/>
                <w:szCs w:val="24"/>
              </w:rPr>
              <w:noBreakHyphen/>
            </w:r>
            <w:r w:rsidR="0022793C" w:rsidRPr="00C71AEA">
              <w:rPr>
                <w:rFonts w:ascii="Times New Roman" w:eastAsia="Times New Roman" w:hAnsi="Times New Roman" w:cs="Times New Roman"/>
                <w:sz w:val="24"/>
                <w:szCs w:val="24"/>
              </w:rPr>
              <w:t>22/218</w:t>
            </w:r>
            <w:r w:rsidRPr="00DF5BA7">
              <w:rPr>
                <w:rFonts w:ascii="Times New Roman" w:hAnsi="Times New Roman" w:cs="Times New Roman"/>
                <w:sz w:val="24"/>
                <w:szCs w:val="24"/>
              </w:rPr>
              <w:t xml:space="preserve"> "Grozītās pamatnostādnes par līguma robežām"</w:t>
            </w:r>
            <w:r>
              <w:rPr>
                <w:rFonts w:ascii="Times New Roman" w:hAnsi="Times New Roman" w:cs="Times New Roman"/>
                <w:sz w:val="24"/>
                <w:szCs w:val="24"/>
              </w:rPr>
              <w:t>;</w:t>
            </w:r>
          </w:p>
          <w:p w14:paraId="37E58BF7" w14:textId="7FCDCE5D" w:rsidR="00A06E04" w:rsidRPr="005D5FC5" w:rsidRDefault="00DF5BA7" w:rsidP="00780E7D">
            <w:pPr>
              <w:pStyle w:val="ListParagraph"/>
              <w:numPr>
                <w:ilvl w:val="0"/>
                <w:numId w:val="6"/>
              </w:numPr>
              <w:tabs>
                <w:tab w:val="left" w:pos="420"/>
              </w:tabs>
              <w:spacing w:after="120" w:line="240" w:lineRule="auto"/>
              <w:ind w:left="34" w:firstLine="0"/>
              <w:jc w:val="both"/>
              <w:rPr>
                <w:rFonts w:ascii="Times New Roman" w:hAnsi="Times New Roman" w:cs="Times New Roman"/>
                <w:sz w:val="24"/>
                <w:szCs w:val="24"/>
              </w:rPr>
            </w:pPr>
            <w:r w:rsidRPr="00DF5BA7">
              <w:rPr>
                <w:rFonts w:ascii="Times New Roman" w:hAnsi="Times New Roman" w:cs="Times New Roman"/>
                <w:sz w:val="24"/>
                <w:szCs w:val="24"/>
              </w:rPr>
              <w:t xml:space="preserve"> </w:t>
            </w:r>
            <w:r>
              <w:rPr>
                <w:rFonts w:ascii="Times New Roman" w:hAnsi="Times New Roman" w:cs="Times New Roman"/>
                <w:sz w:val="24"/>
                <w:szCs w:val="24"/>
              </w:rPr>
              <w:t>EA</w:t>
            </w:r>
            <w:r w:rsidR="0022793C">
              <w:rPr>
                <w:rFonts w:ascii="Times New Roman" w:hAnsi="Times New Roman" w:cs="Times New Roman"/>
                <w:sz w:val="24"/>
                <w:szCs w:val="24"/>
              </w:rPr>
              <w:t>API</w:t>
            </w:r>
            <w:r w:rsidRPr="00DF5BA7">
              <w:rPr>
                <w:rFonts w:ascii="Times New Roman" w:hAnsi="Times New Roman" w:cs="Times New Roman"/>
                <w:sz w:val="24"/>
                <w:szCs w:val="24"/>
              </w:rPr>
              <w:t xml:space="preserve"> 2022.</w:t>
            </w:r>
            <w:r w:rsidR="00780E7D">
              <w:rPr>
                <w:rFonts w:ascii="Times New Roman" w:hAnsi="Times New Roman" w:cs="Times New Roman"/>
                <w:sz w:val="24"/>
                <w:szCs w:val="24"/>
              </w:rPr>
              <w:t> </w:t>
            </w:r>
            <w:r w:rsidRPr="00DF5BA7">
              <w:rPr>
                <w:rFonts w:ascii="Times New Roman" w:hAnsi="Times New Roman" w:cs="Times New Roman"/>
                <w:sz w:val="24"/>
                <w:szCs w:val="24"/>
              </w:rPr>
              <w:t>gada 6.</w:t>
            </w:r>
            <w:r w:rsidR="00780E7D">
              <w:rPr>
                <w:rFonts w:ascii="Times New Roman" w:hAnsi="Times New Roman" w:cs="Times New Roman"/>
                <w:sz w:val="24"/>
                <w:szCs w:val="24"/>
              </w:rPr>
              <w:t> </w:t>
            </w:r>
            <w:r w:rsidRPr="00DF5BA7">
              <w:rPr>
                <w:rFonts w:ascii="Times New Roman" w:hAnsi="Times New Roman" w:cs="Times New Roman"/>
                <w:sz w:val="24"/>
                <w:szCs w:val="24"/>
              </w:rPr>
              <w:t>jūlija</w:t>
            </w:r>
            <w:r w:rsidR="0022793C">
              <w:rPr>
                <w:rFonts w:ascii="Times New Roman" w:hAnsi="Times New Roman" w:cs="Times New Roman"/>
                <w:sz w:val="24"/>
                <w:szCs w:val="24"/>
              </w:rPr>
              <w:t xml:space="preserve"> pamatnostādnes </w:t>
            </w:r>
            <w:r w:rsidR="0022793C">
              <w:rPr>
                <w:rFonts w:ascii="Times New Roman" w:eastAsia="Times New Roman" w:hAnsi="Times New Roman" w:cs="Times New Roman"/>
                <w:sz w:val="24"/>
                <w:szCs w:val="24"/>
              </w:rPr>
              <w:t>Nr.</w:t>
            </w:r>
            <w:r w:rsidR="00780E7D">
              <w:rPr>
                <w:rFonts w:ascii="Times New Roman" w:eastAsia="Times New Roman" w:hAnsi="Times New Roman" w:cs="Times New Roman"/>
                <w:sz w:val="24"/>
                <w:szCs w:val="24"/>
              </w:rPr>
              <w:t> </w:t>
            </w:r>
            <w:r w:rsidR="0022793C" w:rsidRPr="00C71AEA">
              <w:rPr>
                <w:rFonts w:ascii="Times New Roman" w:eastAsia="Times New Roman" w:hAnsi="Times New Roman" w:cs="Times New Roman"/>
                <w:sz w:val="24"/>
                <w:szCs w:val="24"/>
              </w:rPr>
              <w:t>EIOPA</w:t>
            </w:r>
            <w:r w:rsidR="00780E7D">
              <w:rPr>
                <w:rFonts w:ascii="Times New Roman" w:eastAsia="Times New Roman" w:hAnsi="Times New Roman" w:cs="Times New Roman"/>
                <w:sz w:val="24"/>
                <w:szCs w:val="24"/>
              </w:rPr>
              <w:noBreakHyphen/>
            </w:r>
            <w:r w:rsidR="0022793C" w:rsidRPr="00C71AEA">
              <w:rPr>
                <w:rFonts w:ascii="Times New Roman" w:eastAsia="Times New Roman" w:hAnsi="Times New Roman" w:cs="Times New Roman"/>
                <w:sz w:val="24"/>
                <w:szCs w:val="24"/>
              </w:rPr>
              <w:t>BoS</w:t>
            </w:r>
            <w:r w:rsidR="00780E7D">
              <w:rPr>
                <w:rFonts w:ascii="Times New Roman" w:eastAsia="Times New Roman" w:hAnsi="Times New Roman" w:cs="Times New Roman"/>
                <w:sz w:val="24"/>
                <w:szCs w:val="24"/>
              </w:rPr>
              <w:noBreakHyphen/>
            </w:r>
            <w:r w:rsidR="0022793C" w:rsidRPr="00C71AEA">
              <w:rPr>
                <w:rFonts w:ascii="Times New Roman" w:eastAsia="Times New Roman" w:hAnsi="Times New Roman" w:cs="Times New Roman"/>
                <w:sz w:val="24"/>
                <w:szCs w:val="24"/>
              </w:rPr>
              <w:t>22/21</w:t>
            </w:r>
            <w:r w:rsidR="0022793C">
              <w:rPr>
                <w:rFonts w:ascii="Times New Roman" w:eastAsia="Times New Roman" w:hAnsi="Times New Roman" w:cs="Times New Roman"/>
                <w:sz w:val="24"/>
                <w:szCs w:val="24"/>
              </w:rPr>
              <w:t>7</w:t>
            </w:r>
            <w:r w:rsidRPr="00DF5BA7">
              <w:rPr>
                <w:rFonts w:ascii="Times New Roman" w:hAnsi="Times New Roman" w:cs="Times New Roman"/>
                <w:sz w:val="24"/>
                <w:szCs w:val="24"/>
              </w:rPr>
              <w:t xml:space="preserve"> "Grozītās pamatnostādnes par tehnisko rezervju novērtēšanu"</w:t>
            </w:r>
            <w:r w:rsidR="00901F92">
              <w:rPr>
                <w:rFonts w:ascii="Times New Roman" w:hAnsi="Times New Roman" w:cs="Times New Roman"/>
                <w:sz w:val="24"/>
                <w:szCs w:val="24"/>
              </w:rPr>
              <w:t>.</w:t>
            </w:r>
          </w:p>
        </w:tc>
      </w:tr>
      <w:tr w:rsidR="006C3828" w:rsidRPr="00894D21" w14:paraId="40B6FA4E" w14:textId="77777777" w:rsidTr="00780E7D">
        <w:trPr>
          <w:trHeight w:val="567"/>
        </w:trPr>
        <w:tc>
          <w:tcPr>
            <w:tcW w:w="1166" w:type="pct"/>
            <w:shd w:val="clear" w:color="auto" w:fill="auto"/>
            <w:hideMark/>
          </w:tcPr>
          <w:p w14:paraId="735A198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BDC6261" w14:textId="3CCFC56B"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F357C5" w:rsidRPr="00894D21" w14:paraId="496F44FB" w14:textId="77777777" w:rsidTr="00780E7D">
        <w:trPr>
          <w:trHeight w:val="567"/>
        </w:trPr>
        <w:tc>
          <w:tcPr>
            <w:tcW w:w="1166" w:type="pct"/>
            <w:shd w:val="clear" w:color="auto" w:fill="auto"/>
            <w:hideMark/>
          </w:tcPr>
          <w:p w14:paraId="46AD5EB9" w14:textId="77777777" w:rsidR="00F357C5" w:rsidRPr="00894D21" w:rsidRDefault="00F357C5" w:rsidP="00F357C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F357C5" w:rsidRPr="00894D21" w:rsidRDefault="00F357C5" w:rsidP="00F357C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E0ED91B" w14:textId="1C784B19" w:rsidR="00F357C5" w:rsidRDefault="00F357C5" w:rsidP="00F357C5">
            <w:pPr>
              <w:pStyle w:val="NormalWeb"/>
              <w:spacing w:before="0" w:beforeAutospacing="0" w:after="120" w:afterAutospacing="0"/>
              <w:jc w:val="both"/>
            </w:pPr>
            <w:r>
              <w:t xml:space="preserve">Noteikumu projekts 2024. gada </w:t>
            </w:r>
            <w:r>
              <w:t>4</w:t>
            </w:r>
            <w:r>
              <w:t xml:space="preserve">. </w:t>
            </w:r>
            <w:r>
              <w:t>septembrī</w:t>
            </w:r>
            <w:r>
              <w:t xml:space="preserve"> tika publicēts Latvijas Bankas tīmekļvietnes </w:t>
            </w:r>
            <w:hyperlink r:id="rId11" w:tgtFrame="_blank" w:tooltip="http://www.bank.lv/" w:history="1">
              <w:r>
                <w:rPr>
                  <w:rStyle w:val="Hyperlink"/>
                </w:rPr>
                <w:t>www.bank.lv</w:t>
              </w:r>
            </w:hyperlink>
            <w:r>
              <w:t xml:space="preserve"> sadaļas "Tiesību akti" </w:t>
            </w:r>
            <w:proofErr w:type="spellStart"/>
            <w:r>
              <w:t>apakšsadaļā</w:t>
            </w:r>
            <w:proofErr w:type="spellEnd"/>
            <w:r>
              <w:t xml:space="preserve"> "Sabiedrības līdzdalība", aicinot iesniegt priekšlikumus līdz 2024. gada </w:t>
            </w:r>
            <w:r>
              <w:t>18</w:t>
            </w:r>
            <w:r>
              <w:t xml:space="preserve">. </w:t>
            </w:r>
            <w:r>
              <w:t>septembrim</w:t>
            </w:r>
            <w:r>
              <w:t xml:space="preserve">. </w:t>
            </w:r>
          </w:p>
          <w:p w14:paraId="0AABA931" w14:textId="77777777" w:rsidR="00F357C5" w:rsidRDefault="00F357C5" w:rsidP="00F357C5">
            <w:pPr>
              <w:pStyle w:val="NormalWeb"/>
              <w:spacing w:before="0" w:beforeAutospacing="0" w:after="120" w:afterAutospacing="0"/>
              <w:jc w:val="both"/>
            </w:pPr>
            <w:r>
              <w:t>Vienlaikus par noteikumu projektu un notiekošo sabiedrības līdzdalību individuāli tika informēta Latvijas Apdrošinātāju asociācija un visi apdrošinātāji.</w:t>
            </w:r>
          </w:p>
          <w:p w14:paraId="2CCCD760" w14:textId="7686821B" w:rsidR="00F357C5" w:rsidRPr="00894D21" w:rsidRDefault="00F357C5" w:rsidP="00F357C5">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F357C5" w:rsidRPr="00894D21" w14:paraId="61D339D9" w14:textId="77777777" w:rsidTr="00780E7D">
        <w:trPr>
          <w:trHeight w:val="567"/>
        </w:trPr>
        <w:tc>
          <w:tcPr>
            <w:tcW w:w="1166" w:type="pct"/>
            <w:shd w:val="clear" w:color="auto" w:fill="auto"/>
            <w:hideMark/>
          </w:tcPr>
          <w:p w14:paraId="4CB6397C" w14:textId="77777777" w:rsidR="00F357C5" w:rsidRPr="00894D21" w:rsidRDefault="00F357C5" w:rsidP="00F357C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F357C5" w:rsidRPr="00894D21" w:rsidRDefault="00F357C5" w:rsidP="00F357C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92F977B" w14:textId="0F274CA7" w:rsidR="00F357C5" w:rsidRPr="00894D21" w:rsidRDefault="00F357C5" w:rsidP="00F357C5">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086EF7E5" w14:textId="77777777" w:rsidR="00A62B63" w:rsidRPr="0017269A" w:rsidRDefault="00A62B63" w:rsidP="00B917A7">
      <w:pPr>
        <w:spacing w:line="240" w:lineRule="auto"/>
      </w:pPr>
    </w:p>
    <w:sectPr w:rsidR="00A62B63" w:rsidRPr="0017269A" w:rsidSect="007159B5">
      <w:headerReference w:type="default" r:id="rId12"/>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F696A" w14:textId="77777777" w:rsidR="00BF1FBA" w:rsidRDefault="00BF1FBA" w:rsidP="006C3828">
      <w:pPr>
        <w:spacing w:after="0" w:line="240" w:lineRule="auto"/>
      </w:pPr>
      <w:r>
        <w:separator/>
      </w:r>
    </w:p>
  </w:endnote>
  <w:endnote w:type="continuationSeparator" w:id="0">
    <w:p w14:paraId="34D65E48" w14:textId="77777777" w:rsidR="00BF1FBA" w:rsidRDefault="00BF1FBA" w:rsidP="006C3828">
      <w:pPr>
        <w:spacing w:after="0" w:line="240" w:lineRule="auto"/>
      </w:pPr>
      <w:r>
        <w:continuationSeparator/>
      </w:r>
    </w:p>
  </w:endnote>
  <w:endnote w:type="continuationNotice" w:id="1">
    <w:p w14:paraId="534174E2" w14:textId="77777777" w:rsidR="00BF1FBA" w:rsidRDefault="00BF1F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44C0D" w14:textId="77777777" w:rsidR="00BF1FBA" w:rsidRDefault="00BF1FBA" w:rsidP="006C3828">
      <w:pPr>
        <w:spacing w:after="0" w:line="240" w:lineRule="auto"/>
      </w:pPr>
      <w:r>
        <w:separator/>
      </w:r>
    </w:p>
  </w:footnote>
  <w:footnote w:type="continuationSeparator" w:id="0">
    <w:p w14:paraId="14C51E86" w14:textId="77777777" w:rsidR="00BF1FBA" w:rsidRDefault="00BF1FBA" w:rsidP="006C3828">
      <w:pPr>
        <w:spacing w:after="0" w:line="240" w:lineRule="auto"/>
      </w:pPr>
      <w:r>
        <w:continuationSeparator/>
      </w:r>
    </w:p>
  </w:footnote>
  <w:footnote w:type="continuationNotice" w:id="1">
    <w:p w14:paraId="0ED4D7D6" w14:textId="77777777" w:rsidR="00BF1FBA" w:rsidRDefault="00BF1F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0"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6"/>
  </w:num>
  <w:num w:numId="2" w16cid:durableId="66001806">
    <w:abstractNumId w:val="0"/>
  </w:num>
  <w:num w:numId="3" w16cid:durableId="1474834947">
    <w:abstractNumId w:val="12"/>
  </w:num>
  <w:num w:numId="4" w16cid:durableId="995378933">
    <w:abstractNumId w:val="11"/>
  </w:num>
  <w:num w:numId="5" w16cid:durableId="610938957">
    <w:abstractNumId w:val="2"/>
  </w:num>
  <w:num w:numId="6" w16cid:durableId="1992098003">
    <w:abstractNumId w:val="4"/>
  </w:num>
  <w:num w:numId="7" w16cid:durableId="1446123305">
    <w:abstractNumId w:val="9"/>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46F"/>
    <w:rsid w:val="00026C7F"/>
    <w:rsid w:val="00031030"/>
    <w:rsid w:val="0003113C"/>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674E2"/>
    <w:rsid w:val="00070B88"/>
    <w:rsid w:val="00071E26"/>
    <w:rsid w:val="0007692E"/>
    <w:rsid w:val="00086723"/>
    <w:rsid w:val="000916EA"/>
    <w:rsid w:val="0009394F"/>
    <w:rsid w:val="000A1E24"/>
    <w:rsid w:val="000A2BA1"/>
    <w:rsid w:val="000A4A2F"/>
    <w:rsid w:val="000B0981"/>
    <w:rsid w:val="000B20A8"/>
    <w:rsid w:val="000B6C81"/>
    <w:rsid w:val="000C0126"/>
    <w:rsid w:val="000C0D4C"/>
    <w:rsid w:val="000C158C"/>
    <w:rsid w:val="000C28D7"/>
    <w:rsid w:val="000C2B69"/>
    <w:rsid w:val="000D4CBC"/>
    <w:rsid w:val="000D77DE"/>
    <w:rsid w:val="000E0577"/>
    <w:rsid w:val="000E346A"/>
    <w:rsid w:val="000E3AFF"/>
    <w:rsid w:val="000E4A51"/>
    <w:rsid w:val="000E7B66"/>
    <w:rsid w:val="000F0ED6"/>
    <w:rsid w:val="000F3ABE"/>
    <w:rsid w:val="000F4375"/>
    <w:rsid w:val="000F5E18"/>
    <w:rsid w:val="000F7131"/>
    <w:rsid w:val="000F7294"/>
    <w:rsid w:val="000F7307"/>
    <w:rsid w:val="00100870"/>
    <w:rsid w:val="00100B55"/>
    <w:rsid w:val="0010366B"/>
    <w:rsid w:val="001038B2"/>
    <w:rsid w:val="00105FBE"/>
    <w:rsid w:val="0011062E"/>
    <w:rsid w:val="00110D41"/>
    <w:rsid w:val="001120C9"/>
    <w:rsid w:val="00114B2A"/>
    <w:rsid w:val="00123B5A"/>
    <w:rsid w:val="00130B57"/>
    <w:rsid w:val="00131096"/>
    <w:rsid w:val="00132833"/>
    <w:rsid w:val="00133AA4"/>
    <w:rsid w:val="00133DD1"/>
    <w:rsid w:val="00141AB9"/>
    <w:rsid w:val="0015034B"/>
    <w:rsid w:val="00150902"/>
    <w:rsid w:val="00155273"/>
    <w:rsid w:val="00160409"/>
    <w:rsid w:val="0016071E"/>
    <w:rsid w:val="00160F67"/>
    <w:rsid w:val="0017269A"/>
    <w:rsid w:val="00172B56"/>
    <w:rsid w:val="00183751"/>
    <w:rsid w:val="00185035"/>
    <w:rsid w:val="00193502"/>
    <w:rsid w:val="001A0DD7"/>
    <w:rsid w:val="001B08A2"/>
    <w:rsid w:val="001B4086"/>
    <w:rsid w:val="001B6287"/>
    <w:rsid w:val="001B7557"/>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5D03"/>
    <w:rsid w:val="001F6F78"/>
    <w:rsid w:val="00201593"/>
    <w:rsid w:val="00202AFF"/>
    <w:rsid w:val="00203426"/>
    <w:rsid w:val="00207DA3"/>
    <w:rsid w:val="002134DD"/>
    <w:rsid w:val="0021534E"/>
    <w:rsid w:val="002204A1"/>
    <w:rsid w:val="00220CBD"/>
    <w:rsid w:val="0022224A"/>
    <w:rsid w:val="00226480"/>
    <w:rsid w:val="00227386"/>
    <w:rsid w:val="0022793C"/>
    <w:rsid w:val="0023330A"/>
    <w:rsid w:val="002359D1"/>
    <w:rsid w:val="00237A0A"/>
    <w:rsid w:val="002452DB"/>
    <w:rsid w:val="00245C21"/>
    <w:rsid w:val="00246E1F"/>
    <w:rsid w:val="002522C7"/>
    <w:rsid w:val="00253E4A"/>
    <w:rsid w:val="00257CA0"/>
    <w:rsid w:val="00260E91"/>
    <w:rsid w:val="00261400"/>
    <w:rsid w:val="00262330"/>
    <w:rsid w:val="00262863"/>
    <w:rsid w:val="00262981"/>
    <w:rsid w:val="00264914"/>
    <w:rsid w:val="00276C94"/>
    <w:rsid w:val="002821EA"/>
    <w:rsid w:val="00284D38"/>
    <w:rsid w:val="002855C4"/>
    <w:rsid w:val="002866A5"/>
    <w:rsid w:val="00286B90"/>
    <w:rsid w:val="0028721D"/>
    <w:rsid w:val="00296A1E"/>
    <w:rsid w:val="00296D06"/>
    <w:rsid w:val="00297444"/>
    <w:rsid w:val="002A59C8"/>
    <w:rsid w:val="002A7D54"/>
    <w:rsid w:val="002B2146"/>
    <w:rsid w:val="002B382B"/>
    <w:rsid w:val="002B3947"/>
    <w:rsid w:val="002C058B"/>
    <w:rsid w:val="002C0712"/>
    <w:rsid w:val="002C10BB"/>
    <w:rsid w:val="002C2A7E"/>
    <w:rsid w:val="002C3E3C"/>
    <w:rsid w:val="002C409A"/>
    <w:rsid w:val="002C6211"/>
    <w:rsid w:val="002D14DC"/>
    <w:rsid w:val="002D17C7"/>
    <w:rsid w:val="002D62BB"/>
    <w:rsid w:val="002D7927"/>
    <w:rsid w:val="002E2076"/>
    <w:rsid w:val="002E6B3F"/>
    <w:rsid w:val="002F30E4"/>
    <w:rsid w:val="002F607C"/>
    <w:rsid w:val="002F6857"/>
    <w:rsid w:val="002F77FB"/>
    <w:rsid w:val="003010D6"/>
    <w:rsid w:val="00306230"/>
    <w:rsid w:val="00306672"/>
    <w:rsid w:val="00306D39"/>
    <w:rsid w:val="00310EDD"/>
    <w:rsid w:val="003134F1"/>
    <w:rsid w:val="003231B3"/>
    <w:rsid w:val="00326362"/>
    <w:rsid w:val="00331BC3"/>
    <w:rsid w:val="0033661A"/>
    <w:rsid w:val="00341646"/>
    <w:rsid w:val="00342AF3"/>
    <w:rsid w:val="003447BE"/>
    <w:rsid w:val="0035787E"/>
    <w:rsid w:val="00361CD6"/>
    <w:rsid w:val="00364619"/>
    <w:rsid w:val="003659BD"/>
    <w:rsid w:val="00366E75"/>
    <w:rsid w:val="00370DA6"/>
    <w:rsid w:val="00374AC8"/>
    <w:rsid w:val="00375D09"/>
    <w:rsid w:val="00376741"/>
    <w:rsid w:val="00377480"/>
    <w:rsid w:val="0038189C"/>
    <w:rsid w:val="00382072"/>
    <w:rsid w:val="00385989"/>
    <w:rsid w:val="00386D44"/>
    <w:rsid w:val="00393061"/>
    <w:rsid w:val="003930E2"/>
    <w:rsid w:val="003978C0"/>
    <w:rsid w:val="003A1DB0"/>
    <w:rsid w:val="003A3DAC"/>
    <w:rsid w:val="003A5B12"/>
    <w:rsid w:val="003A6361"/>
    <w:rsid w:val="003B25C0"/>
    <w:rsid w:val="003B58DB"/>
    <w:rsid w:val="003B72B0"/>
    <w:rsid w:val="003C08FF"/>
    <w:rsid w:val="003C3E41"/>
    <w:rsid w:val="003C653B"/>
    <w:rsid w:val="003D2EFB"/>
    <w:rsid w:val="003D5703"/>
    <w:rsid w:val="003D6EDD"/>
    <w:rsid w:val="003E190B"/>
    <w:rsid w:val="003E7A38"/>
    <w:rsid w:val="003F3117"/>
    <w:rsid w:val="003F4CCA"/>
    <w:rsid w:val="003F511D"/>
    <w:rsid w:val="003F6C76"/>
    <w:rsid w:val="003F7A1F"/>
    <w:rsid w:val="00406646"/>
    <w:rsid w:val="004069D7"/>
    <w:rsid w:val="00415E32"/>
    <w:rsid w:val="00415F0F"/>
    <w:rsid w:val="004228C1"/>
    <w:rsid w:val="00424089"/>
    <w:rsid w:val="00425111"/>
    <w:rsid w:val="00427EFC"/>
    <w:rsid w:val="00430209"/>
    <w:rsid w:val="00440995"/>
    <w:rsid w:val="004457B0"/>
    <w:rsid w:val="00447D0E"/>
    <w:rsid w:val="0045291E"/>
    <w:rsid w:val="0045317F"/>
    <w:rsid w:val="00453F22"/>
    <w:rsid w:val="004544FD"/>
    <w:rsid w:val="004607F0"/>
    <w:rsid w:val="00460E2E"/>
    <w:rsid w:val="004653D7"/>
    <w:rsid w:val="004712F1"/>
    <w:rsid w:val="0047310B"/>
    <w:rsid w:val="00480201"/>
    <w:rsid w:val="00483980"/>
    <w:rsid w:val="00484BD5"/>
    <w:rsid w:val="00484CFB"/>
    <w:rsid w:val="0048525E"/>
    <w:rsid w:val="004920FA"/>
    <w:rsid w:val="00492A77"/>
    <w:rsid w:val="00496BCF"/>
    <w:rsid w:val="00497C64"/>
    <w:rsid w:val="004A1DC3"/>
    <w:rsid w:val="004A2553"/>
    <w:rsid w:val="004B1143"/>
    <w:rsid w:val="004B2B86"/>
    <w:rsid w:val="004B6031"/>
    <w:rsid w:val="004B6CA7"/>
    <w:rsid w:val="004C112D"/>
    <w:rsid w:val="004C233F"/>
    <w:rsid w:val="004C2AB3"/>
    <w:rsid w:val="004C4E47"/>
    <w:rsid w:val="004C5F77"/>
    <w:rsid w:val="004D0490"/>
    <w:rsid w:val="004D25FC"/>
    <w:rsid w:val="004D40FF"/>
    <w:rsid w:val="004D5195"/>
    <w:rsid w:val="004D5704"/>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442B"/>
    <w:rsid w:val="00526DB7"/>
    <w:rsid w:val="005274E9"/>
    <w:rsid w:val="00530FE0"/>
    <w:rsid w:val="005329F4"/>
    <w:rsid w:val="005333C9"/>
    <w:rsid w:val="00533B01"/>
    <w:rsid w:val="00533B50"/>
    <w:rsid w:val="00535960"/>
    <w:rsid w:val="00541ECF"/>
    <w:rsid w:val="00544848"/>
    <w:rsid w:val="00545CC7"/>
    <w:rsid w:val="0055074B"/>
    <w:rsid w:val="00551179"/>
    <w:rsid w:val="0055241A"/>
    <w:rsid w:val="00554136"/>
    <w:rsid w:val="005554D7"/>
    <w:rsid w:val="00556D06"/>
    <w:rsid w:val="005619C0"/>
    <w:rsid w:val="00561BA6"/>
    <w:rsid w:val="00561E86"/>
    <w:rsid w:val="00563287"/>
    <w:rsid w:val="00567A9C"/>
    <w:rsid w:val="00570818"/>
    <w:rsid w:val="00581381"/>
    <w:rsid w:val="00583F25"/>
    <w:rsid w:val="0058754A"/>
    <w:rsid w:val="00591CBF"/>
    <w:rsid w:val="005970F5"/>
    <w:rsid w:val="005A4392"/>
    <w:rsid w:val="005A4DDD"/>
    <w:rsid w:val="005B26BA"/>
    <w:rsid w:val="005B36FC"/>
    <w:rsid w:val="005B5025"/>
    <w:rsid w:val="005B533C"/>
    <w:rsid w:val="005C2733"/>
    <w:rsid w:val="005D0D05"/>
    <w:rsid w:val="005D36EC"/>
    <w:rsid w:val="005D5FC5"/>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14CB"/>
    <w:rsid w:val="00613D58"/>
    <w:rsid w:val="0061416F"/>
    <w:rsid w:val="00616C86"/>
    <w:rsid w:val="00616F84"/>
    <w:rsid w:val="006170AC"/>
    <w:rsid w:val="006218CC"/>
    <w:rsid w:val="00621F4F"/>
    <w:rsid w:val="00624231"/>
    <w:rsid w:val="006248DB"/>
    <w:rsid w:val="00631E97"/>
    <w:rsid w:val="00634418"/>
    <w:rsid w:val="00634938"/>
    <w:rsid w:val="0063542F"/>
    <w:rsid w:val="00643F90"/>
    <w:rsid w:val="00646AD1"/>
    <w:rsid w:val="0065104E"/>
    <w:rsid w:val="00657026"/>
    <w:rsid w:val="006570A1"/>
    <w:rsid w:val="00660A87"/>
    <w:rsid w:val="00660BB1"/>
    <w:rsid w:val="00660F6C"/>
    <w:rsid w:val="00661EC6"/>
    <w:rsid w:val="00662AB8"/>
    <w:rsid w:val="00664457"/>
    <w:rsid w:val="00664E5A"/>
    <w:rsid w:val="006676B9"/>
    <w:rsid w:val="00671872"/>
    <w:rsid w:val="00680242"/>
    <w:rsid w:val="00680366"/>
    <w:rsid w:val="00682971"/>
    <w:rsid w:val="0068362A"/>
    <w:rsid w:val="00684C6F"/>
    <w:rsid w:val="00685523"/>
    <w:rsid w:val="00687FD4"/>
    <w:rsid w:val="00690481"/>
    <w:rsid w:val="0069208D"/>
    <w:rsid w:val="006A1E74"/>
    <w:rsid w:val="006A2A11"/>
    <w:rsid w:val="006A4A2E"/>
    <w:rsid w:val="006A4D71"/>
    <w:rsid w:val="006B2A55"/>
    <w:rsid w:val="006B3421"/>
    <w:rsid w:val="006B461C"/>
    <w:rsid w:val="006B4F70"/>
    <w:rsid w:val="006C0E01"/>
    <w:rsid w:val="006C3828"/>
    <w:rsid w:val="006C429D"/>
    <w:rsid w:val="006C4E15"/>
    <w:rsid w:val="006C5842"/>
    <w:rsid w:val="006C72AD"/>
    <w:rsid w:val="006D0296"/>
    <w:rsid w:val="006D0D37"/>
    <w:rsid w:val="006D1B49"/>
    <w:rsid w:val="006D20A2"/>
    <w:rsid w:val="006D2A84"/>
    <w:rsid w:val="006D5A35"/>
    <w:rsid w:val="006D76DA"/>
    <w:rsid w:val="006E1822"/>
    <w:rsid w:val="006F7B9A"/>
    <w:rsid w:val="007021CC"/>
    <w:rsid w:val="0070233B"/>
    <w:rsid w:val="0071033A"/>
    <w:rsid w:val="007159B5"/>
    <w:rsid w:val="007218F1"/>
    <w:rsid w:val="007223D9"/>
    <w:rsid w:val="00722DEF"/>
    <w:rsid w:val="0072523C"/>
    <w:rsid w:val="00732243"/>
    <w:rsid w:val="007357DC"/>
    <w:rsid w:val="00737E9C"/>
    <w:rsid w:val="00740596"/>
    <w:rsid w:val="00742F43"/>
    <w:rsid w:val="00745442"/>
    <w:rsid w:val="00746B48"/>
    <w:rsid w:val="007471E3"/>
    <w:rsid w:val="0074791A"/>
    <w:rsid w:val="00751877"/>
    <w:rsid w:val="00752B79"/>
    <w:rsid w:val="0075531E"/>
    <w:rsid w:val="00757B75"/>
    <w:rsid w:val="007620BC"/>
    <w:rsid w:val="007676EA"/>
    <w:rsid w:val="00767878"/>
    <w:rsid w:val="007729C2"/>
    <w:rsid w:val="00773EED"/>
    <w:rsid w:val="00780E7D"/>
    <w:rsid w:val="007816B1"/>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5300"/>
    <w:rsid w:val="007C7D57"/>
    <w:rsid w:val="007D1EBF"/>
    <w:rsid w:val="007D3112"/>
    <w:rsid w:val="007D4BE3"/>
    <w:rsid w:val="007E0362"/>
    <w:rsid w:val="007E0BD3"/>
    <w:rsid w:val="007E125A"/>
    <w:rsid w:val="007E378B"/>
    <w:rsid w:val="007E3AB6"/>
    <w:rsid w:val="007E4051"/>
    <w:rsid w:val="007E452C"/>
    <w:rsid w:val="007E520B"/>
    <w:rsid w:val="007F0833"/>
    <w:rsid w:val="007F1630"/>
    <w:rsid w:val="007F1C0E"/>
    <w:rsid w:val="007F1C71"/>
    <w:rsid w:val="007F2955"/>
    <w:rsid w:val="007F2988"/>
    <w:rsid w:val="007F4D10"/>
    <w:rsid w:val="007F72B4"/>
    <w:rsid w:val="008014BA"/>
    <w:rsid w:val="0080286F"/>
    <w:rsid w:val="00804C24"/>
    <w:rsid w:val="00812050"/>
    <w:rsid w:val="008141E0"/>
    <w:rsid w:val="008154C6"/>
    <w:rsid w:val="00817DDC"/>
    <w:rsid w:val="00821EA1"/>
    <w:rsid w:val="0082342F"/>
    <w:rsid w:val="0082704A"/>
    <w:rsid w:val="00830973"/>
    <w:rsid w:val="00830C70"/>
    <w:rsid w:val="00831F05"/>
    <w:rsid w:val="008342B7"/>
    <w:rsid w:val="008347DA"/>
    <w:rsid w:val="0083648E"/>
    <w:rsid w:val="00841A2A"/>
    <w:rsid w:val="00842DAA"/>
    <w:rsid w:val="008433D4"/>
    <w:rsid w:val="0084689E"/>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0829"/>
    <w:rsid w:val="008929B8"/>
    <w:rsid w:val="00894480"/>
    <w:rsid w:val="00894D21"/>
    <w:rsid w:val="00895104"/>
    <w:rsid w:val="00896DBD"/>
    <w:rsid w:val="00897948"/>
    <w:rsid w:val="00897A62"/>
    <w:rsid w:val="00897C92"/>
    <w:rsid w:val="008A3468"/>
    <w:rsid w:val="008A3794"/>
    <w:rsid w:val="008A5438"/>
    <w:rsid w:val="008B0683"/>
    <w:rsid w:val="008B090E"/>
    <w:rsid w:val="008B1929"/>
    <w:rsid w:val="008B2848"/>
    <w:rsid w:val="008B3C23"/>
    <w:rsid w:val="008B702A"/>
    <w:rsid w:val="008C0BD7"/>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3282C"/>
    <w:rsid w:val="00933239"/>
    <w:rsid w:val="00950FBD"/>
    <w:rsid w:val="00951C31"/>
    <w:rsid w:val="00954C36"/>
    <w:rsid w:val="00955419"/>
    <w:rsid w:val="00955A54"/>
    <w:rsid w:val="009607EA"/>
    <w:rsid w:val="0096545F"/>
    <w:rsid w:val="00965525"/>
    <w:rsid w:val="00972EE3"/>
    <w:rsid w:val="00974CF6"/>
    <w:rsid w:val="0097512B"/>
    <w:rsid w:val="00975C81"/>
    <w:rsid w:val="0098107B"/>
    <w:rsid w:val="0098127D"/>
    <w:rsid w:val="009844DE"/>
    <w:rsid w:val="00986165"/>
    <w:rsid w:val="00986340"/>
    <w:rsid w:val="00987457"/>
    <w:rsid w:val="0099023D"/>
    <w:rsid w:val="00990C7D"/>
    <w:rsid w:val="00993856"/>
    <w:rsid w:val="00993A38"/>
    <w:rsid w:val="009A1427"/>
    <w:rsid w:val="009A2505"/>
    <w:rsid w:val="009A27C5"/>
    <w:rsid w:val="009A6917"/>
    <w:rsid w:val="009B1E0B"/>
    <w:rsid w:val="009C3E75"/>
    <w:rsid w:val="009C4992"/>
    <w:rsid w:val="009D0104"/>
    <w:rsid w:val="009D13B7"/>
    <w:rsid w:val="009D2D30"/>
    <w:rsid w:val="009D4488"/>
    <w:rsid w:val="009D787C"/>
    <w:rsid w:val="009D799F"/>
    <w:rsid w:val="009E0BDF"/>
    <w:rsid w:val="009E3C28"/>
    <w:rsid w:val="009E4874"/>
    <w:rsid w:val="009E52A2"/>
    <w:rsid w:val="009E69DC"/>
    <w:rsid w:val="009E7B0E"/>
    <w:rsid w:val="009F4C41"/>
    <w:rsid w:val="009F4DED"/>
    <w:rsid w:val="009F58E5"/>
    <w:rsid w:val="00A02D03"/>
    <w:rsid w:val="00A031C6"/>
    <w:rsid w:val="00A0462E"/>
    <w:rsid w:val="00A04E33"/>
    <w:rsid w:val="00A05461"/>
    <w:rsid w:val="00A06E04"/>
    <w:rsid w:val="00A07E5B"/>
    <w:rsid w:val="00A07F57"/>
    <w:rsid w:val="00A11613"/>
    <w:rsid w:val="00A222EC"/>
    <w:rsid w:val="00A32EF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B63"/>
    <w:rsid w:val="00A64349"/>
    <w:rsid w:val="00A66566"/>
    <w:rsid w:val="00A66EEF"/>
    <w:rsid w:val="00A673F4"/>
    <w:rsid w:val="00A7604B"/>
    <w:rsid w:val="00A8548C"/>
    <w:rsid w:val="00A90189"/>
    <w:rsid w:val="00A90BD4"/>
    <w:rsid w:val="00A968A4"/>
    <w:rsid w:val="00AA2BB5"/>
    <w:rsid w:val="00AA2F5E"/>
    <w:rsid w:val="00AA5A84"/>
    <w:rsid w:val="00AA5AB1"/>
    <w:rsid w:val="00AA6DCC"/>
    <w:rsid w:val="00AB25B1"/>
    <w:rsid w:val="00AB55C6"/>
    <w:rsid w:val="00AB66B0"/>
    <w:rsid w:val="00AB6738"/>
    <w:rsid w:val="00AB7167"/>
    <w:rsid w:val="00AC1A75"/>
    <w:rsid w:val="00AC1D96"/>
    <w:rsid w:val="00AC4761"/>
    <w:rsid w:val="00AD0DA2"/>
    <w:rsid w:val="00AD42FC"/>
    <w:rsid w:val="00AD5BE6"/>
    <w:rsid w:val="00AD6B42"/>
    <w:rsid w:val="00AD79E6"/>
    <w:rsid w:val="00AE07C5"/>
    <w:rsid w:val="00AE1720"/>
    <w:rsid w:val="00AE23F3"/>
    <w:rsid w:val="00AE4F02"/>
    <w:rsid w:val="00AE52D9"/>
    <w:rsid w:val="00AF1013"/>
    <w:rsid w:val="00B00C35"/>
    <w:rsid w:val="00B01DB0"/>
    <w:rsid w:val="00B0470C"/>
    <w:rsid w:val="00B1460F"/>
    <w:rsid w:val="00B203C0"/>
    <w:rsid w:val="00B25316"/>
    <w:rsid w:val="00B25C30"/>
    <w:rsid w:val="00B25E9A"/>
    <w:rsid w:val="00B26309"/>
    <w:rsid w:val="00B264A3"/>
    <w:rsid w:val="00B26CA2"/>
    <w:rsid w:val="00B2773A"/>
    <w:rsid w:val="00B32147"/>
    <w:rsid w:val="00B36448"/>
    <w:rsid w:val="00B37735"/>
    <w:rsid w:val="00B37F0C"/>
    <w:rsid w:val="00B45014"/>
    <w:rsid w:val="00B52652"/>
    <w:rsid w:val="00B538D8"/>
    <w:rsid w:val="00B55483"/>
    <w:rsid w:val="00B60307"/>
    <w:rsid w:val="00B609BE"/>
    <w:rsid w:val="00B612BF"/>
    <w:rsid w:val="00B62977"/>
    <w:rsid w:val="00B634A0"/>
    <w:rsid w:val="00B71A08"/>
    <w:rsid w:val="00B71E28"/>
    <w:rsid w:val="00B73FB5"/>
    <w:rsid w:val="00B76CDA"/>
    <w:rsid w:val="00B77A4B"/>
    <w:rsid w:val="00B823AC"/>
    <w:rsid w:val="00B86268"/>
    <w:rsid w:val="00B8646A"/>
    <w:rsid w:val="00B87348"/>
    <w:rsid w:val="00B917A7"/>
    <w:rsid w:val="00BA158A"/>
    <w:rsid w:val="00BA3DDB"/>
    <w:rsid w:val="00BA6414"/>
    <w:rsid w:val="00BA7271"/>
    <w:rsid w:val="00BA7799"/>
    <w:rsid w:val="00BA7EB2"/>
    <w:rsid w:val="00BB4163"/>
    <w:rsid w:val="00BB43FE"/>
    <w:rsid w:val="00BB4736"/>
    <w:rsid w:val="00BC41FD"/>
    <w:rsid w:val="00BD03CC"/>
    <w:rsid w:val="00BD24BE"/>
    <w:rsid w:val="00BD4DF2"/>
    <w:rsid w:val="00BD6060"/>
    <w:rsid w:val="00BE026C"/>
    <w:rsid w:val="00BE1575"/>
    <w:rsid w:val="00BF1FBA"/>
    <w:rsid w:val="00BF3363"/>
    <w:rsid w:val="00BF37CB"/>
    <w:rsid w:val="00BF3F58"/>
    <w:rsid w:val="00C00109"/>
    <w:rsid w:val="00C00A0B"/>
    <w:rsid w:val="00C027EF"/>
    <w:rsid w:val="00C03D36"/>
    <w:rsid w:val="00C05B30"/>
    <w:rsid w:val="00C067BE"/>
    <w:rsid w:val="00C06FB6"/>
    <w:rsid w:val="00C071E2"/>
    <w:rsid w:val="00C07E3E"/>
    <w:rsid w:val="00C100BE"/>
    <w:rsid w:val="00C107CB"/>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15EA"/>
    <w:rsid w:val="00C5179B"/>
    <w:rsid w:val="00C52588"/>
    <w:rsid w:val="00C601BD"/>
    <w:rsid w:val="00C60929"/>
    <w:rsid w:val="00C70EFE"/>
    <w:rsid w:val="00C710DD"/>
    <w:rsid w:val="00C71AEA"/>
    <w:rsid w:val="00C81386"/>
    <w:rsid w:val="00C81530"/>
    <w:rsid w:val="00C8323B"/>
    <w:rsid w:val="00C86378"/>
    <w:rsid w:val="00C92D8B"/>
    <w:rsid w:val="00C948CA"/>
    <w:rsid w:val="00C96BDD"/>
    <w:rsid w:val="00C97300"/>
    <w:rsid w:val="00CA0C02"/>
    <w:rsid w:val="00CA24FD"/>
    <w:rsid w:val="00CA2A0A"/>
    <w:rsid w:val="00CA7A24"/>
    <w:rsid w:val="00CB559B"/>
    <w:rsid w:val="00CB638D"/>
    <w:rsid w:val="00CC47B6"/>
    <w:rsid w:val="00CC6538"/>
    <w:rsid w:val="00CD27C9"/>
    <w:rsid w:val="00CD3645"/>
    <w:rsid w:val="00CE1BD6"/>
    <w:rsid w:val="00CF05D0"/>
    <w:rsid w:val="00CF2312"/>
    <w:rsid w:val="00CF3F5A"/>
    <w:rsid w:val="00CF74C0"/>
    <w:rsid w:val="00D007D6"/>
    <w:rsid w:val="00D112A9"/>
    <w:rsid w:val="00D135C9"/>
    <w:rsid w:val="00D16368"/>
    <w:rsid w:val="00D22BCE"/>
    <w:rsid w:val="00D255A8"/>
    <w:rsid w:val="00D26E32"/>
    <w:rsid w:val="00D2743A"/>
    <w:rsid w:val="00D31BC2"/>
    <w:rsid w:val="00D32B74"/>
    <w:rsid w:val="00D33B79"/>
    <w:rsid w:val="00D33B7B"/>
    <w:rsid w:val="00D35F7C"/>
    <w:rsid w:val="00D404CA"/>
    <w:rsid w:val="00D42BCE"/>
    <w:rsid w:val="00D46365"/>
    <w:rsid w:val="00D5091E"/>
    <w:rsid w:val="00D536F1"/>
    <w:rsid w:val="00D53AC5"/>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93756"/>
    <w:rsid w:val="00DA010F"/>
    <w:rsid w:val="00DA40EA"/>
    <w:rsid w:val="00DA7B63"/>
    <w:rsid w:val="00DB3529"/>
    <w:rsid w:val="00DB3BAB"/>
    <w:rsid w:val="00DC15F9"/>
    <w:rsid w:val="00DC31A6"/>
    <w:rsid w:val="00DD058F"/>
    <w:rsid w:val="00DD54AE"/>
    <w:rsid w:val="00DD5BA4"/>
    <w:rsid w:val="00DD7E30"/>
    <w:rsid w:val="00DE3F52"/>
    <w:rsid w:val="00DF13C2"/>
    <w:rsid w:val="00DF4A3F"/>
    <w:rsid w:val="00DF5BA7"/>
    <w:rsid w:val="00DF6451"/>
    <w:rsid w:val="00E00242"/>
    <w:rsid w:val="00E0097E"/>
    <w:rsid w:val="00E016F6"/>
    <w:rsid w:val="00E0340D"/>
    <w:rsid w:val="00E037FB"/>
    <w:rsid w:val="00E03A88"/>
    <w:rsid w:val="00E055AC"/>
    <w:rsid w:val="00E07CA2"/>
    <w:rsid w:val="00E12A7D"/>
    <w:rsid w:val="00E13025"/>
    <w:rsid w:val="00E1384B"/>
    <w:rsid w:val="00E22CBD"/>
    <w:rsid w:val="00E2347B"/>
    <w:rsid w:val="00E23A37"/>
    <w:rsid w:val="00E318FE"/>
    <w:rsid w:val="00E32B51"/>
    <w:rsid w:val="00E3499E"/>
    <w:rsid w:val="00E36ABE"/>
    <w:rsid w:val="00E40201"/>
    <w:rsid w:val="00E4085B"/>
    <w:rsid w:val="00E41229"/>
    <w:rsid w:val="00E4131F"/>
    <w:rsid w:val="00E4176F"/>
    <w:rsid w:val="00E43821"/>
    <w:rsid w:val="00E44413"/>
    <w:rsid w:val="00E446DA"/>
    <w:rsid w:val="00E44E45"/>
    <w:rsid w:val="00E475B0"/>
    <w:rsid w:val="00E5088A"/>
    <w:rsid w:val="00E5548E"/>
    <w:rsid w:val="00E60127"/>
    <w:rsid w:val="00E60CB2"/>
    <w:rsid w:val="00E62616"/>
    <w:rsid w:val="00E6677A"/>
    <w:rsid w:val="00E727A4"/>
    <w:rsid w:val="00E7294C"/>
    <w:rsid w:val="00E8240C"/>
    <w:rsid w:val="00E83C44"/>
    <w:rsid w:val="00E858FE"/>
    <w:rsid w:val="00E87AFC"/>
    <w:rsid w:val="00E90892"/>
    <w:rsid w:val="00E94A3A"/>
    <w:rsid w:val="00E9512C"/>
    <w:rsid w:val="00E963E5"/>
    <w:rsid w:val="00E97FDB"/>
    <w:rsid w:val="00EA7437"/>
    <w:rsid w:val="00EA74A4"/>
    <w:rsid w:val="00EA7F3C"/>
    <w:rsid w:val="00EB39FE"/>
    <w:rsid w:val="00EB7E37"/>
    <w:rsid w:val="00EC3D3A"/>
    <w:rsid w:val="00EC7C63"/>
    <w:rsid w:val="00ED2754"/>
    <w:rsid w:val="00ED399C"/>
    <w:rsid w:val="00EE1A5E"/>
    <w:rsid w:val="00EE3694"/>
    <w:rsid w:val="00EE3D3F"/>
    <w:rsid w:val="00EE63D5"/>
    <w:rsid w:val="00EF381D"/>
    <w:rsid w:val="00EF4595"/>
    <w:rsid w:val="00EF675B"/>
    <w:rsid w:val="00F0112C"/>
    <w:rsid w:val="00F029CE"/>
    <w:rsid w:val="00F02B94"/>
    <w:rsid w:val="00F031B6"/>
    <w:rsid w:val="00F05C1B"/>
    <w:rsid w:val="00F06332"/>
    <w:rsid w:val="00F065CE"/>
    <w:rsid w:val="00F066A6"/>
    <w:rsid w:val="00F067E6"/>
    <w:rsid w:val="00F072B9"/>
    <w:rsid w:val="00F07965"/>
    <w:rsid w:val="00F110A0"/>
    <w:rsid w:val="00F16CFF"/>
    <w:rsid w:val="00F16F23"/>
    <w:rsid w:val="00F3170C"/>
    <w:rsid w:val="00F31E33"/>
    <w:rsid w:val="00F357C5"/>
    <w:rsid w:val="00F37FD2"/>
    <w:rsid w:val="00F40BF9"/>
    <w:rsid w:val="00F430D9"/>
    <w:rsid w:val="00F4369C"/>
    <w:rsid w:val="00F443B5"/>
    <w:rsid w:val="00F449DB"/>
    <w:rsid w:val="00F46960"/>
    <w:rsid w:val="00F47D28"/>
    <w:rsid w:val="00F52C5F"/>
    <w:rsid w:val="00F6251E"/>
    <w:rsid w:val="00F64138"/>
    <w:rsid w:val="00F64B0A"/>
    <w:rsid w:val="00F64C2D"/>
    <w:rsid w:val="00F700C0"/>
    <w:rsid w:val="00F7013B"/>
    <w:rsid w:val="00F75790"/>
    <w:rsid w:val="00F76465"/>
    <w:rsid w:val="00F841D8"/>
    <w:rsid w:val="00F90992"/>
    <w:rsid w:val="00FA13FA"/>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41B2"/>
    <w:rsid w:val="00FD78F5"/>
    <w:rsid w:val="00FE1306"/>
    <w:rsid w:val="00FE15AB"/>
    <w:rsid w:val="00FE1A5E"/>
    <w:rsid w:val="00FE52CC"/>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6135</Words>
  <Characters>3498</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9614</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5</cp:revision>
  <cp:lastPrinted>2024-02-14T10:29:00Z</cp:lastPrinted>
  <dcterms:created xsi:type="dcterms:W3CDTF">2024-08-27T06:01:00Z</dcterms:created>
  <dcterms:modified xsi:type="dcterms:W3CDTF">2024-09-20T09:16:00Z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