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39AC7" w14:textId="17F569D7" w:rsidR="009B27BE" w:rsidRPr="004E3F4A" w:rsidRDefault="00CA28AB" w:rsidP="00F62DE2">
      <w:pPr>
        <w:spacing w:after="0" w:line="240" w:lineRule="auto"/>
        <w:jc w:val="center"/>
        <w:rPr>
          <w:rFonts w:ascii="Times New Roman" w:hAnsi="Times New Roman" w:cs="Times New Roman"/>
          <w:b/>
          <w:bCs/>
          <w:sz w:val="24"/>
          <w:szCs w:val="24"/>
        </w:rPr>
      </w:pPr>
      <w:r w:rsidRPr="004E3F4A">
        <w:rPr>
          <w:rFonts w:ascii="Times New Roman" w:hAnsi="Times New Roman" w:cs="Times New Roman"/>
          <w:b/>
          <w:bCs/>
          <w:sz w:val="24"/>
          <w:szCs w:val="24"/>
        </w:rPr>
        <w:t>Latvijas Bankas noteikumu projekta</w:t>
      </w:r>
      <w:r w:rsidR="008D5368">
        <w:rPr>
          <w:rFonts w:ascii="Times New Roman" w:hAnsi="Times New Roman" w:cs="Times New Roman"/>
          <w:b/>
          <w:bCs/>
          <w:sz w:val="24"/>
          <w:szCs w:val="24"/>
        </w:rPr>
        <w:br/>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EndPr/>
            <w:sdtContent>
              <w:r w:rsidR="00492810">
                <w:rPr>
                  <w:rFonts w:ascii="Times New Roman" w:hAnsi="Times New Roman" w:cs="Times New Roman"/>
                  <w:b/>
                  <w:bCs/>
                  <w:sz w:val="24"/>
                  <w:szCs w:val="24"/>
                </w:rPr>
                <w:t>"</w:t>
              </w:r>
              <w:r w:rsidR="00DB0CF5" w:rsidRPr="00DB0CF5">
                <w:rPr>
                  <w:rFonts w:ascii="Times New Roman" w:hAnsi="Times New Roman" w:cs="Times New Roman"/>
                  <w:b/>
                  <w:bCs/>
                  <w:sz w:val="24"/>
                  <w:szCs w:val="24"/>
                </w:rPr>
                <w:t>Noteikumi</w:t>
              </w:r>
              <w:r w:rsidR="00FD76FB">
                <w:rPr>
                  <w:rFonts w:ascii="Times New Roman" w:hAnsi="Times New Roman" w:cs="Times New Roman"/>
                  <w:b/>
                  <w:bCs/>
                  <w:sz w:val="24"/>
                  <w:szCs w:val="24"/>
                </w:rPr>
                <w:t xml:space="preserve"> par kārtību</w:t>
              </w:r>
              <w:r w:rsidR="00DB0CF5" w:rsidRPr="00DB0CF5">
                <w:rPr>
                  <w:rFonts w:ascii="Times New Roman" w:hAnsi="Times New Roman" w:cs="Times New Roman"/>
                  <w:b/>
                  <w:bCs/>
                  <w:sz w:val="24"/>
                  <w:szCs w:val="24"/>
                </w:rPr>
                <w:t>, kādā persona var iesniegt un Latvijas Banka izskata ziņojumu par finanšu tirgu regulējošo normatīvo aktu iespējamiem vai faktiskiem pārkāpumiem</w:t>
              </w:r>
              <w:r w:rsidR="009A72ED" w:rsidRPr="004E3F4A">
                <w:rPr>
                  <w:rFonts w:ascii="Times New Roman" w:hAnsi="Times New Roman" w:cs="Times New Roman"/>
                  <w:b/>
                  <w:bCs/>
                  <w:sz w:val="24"/>
                  <w:szCs w:val="24"/>
                </w:rPr>
                <w:t>"</w:t>
              </w:r>
            </w:sdtContent>
          </w:sdt>
        </w:sdtContent>
      </w:sdt>
      <w:r w:rsidR="006760E3" w:rsidRPr="004E3F4A">
        <w:rPr>
          <w:rFonts w:ascii="Times New Roman" w:hAnsi="Times New Roman" w:cs="Times New Roman"/>
          <w:b/>
          <w:bCs/>
          <w:sz w:val="24"/>
          <w:szCs w:val="24"/>
        </w:rPr>
        <w:t xml:space="preserve"> </w:t>
      </w:r>
      <w:r w:rsidR="003B481B" w:rsidRPr="004E3F4A">
        <w:rPr>
          <w:rFonts w:ascii="Times New Roman" w:hAnsi="Times New Roman" w:cs="Times New Roman"/>
          <w:b/>
          <w:bCs/>
          <w:sz w:val="24"/>
          <w:szCs w:val="24"/>
        </w:rPr>
        <w:t>anotācija</w:t>
      </w:r>
    </w:p>
    <w:p w14:paraId="0B66099E" w14:textId="77777777" w:rsidR="003B481B" w:rsidRPr="004E3F4A"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802"/>
      </w:tblGrid>
      <w:tr w:rsidR="00F62DE2" w:rsidRPr="004E3F4A" w14:paraId="2BEFF1B2" w14:textId="77777777" w:rsidTr="00ED184E">
        <w:trPr>
          <w:trHeight w:val="567"/>
        </w:trPr>
        <w:tc>
          <w:tcPr>
            <w:tcW w:w="1248" w:type="pct"/>
            <w:shd w:val="clear" w:color="auto" w:fill="auto"/>
            <w:hideMark/>
          </w:tcPr>
          <w:p w14:paraId="648BA918"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Nosaukums</w:t>
            </w:r>
          </w:p>
          <w:p w14:paraId="5CE2EE7C"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08E3F30D" w14:textId="5277A9A4" w:rsidR="00E53DE9" w:rsidRPr="004E3F4A" w:rsidRDefault="00DB0CF5" w:rsidP="0036748D">
            <w:pPr>
              <w:jc w:val="both"/>
              <w:rPr>
                <w:rFonts w:ascii="Times New Roman" w:eastAsia="Times New Roman" w:hAnsi="Times New Roman" w:cs="Times New Roman"/>
                <w:sz w:val="24"/>
                <w:szCs w:val="24"/>
                <w:lang w:eastAsia="lv-LV"/>
              </w:rPr>
            </w:pPr>
            <w:bookmarkStart w:id="0" w:name="_Hlk177549867"/>
            <w:r w:rsidRPr="00DB0CF5">
              <w:rPr>
                <w:rFonts w:ascii="Times New Roman" w:eastAsia="Times New Roman" w:hAnsi="Times New Roman" w:cs="Times New Roman"/>
                <w:sz w:val="24"/>
                <w:szCs w:val="24"/>
                <w:lang w:eastAsia="lv-LV"/>
              </w:rPr>
              <w:t>Noteikumi</w:t>
            </w:r>
            <w:r w:rsidR="00FD76FB">
              <w:rPr>
                <w:rFonts w:ascii="Times New Roman" w:eastAsia="Times New Roman" w:hAnsi="Times New Roman" w:cs="Times New Roman"/>
                <w:sz w:val="24"/>
                <w:szCs w:val="24"/>
                <w:lang w:eastAsia="lv-LV"/>
              </w:rPr>
              <w:t xml:space="preserve"> par kārtību</w:t>
            </w:r>
            <w:r w:rsidRPr="00DB0CF5">
              <w:rPr>
                <w:rFonts w:ascii="Times New Roman" w:eastAsia="Times New Roman" w:hAnsi="Times New Roman" w:cs="Times New Roman"/>
                <w:sz w:val="24"/>
                <w:szCs w:val="24"/>
                <w:lang w:eastAsia="lv-LV"/>
              </w:rPr>
              <w:t>, kādā persona var iesniegt un Latvijas Banka izskata ziņojumu par finanšu tirgu regulējošo normatīvo aktu iespējamiem vai faktiskiem pārkāpumiem</w:t>
            </w:r>
            <w:bookmarkEnd w:id="0"/>
          </w:p>
        </w:tc>
      </w:tr>
      <w:tr w:rsidR="00F62DE2" w:rsidRPr="004E3F4A" w14:paraId="1D36F47A" w14:textId="77777777" w:rsidTr="00ED184E">
        <w:trPr>
          <w:trHeight w:val="567"/>
        </w:trPr>
        <w:tc>
          <w:tcPr>
            <w:tcW w:w="1248" w:type="pct"/>
            <w:shd w:val="clear" w:color="auto" w:fill="auto"/>
            <w:hideMark/>
          </w:tcPr>
          <w:p w14:paraId="2F180771"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Dokumenta veids</w:t>
            </w:r>
          </w:p>
          <w:p w14:paraId="47E2425B"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4E1881C3" w14:textId="7389110D" w:rsidR="00E53DE9" w:rsidRPr="004E3F4A" w:rsidRDefault="00F14016" w:rsidP="00F62DE2">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4E3F4A">
              <w:rPr>
                <w:rFonts w:ascii="Times New Roman" w:hAnsi="Times New Roman" w:cs="Times New Roman"/>
                <w:sz w:val="24"/>
                <w:szCs w:val="24"/>
                <w:shd w:val="clear" w:color="auto" w:fill="FFFFFF"/>
              </w:rPr>
              <w:t xml:space="preserve"> </w:t>
            </w:r>
            <w:r w:rsidR="004C3B7F" w:rsidRPr="004E3F4A">
              <w:rPr>
                <w:rFonts w:ascii="Times New Roman" w:hAnsi="Times New Roman" w:cs="Times New Roman"/>
                <w:sz w:val="24"/>
                <w:szCs w:val="24"/>
                <w:shd w:val="clear" w:color="auto" w:fill="FFFFFF"/>
              </w:rPr>
              <w:t>noteikumi</w:t>
            </w:r>
          </w:p>
        </w:tc>
      </w:tr>
      <w:tr w:rsidR="00F62DE2" w:rsidRPr="004E3F4A" w14:paraId="5992D55E" w14:textId="77777777" w:rsidTr="00544D79">
        <w:trPr>
          <w:trHeight w:val="2640"/>
        </w:trPr>
        <w:tc>
          <w:tcPr>
            <w:tcW w:w="1248" w:type="pct"/>
            <w:shd w:val="clear" w:color="auto" w:fill="auto"/>
            <w:hideMark/>
          </w:tcPr>
          <w:p w14:paraId="604DAF9B"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 xml:space="preserve">Izdošanas pamatojums </w:t>
            </w:r>
          </w:p>
          <w:p w14:paraId="1F56AB7F"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5093A389" w14:textId="77777777" w:rsidR="00FC74A6" w:rsidRDefault="00FC74A6" w:rsidP="00FC74A6">
            <w:pPr>
              <w:shd w:val="clear" w:color="auto" w:fill="FFFFFF"/>
              <w:spacing w:after="0" w:line="240" w:lineRule="auto"/>
              <w:jc w:val="both"/>
              <w:rPr>
                <w:rFonts w:ascii="Times New Roman" w:eastAsia="Times New Roman" w:hAnsi="Times New Roman" w:cs="Times New Roman"/>
                <w:sz w:val="24"/>
                <w:szCs w:val="24"/>
                <w:lang w:eastAsia="lv-LV"/>
              </w:rPr>
            </w:pPr>
            <w:hyperlink r:id="rId11" w:tgtFrame="_blank" w:history="1">
              <w:r w:rsidRPr="00DB0CF5">
                <w:rPr>
                  <w:rFonts w:ascii="Times New Roman" w:eastAsia="Times New Roman" w:hAnsi="Times New Roman" w:cs="Times New Roman"/>
                  <w:sz w:val="24"/>
                  <w:szCs w:val="24"/>
                  <w:lang w:eastAsia="lv-LV"/>
                </w:rPr>
                <w:t>Alternatīvo ieguldījumu fondu un to pārvaldnieku likuma</w:t>
              </w:r>
            </w:hyperlink>
            <w:r w:rsidRPr="00DB0CF5">
              <w:rPr>
                <w:rFonts w:ascii="Times New Roman" w:eastAsia="Times New Roman" w:hAnsi="Times New Roman" w:cs="Times New Roman"/>
                <w:sz w:val="24"/>
                <w:szCs w:val="24"/>
                <w:lang w:eastAsia="lv-LV"/>
              </w:rPr>
              <w:t> </w:t>
            </w:r>
            <w:hyperlink r:id="rId12" w:anchor="p86_1" w:tgtFrame="_blank" w:history="1">
              <w:r w:rsidRPr="00DB0CF5">
                <w:rPr>
                  <w:rFonts w:ascii="Times New Roman" w:eastAsia="Times New Roman" w:hAnsi="Times New Roman" w:cs="Times New Roman"/>
                  <w:sz w:val="24"/>
                  <w:szCs w:val="24"/>
                  <w:lang w:eastAsia="lv-LV"/>
                </w:rPr>
                <w:t>86.</w:t>
              </w:r>
              <w:r w:rsidRPr="00DB0CF5">
                <w:rPr>
                  <w:rFonts w:ascii="Times New Roman" w:eastAsia="Times New Roman" w:hAnsi="Times New Roman" w:cs="Times New Roman"/>
                  <w:sz w:val="24"/>
                  <w:szCs w:val="24"/>
                  <w:vertAlign w:val="superscript"/>
                  <w:lang w:eastAsia="lv-LV"/>
                </w:rPr>
                <w:t>1</w:t>
              </w:r>
              <w:r w:rsidRPr="00DB0CF5">
                <w:rPr>
                  <w:rFonts w:ascii="Times New Roman" w:eastAsia="Times New Roman" w:hAnsi="Times New Roman" w:cs="Times New Roman"/>
                  <w:sz w:val="24"/>
                  <w:szCs w:val="24"/>
                  <w:lang w:eastAsia="lv-LV"/>
                </w:rPr>
                <w:t> panta</w:t>
              </w:r>
            </w:hyperlink>
            <w:r w:rsidRPr="00DB0CF5">
              <w:rPr>
                <w:rFonts w:ascii="Times New Roman" w:eastAsia="Times New Roman" w:hAnsi="Times New Roman" w:cs="Times New Roman"/>
                <w:sz w:val="24"/>
                <w:szCs w:val="24"/>
                <w:lang w:eastAsia="lv-LV"/>
              </w:rPr>
              <w:t> treš</w:t>
            </w:r>
            <w:r>
              <w:rPr>
                <w:rFonts w:ascii="Times New Roman" w:eastAsia="Times New Roman" w:hAnsi="Times New Roman" w:cs="Times New Roman"/>
                <w:sz w:val="24"/>
                <w:szCs w:val="24"/>
                <w:lang w:eastAsia="lv-LV"/>
              </w:rPr>
              <w:t>ā</w:t>
            </w:r>
            <w:r w:rsidRPr="00DB0CF5">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DB0CF5">
              <w:rPr>
                <w:rFonts w:ascii="Times New Roman" w:eastAsia="Times New Roman" w:hAnsi="Times New Roman" w:cs="Times New Roman"/>
                <w:sz w:val="24"/>
                <w:szCs w:val="24"/>
                <w:lang w:eastAsia="lv-LV"/>
              </w:rPr>
              <w:t>,</w:t>
            </w:r>
          </w:p>
          <w:p w14:paraId="4AF59BE8" w14:textId="480428F0" w:rsidR="00FC74A6" w:rsidRDefault="00FC74A6" w:rsidP="00FC74A6">
            <w:pPr>
              <w:shd w:val="clear" w:color="auto" w:fill="FFFFFF"/>
              <w:spacing w:after="0" w:line="240" w:lineRule="auto"/>
              <w:jc w:val="both"/>
              <w:rPr>
                <w:rFonts w:ascii="Times New Roman" w:eastAsia="Times New Roman" w:hAnsi="Times New Roman" w:cs="Times New Roman"/>
                <w:sz w:val="24"/>
                <w:szCs w:val="24"/>
                <w:lang w:eastAsia="lv-LV"/>
              </w:rPr>
            </w:pPr>
            <w:hyperlink r:id="rId13" w:tgtFrame="_blank" w:history="1">
              <w:r w:rsidRPr="00DB0CF5">
                <w:rPr>
                  <w:rFonts w:ascii="Times New Roman" w:eastAsia="Times New Roman" w:hAnsi="Times New Roman" w:cs="Times New Roman"/>
                  <w:sz w:val="24"/>
                  <w:szCs w:val="24"/>
                  <w:lang w:eastAsia="lv-LV"/>
                </w:rPr>
                <w:t>Apdrošināšanas un pārapdrošināšanas izplatīšanas likuma</w:t>
              </w:r>
            </w:hyperlink>
            <w:r w:rsidR="00E371B7">
              <w:rPr>
                <w:rFonts w:ascii="Times New Roman" w:eastAsia="Times New Roman" w:hAnsi="Times New Roman" w:cs="Times New Roman"/>
                <w:sz w:val="24"/>
                <w:szCs w:val="24"/>
                <w:lang w:eastAsia="lv-LV"/>
              </w:rPr>
              <w:t xml:space="preserve"> </w:t>
            </w:r>
            <w:hyperlink r:id="rId14" w:anchor="p69" w:tgtFrame="_blank" w:history="1">
              <w:r w:rsidRPr="00DB0CF5">
                <w:rPr>
                  <w:rFonts w:ascii="Times New Roman" w:eastAsia="Times New Roman" w:hAnsi="Times New Roman" w:cs="Times New Roman"/>
                  <w:sz w:val="24"/>
                  <w:szCs w:val="24"/>
                  <w:lang w:eastAsia="lv-LV"/>
                </w:rPr>
                <w:t>69.</w:t>
              </w:r>
              <w:r w:rsidR="00E371B7">
                <w:rPr>
                  <w:rFonts w:ascii="Times New Roman" w:eastAsia="Times New Roman" w:hAnsi="Times New Roman" w:cs="Times New Roman"/>
                  <w:sz w:val="24"/>
                  <w:szCs w:val="24"/>
                  <w:lang w:eastAsia="lv-LV"/>
                </w:rPr>
                <w:t> </w:t>
              </w:r>
              <w:r w:rsidRPr="00DB0CF5">
                <w:rPr>
                  <w:rFonts w:ascii="Times New Roman" w:eastAsia="Times New Roman" w:hAnsi="Times New Roman" w:cs="Times New Roman"/>
                  <w:sz w:val="24"/>
                  <w:szCs w:val="24"/>
                  <w:lang w:eastAsia="lv-LV"/>
                </w:rPr>
                <w:t>panta</w:t>
              </w:r>
            </w:hyperlink>
            <w:r w:rsidR="00E371B7">
              <w:rPr>
                <w:rFonts w:ascii="Times New Roman" w:eastAsia="Times New Roman" w:hAnsi="Times New Roman" w:cs="Times New Roman"/>
                <w:sz w:val="24"/>
                <w:szCs w:val="24"/>
                <w:lang w:eastAsia="lv-LV"/>
              </w:rPr>
              <w:t xml:space="preserve"> </w:t>
            </w:r>
            <w:r w:rsidRPr="00DB0CF5">
              <w:rPr>
                <w:rFonts w:ascii="Times New Roman" w:eastAsia="Times New Roman" w:hAnsi="Times New Roman" w:cs="Times New Roman"/>
                <w:sz w:val="24"/>
                <w:szCs w:val="24"/>
                <w:lang w:eastAsia="lv-LV"/>
              </w:rPr>
              <w:t>treš</w:t>
            </w:r>
            <w:r>
              <w:rPr>
                <w:rFonts w:ascii="Times New Roman" w:eastAsia="Times New Roman" w:hAnsi="Times New Roman" w:cs="Times New Roman"/>
                <w:sz w:val="24"/>
                <w:szCs w:val="24"/>
                <w:lang w:eastAsia="lv-LV"/>
              </w:rPr>
              <w:t>ā</w:t>
            </w:r>
            <w:r w:rsidRPr="00DB0CF5">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DB0CF5">
              <w:rPr>
                <w:rFonts w:ascii="Times New Roman" w:eastAsia="Times New Roman" w:hAnsi="Times New Roman" w:cs="Times New Roman"/>
                <w:sz w:val="24"/>
                <w:szCs w:val="24"/>
                <w:lang w:eastAsia="lv-LV"/>
              </w:rPr>
              <w:t>,</w:t>
            </w:r>
          </w:p>
          <w:p w14:paraId="5D66B624" w14:textId="77777777" w:rsidR="00DB0CF5" w:rsidRDefault="00DB0CF5" w:rsidP="003D1F15">
            <w:pPr>
              <w:shd w:val="clear" w:color="auto" w:fill="FFFFFF"/>
              <w:spacing w:after="0" w:line="240" w:lineRule="auto"/>
              <w:jc w:val="both"/>
              <w:rPr>
                <w:rFonts w:ascii="Times New Roman" w:eastAsia="Times New Roman" w:hAnsi="Times New Roman" w:cs="Times New Roman"/>
                <w:sz w:val="24"/>
                <w:szCs w:val="24"/>
                <w:lang w:eastAsia="lv-LV"/>
              </w:rPr>
            </w:pPr>
            <w:hyperlink r:id="rId15" w:tgtFrame="_blank" w:history="1">
              <w:r w:rsidRPr="00DB0CF5">
                <w:rPr>
                  <w:rFonts w:ascii="Times New Roman" w:eastAsia="Times New Roman" w:hAnsi="Times New Roman" w:cs="Times New Roman"/>
                  <w:sz w:val="24"/>
                  <w:szCs w:val="24"/>
                  <w:lang w:eastAsia="lv-LV"/>
                </w:rPr>
                <w:t>Finanšu instrumentu tirgus likuma</w:t>
              </w:r>
            </w:hyperlink>
            <w:r w:rsidRPr="00DB0CF5">
              <w:rPr>
                <w:rFonts w:ascii="Times New Roman" w:eastAsia="Times New Roman" w:hAnsi="Times New Roman" w:cs="Times New Roman"/>
                <w:sz w:val="24"/>
                <w:szCs w:val="24"/>
                <w:lang w:eastAsia="lv-LV"/>
              </w:rPr>
              <w:t> </w:t>
            </w:r>
            <w:hyperlink r:id="rId16" w:anchor="p147_6" w:tgtFrame="_blank" w:history="1">
              <w:r w:rsidRPr="00DB0CF5">
                <w:rPr>
                  <w:rFonts w:ascii="Times New Roman" w:eastAsia="Times New Roman" w:hAnsi="Times New Roman" w:cs="Times New Roman"/>
                  <w:sz w:val="24"/>
                  <w:szCs w:val="24"/>
                  <w:lang w:eastAsia="lv-LV"/>
                </w:rPr>
                <w:t>147.</w:t>
              </w:r>
              <w:r w:rsidRPr="00DB0CF5">
                <w:rPr>
                  <w:rFonts w:ascii="Times New Roman" w:eastAsia="Times New Roman" w:hAnsi="Times New Roman" w:cs="Times New Roman"/>
                  <w:sz w:val="24"/>
                  <w:szCs w:val="24"/>
                  <w:vertAlign w:val="superscript"/>
                  <w:lang w:eastAsia="lv-LV"/>
                </w:rPr>
                <w:t>6</w:t>
              </w:r>
              <w:r w:rsidRPr="00DB0CF5">
                <w:rPr>
                  <w:rFonts w:ascii="Times New Roman" w:eastAsia="Times New Roman" w:hAnsi="Times New Roman" w:cs="Times New Roman"/>
                  <w:sz w:val="24"/>
                  <w:szCs w:val="24"/>
                  <w:lang w:eastAsia="lv-LV"/>
                </w:rPr>
                <w:t> panta</w:t>
              </w:r>
            </w:hyperlink>
            <w:r w:rsidRPr="00DB0CF5">
              <w:rPr>
                <w:rFonts w:ascii="Times New Roman" w:eastAsia="Times New Roman" w:hAnsi="Times New Roman" w:cs="Times New Roman"/>
                <w:sz w:val="24"/>
                <w:szCs w:val="24"/>
                <w:lang w:eastAsia="lv-LV"/>
              </w:rPr>
              <w:t> treš</w:t>
            </w:r>
            <w:r>
              <w:rPr>
                <w:rFonts w:ascii="Times New Roman" w:eastAsia="Times New Roman" w:hAnsi="Times New Roman" w:cs="Times New Roman"/>
                <w:sz w:val="24"/>
                <w:szCs w:val="24"/>
                <w:lang w:eastAsia="lv-LV"/>
              </w:rPr>
              <w:t>ā</w:t>
            </w:r>
            <w:r w:rsidRPr="00DB0CF5">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DB0CF5">
              <w:rPr>
                <w:rFonts w:ascii="Times New Roman" w:eastAsia="Times New Roman" w:hAnsi="Times New Roman" w:cs="Times New Roman"/>
                <w:sz w:val="24"/>
                <w:szCs w:val="24"/>
                <w:lang w:eastAsia="lv-LV"/>
              </w:rPr>
              <w:t>,</w:t>
            </w:r>
          </w:p>
          <w:p w14:paraId="322C391D" w14:textId="4357ADEE" w:rsidR="00586021" w:rsidRDefault="00586021" w:rsidP="003D1F15">
            <w:pPr>
              <w:shd w:val="clear" w:color="auto" w:fill="FFFFFF"/>
              <w:spacing w:after="0" w:line="240" w:lineRule="auto"/>
              <w:jc w:val="both"/>
              <w:rPr>
                <w:rFonts w:ascii="Times New Roman" w:eastAsia="Times New Roman" w:hAnsi="Times New Roman" w:cs="Times New Roman"/>
                <w:sz w:val="24"/>
                <w:szCs w:val="24"/>
                <w:lang w:eastAsia="lv-LV"/>
              </w:rPr>
            </w:pPr>
            <w:r w:rsidRPr="00586021">
              <w:rPr>
                <w:rFonts w:ascii="Times New Roman" w:eastAsia="Times New Roman" w:hAnsi="Times New Roman" w:cs="Times New Roman"/>
                <w:sz w:val="24"/>
                <w:szCs w:val="24"/>
                <w:lang w:eastAsia="lv-LV"/>
              </w:rPr>
              <w:t>Ieguldījumu brokeru sabiedrību likuma 38. panta piektā daļ</w:t>
            </w:r>
            <w:r>
              <w:rPr>
                <w:rFonts w:ascii="Times New Roman" w:eastAsia="Times New Roman" w:hAnsi="Times New Roman" w:cs="Times New Roman"/>
                <w:sz w:val="24"/>
                <w:szCs w:val="24"/>
                <w:lang w:eastAsia="lv-LV"/>
              </w:rPr>
              <w:t>a,</w:t>
            </w:r>
          </w:p>
          <w:p w14:paraId="7E337A9A" w14:textId="77777777" w:rsidR="00FC74A6" w:rsidRDefault="00FC74A6" w:rsidP="003D1F15">
            <w:pPr>
              <w:shd w:val="clear" w:color="auto" w:fill="FFFFFF"/>
              <w:spacing w:after="0" w:line="240" w:lineRule="auto"/>
              <w:jc w:val="both"/>
              <w:rPr>
                <w:rFonts w:ascii="Times New Roman" w:eastAsia="Times New Roman" w:hAnsi="Times New Roman" w:cs="Times New Roman"/>
                <w:sz w:val="24"/>
                <w:szCs w:val="24"/>
                <w:lang w:eastAsia="lv-LV"/>
              </w:rPr>
            </w:pPr>
            <w:hyperlink r:id="rId17" w:tgtFrame="_blank" w:history="1">
              <w:r w:rsidRPr="00DB0CF5">
                <w:rPr>
                  <w:rFonts w:ascii="Times New Roman" w:eastAsia="Times New Roman" w:hAnsi="Times New Roman" w:cs="Times New Roman"/>
                  <w:sz w:val="24"/>
                  <w:szCs w:val="24"/>
                  <w:lang w:eastAsia="lv-LV"/>
                </w:rPr>
                <w:t>Ieguldījumu pārvaldes sabiedrību likuma</w:t>
              </w:r>
            </w:hyperlink>
            <w:r w:rsidRPr="00DB0CF5">
              <w:rPr>
                <w:rFonts w:ascii="Times New Roman" w:eastAsia="Times New Roman" w:hAnsi="Times New Roman" w:cs="Times New Roman"/>
                <w:sz w:val="24"/>
                <w:szCs w:val="24"/>
                <w:lang w:eastAsia="lv-LV"/>
              </w:rPr>
              <w:t> </w:t>
            </w:r>
            <w:hyperlink r:id="rId18" w:anchor="p86_1" w:tgtFrame="_blank" w:history="1">
              <w:r w:rsidRPr="00DB0CF5">
                <w:rPr>
                  <w:rFonts w:ascii="Times New Roman" w:eastAsia="Times New Roman" w:hAnsi="Times New Roman" w:cs="Times New Roman"/>
                  <w:sz w:val="24"/>
                  <w:szCs w:val="24"/>
                  <w:lang w:eastAsia="lv-LV"/>
                </w:rPr>
                <w:t>86.</w:t>
              </w:r>
              <w:r w:rsidRPr="00DB0CF5">
                <w:rPr>
                  <w:rFonts w:ascii="Times New Roman" w:eastAsia="Times New Roman" w:hAnsi="Times New Roman" w:cs="Times New Roman"/>
                  <w:sz w:val="24"/>
                  <w:szCs w:val="24"/>
                  <w:vertAlign w:val="superscript"/>
                  <w:lang w:eastAsia="lv-LV"/>
                </w:rPr>
                <w:t>1</w:t>
              </w:r>
              <w:r w:rsidRPr="00DB0CF5">
                <w:rPr>
                  <w:rFonts w:ascii="Times New Roman" w:eastAsia="Times New Roman" w:hAnsi="Times New Roman" w:cs="Times New Roman"/>
                  <w:sz w:val="24"/>
                  <w:szCs w:val="24"/>
                  <w:lang w:eastAsia="lv-LV"/>
                </w:rPr>
                <w:t> panta</w:t>
              </w:r>
            </w:hyperlink>
            <w:r w:rsidRPr="00DB0CF5">
              <w:rPr>
                <w:rFonts w:ascii="Times New Roman" w:eastAsia="Times New Roman" w:hAnsi="Times New Roman" w:cs="Times New Roman"/>
                <w:sz w:val="24"/>
                <w:szCs w:val="24"/>
                <w:lang w:eastAsia="lv-LV"/>
              </w:rPr>
              <w:t> treš</w:t>
            </w:r>
            <w:r>
              <w:rPr>
                <w:rFonts w:ascii="Times New Roman" w:eastAsia="Times New Roman" w:hAnsi="Times New Roman" w:cs="Times New Roman"/>
                <w:sz w:val="24"/>
                <w:szCs w:val="24"/>
                <w:lang w:eastAsia="lv-LV"/>
              </w:rPr>
              <w:t>ā</w:t>
            </w:r>
            <w:r w:rsidRPr="00DB0CF5">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Pr="00DB0CF5">
              <w:rPr>
                <w:rFonts w:ascii="Times New Roman" w:eastAsia="Times New Roman" w:hAnsi="Times New Roman" w:cs="Times New Roman"/>
                <w:sz w:val="24"/>
                <w:szCs w:val="24"/>
                <w:lang w:eastAsia="lv-LV"/>
              </w:rPr>
              <w:t>,</w:t>
            </w:r>
          </w:p>
          <w:p w14:paraId="7945CA5D" w14:textId="77777777" w:rsidR="00DB0CF5" w:rsidRDefault="00DB0CF5" w:rsidP="003D1F15">
            <w:pPr>
              <w:shd w:val="clear" w:color="auto" w:fill="FFFFFF"/>
              <w:spacing w:after="0" w:line="240" w:lineRule="auto"/>
              <w:jc w:val="both"/>
              <w:rPr>
                <w:rFonts w:ascii="Times New Roman" w:eastAsia="Times New Roman" w:hAnsi="Times New Roman" w:cs="Times New Roman"/>
                <w:sz w:val="24"/>
                <w:szCs w:val="24"/>
                <w:lang w:eastAsia="lv-LV"/>
              </w:rPr>
            </w:pPr>
            <w:hyperlink r:id="rId19" w:tgtFrame="_blank" w:history="1">
              <w:r w:rsidRPr="00DB0CF5">
                <w:rPr>
                  <w:rFonts w:ascii="Times New Roman" w:eastAsia="Times New Roman" w:hAnsi="Times New Roman" w:cs="Times New Roman"/>
                  <w:sz w:val="24"/>
                  <w:szCs w:val="24"/>
                  <w:lang w:eastAsia="lv-LV"/>
                </w:rPr>
                <w:t>Kredītiestāžu likuma</w:t>
              </w:r>
            </w:hyperlink>
            <w:r w:rsidRPr="00DB0CF5">
              <w:rPr>
                <w:rFonts w:ascii="Times New Roman" w:eastAsia="Times New Roman" w:hAnsi="Times New Roman" w:cs="Times New Roman"/>
                <w:sz w:val="24"/>
                <w:szCs w:val="24"/>
                <w:lang w:eastAsia="lv-LV"/>
              </w:rPr>
              <w:t> </w:t>
            </w:r>
            <w:hyperlink r:id="rId20" w:anchor="p106_2" w:tgtFrame="_blank" w:history="1">
              <w:r w:rsidRPr="00DB0CF5">
                <w:rPr>
                  <w:rFonts w:ascii="Times New Roman" w:eastAsia="Times New Roman" w:hAnsi="Times New Roman" w:cs="Times New Roman"/>
                  <w:sz w:val="24"/>
                  <w:szCs w:val="24"/>
                  <w:lang w:eastAsia="lv-LV"/>
                </w:rPr>
                <w:t>106.</w:t>
              </w:r>
              <w:r w:rsidRPr="00DB0CF5">
                <w:rPr>
                  <w:rFonts w:ascii="Times New Roman" w:eastAsia="Times New Roman" w:hAnsi="Times New Roman" w:cs="Times New Roman"/>
                  <w:sz w:val="24"/>
                  <w:szCs w:val="24"/>
                  <w:vertAlign w:val="superscript"/>
                  <w:lang w:eastAsia="lv-LV"/>
                </w:rPr>
                <w:t>2</w:t>
              </w:r>
            </w:hyperlink>
            <w:r w:rsidRPr="00DB0CF5">
              <w:rPr>
                <w:rFonts w:ascii="Times New Roman" w:eastAsia="Times New Roman" w:hAnsi="Times New Roman" w:cs="Times New Roman"/>
                <w:sz w:val="24"/>
                <w:szCs w:val="24"/>
                <w:lang w:eastAsia="lv-LV"/>
              </w:rPr>
              <w:t> panta treš</w:t>
            </w:r>
            <w:r>
              <w:rPr>
                <w:rFonts w:ascii="Times New Roman" w:eastAsia="Times New Roman" w:hAnsi="Times New Roman" w:cs="Times New Roman"/>
                <w:sz w:val="24"/>
                <w:szCs w:val="24"/>
                <w:lang w:eastAsia="lv-LV"/>
              </w:rPr>
              <w:t>ā</w:t>
            </w:r>
            <w:r w:rsidRPr="00DB0CF5">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p w14:paraId="5AFDE6F9" w14:textId="00C08EDB" w:rsidR="00DB0CF5" w:rsidRPr="00CB12C0" w:rsidRDefault="00DB0CF5" w:rsidP="003D1F15">
            <w:pPr>
              <w:shd w:val="clear" w:color="auto" w:fill="FFFFFF"/>
              <w:spacing w:after="0" w:line="240" w:lineRule="auto"/>
              <w:jc w:val="both"/>
              <w:rPr>
                <w:rFonts w:ascii="Times New Roman" w:eastAsia="Times New Roman" w:hAnsi="Times New Roman" w:cs="Times New Roman"/>
                <w:sz w:val="24"/>
                <w:szCs w:val="24"/>
                <w:lang w:eastAsia="lv-LV"/>
              </w:rPr>
            </w:pPr>
            <w:hyperlink r:id="rId21" w:tgtFrame="_blank" w:history="1">
              <w:r w:rsidRPr="00DB0CF5">
                <w:rPr>
                  <w:rFonts w:ascii="Times New Roman" w:eastAsia="Times New Roman" w:hAnsi="Times New Roman" w:cs="Times New Roman"/>
                  <w:sz w:val="24"/>
                  <w:szCs w:val="24"/>
                  <w:lang w:eastAsia="lv-LV"/>
                </w:rPr>
                <w:t>Segto obligāciju likuma</w:t>
              </w:r>
            </w:hyperlink>
            <w:r w:rsidRPr="00DB0CF5">
              <w:rPr>
                <w:rFonts w:ascii="Times New Roman" w:eastAsia="Times New Roman" w:hAnsi="Times New Roman" w:cs="Times New Roman"/>
                <w:sz w:val="24"/>
                <w:szCs w:val="24"/>
                <w:lang w:eastAsia="lv-LV"/>
              </w:rPr>
              <w:t> </w:t>
            </w:r>
            <w:hyperlink r:id="rId22" w:anchor="p99" w:tgtFrame="_blank" w:history="1">
              <w:r w:rsidRPr="00DB0CF5">
                <w:rPr>
                  <w:rFonts w:ascii="Times New Roman" w:eastAsia="Times New Roman" w:hAnsi="Times New Roman" w:cs="Times New Roman"/>
                  <w:sz w:val="24"/>
                  <w:szCs w:val="24"/>
                  <w:lang w:eastAsia="lv-LV"/>
                </w:rPr>
                <w:t>99. panta</w:t>
              </w:r>
            </w:hyperlink>
            <w:r w:rsidRPr="00DB0CF5">
              <w:rPr>
                <w:rFonts w:ascii="Times New Roman" w:eastAsia="Times New Roman" w:hAnsi="Times New Roman" w:cs="Times New Roman"/>
                <w:sz w:val="24"/>
                <w:szCs w:val="24"/>
                <w:lang w:eastAsia="lv-LV"/>
              </w:rPr>
              <w:t> treš</w:t>
            </w:r>
            <w:r>
              <w:rPr>
                <w:rFonts w:ascii="Times New Roman" w:eastAsia="Times New Roman" w:hAnsi="Times New Roman" w:cs="Times New Roman"/>
                <w:sz w:val="24"/>
                <w:szCs w:val="24"/>
                <w:lang w:eastAsia="lv-LV"/>
              </w:rPr>
              <w:t>ā</w:t>
            </w:r>
            <w:r w:rsidRPr="00DB0CF5">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F62DE2" w:rsidRPr="004E3F4A" w14:paraId="248CA3CA" w14:textId="77777777" w:rsidTr="00ED184E">
        <w:trPr>
          <w:trHeight w:val="567"/>
        </w:trPr>
        <w:tc>
          <w:tcPr>
            <w:tcW w:w="1248" w:type="pct"/>
            <w:shd w:val="clear" w:color="auto" w:fill="auto"/>
            <w:hideMark/>
          </w:tcPr>
          <w:p w14:paraId="71105B1A" w14:textId="77777777" w:rsidR="00A42788" w:rsidRPr="003E62F3" w:rsidRDefault="00A42788" w:rsidP="00F62DE2">
            <w:pPr>
              <w:spacing w:after="0" w:line="240" w:lineRule="auto"/>
              <w:rPr>
                <w:rFonts w:ascii="Times New Roman" w:eastAsia="Times New Roman" w:hAnsi="Times New Roman" w:cs="Times New Roman"/>
                <w:b/>
                <w:bCs/>
                <w:sz w:val="24"/>
                <w:szCs w:val="24"/>
                <w:lang w:eastAsia="lv-LV"/>
              </w:rPr>
            </w:pPr>
            <w:r w:rsidRPr="003E62F3">
              <w:rPr>
                <w:rFonts w:ascii="Times New Roman" w:eastAsia="Times New Roman" w:hAnsi="Times New Roman" w:cs="Times New Roman"/>
                <w:b/>
                <w:bCs/>
                <w:sz w:val="24"/>
                <w:szCs w:val="24"/>
                <w:lang w:eastAsia="lv-LV"/>
              </w:rPr>
              <w:t>Mērķis un būtība</w:t>
            </w:r>
          </w:p>
          <w:p w14:paraId="1B83DA20" w14:textId="77777777" w:rsidR="00CA28AB" w:rsidRPr="003E62F3"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12F2573" w14:textId="62A36C82" w:rsidR="0028337B" w:rsidRPr="0028337B" w:rsidRDefault="0094030E" w:rsidP="0028337B">
            <w:pPr>
              <w:jc w:val="both"/>
              <w:rPr>
                <w:rFonts w:ascii="Times New Roman" w:hAnsi="Times New Roman" w:cs="Times New Roman"/>
                <w:sz w:val="24"/>
                <w:szCs w:val="24"/>
              </w:rPr>
            </w:pPr>
            <w:r>
              <w:rPr>
                <w:rFonts w:ascii="Times New Roman" w:hAnsi="Times New Roman" w:cs="Times New Roman"/>
                <w:sz w:val="24"/>
                <w:szCs w:val="24"/>
              </w:rPr>
              <w:t xml:space="preserve">Finanšu tirgū un tā dalībnieku rīcībā iespējams konstatēt </w:t>
            </w:r>
            <w:r w:rsidR="005902F9">
              <w:rPr>
                <w:rFonts w:ascii="Times New Roman" w:hAnsi="Times New Roman" w:cs="Times New Roman"/>
                <w:sz w:val="24"/>
                <w:szCs w:val="24"/>
              </w:rPr>
              <w:t>gadījumus</w:t>
            </w:r>
            <w:r>
              <w:rPr>
                <w:rFonts w:ascii="Times New Roman" w:hAnsi="Times New Roman" w:cs="Times New Roman"/>
                <w:sz w:val="24"/>
                <w:szCs w:val="24"/>
              </w:rPr>
              <w:t>, k</w:t>
            </w:r>
            <w:r w:rsidR="005902F9">
              <w:rPr>
                <w:rFonts w:ascii="Times New Roman" w:hAnsi="Times New Roman" w:cs="Times New Roman"/>
                <w:sz w:val="24"/>
                <w:szCs w:val="24"/>
              </w:rPr>
              <w:t>as</w:t>
            </w:r>
            <w:r>
              <w:rPr>
                <w:rFonts w:ascii="Times New Roman" w:hAnsi="Times New Roman" w:cs="Times New Roman"/>
                <w:sz w:val="24"/>
                <w:szCs w:val="24"/>
              </w:rPr>
              <w:t xml:space="preserve"> neatbilst tiesību aktos noteiktajiem standartiem. Savukārt bez sabiedrības locekļu aktīvas iesaistes un atbalsta ikviena tiesību norma darbojas</w:t>
            </w:r>
            <w:r w:rsidR="005902F9">
              <w:rPr>
                <w:rFonts w:ascii="Times New Roman" w:hAnsi="Times New Roman" w:cs="Times New Roman"/>
                <w:sz w:val="24"/>
                <w:szCs w:val="24"/>
              </w:rPr>
              <w:t xml:space="preserve"> nepilnvērtīgi. </w:t>
            </w:r>
            <w:r w:rsidR="0028337B" w:rsidRPr="0028337B">
              <w:rPr>
                <w:rFonts w:ascii="Times New Roman" w:hAnsi="Times New Roman" w:cs="Times New Roman"/>
                <w:sz w:val="24"/>
                <w:szCs w:val="24"/>
              </w:rPr>
              <w:t xml:space="preserve">Lai veicinātu </w:t>
            </w:r>
            <w:r w:rsidR="005902F9">
              <w:rPr>
                <w:rFonts w:ascii="Times New Roman" w:hAnsi="Times New Roman" w:cs="Times New Roman"/>
                <w:sz w:val="24"/>
                <w:szCs w:val="24"/>
              </w:rPr>
              <w:t xml:space="preserve">savlaicīgu, </w:t>
            </w:r>
            <w:r w:rsidR="0028337B" w:rsidRPr="0028337B">
              <w:rPr>
                <w:rFonts w:ascii="Times New Roman" w:hAnsi="Times New Roman" w:cs="Times New Roman"/>
                <w:sz w:val="24"/>
                <w:szCs w:val="24"/>
              </w:rPr>
              <w:t xml:space="preserve">vienotu un precīzu </w:t>
            </w:r>
            <w:r w:rsidR="005902F9">
              <w:rPr>
                <w:rFonts w:ascii="Times New Roman" w:hAnsi="Times New Roman" w:cs="Times New Roman"/>
                <w:sz w:val="24"/>
                <w:szCs w:val="24"/>
              </w:rPr>
              <w:t xml:space="preserve">finanšu tirgu </w:t>
            </w:r>
            <w:r w:rsidR="0028337B" w:rsidRPr="0028337B">
              <w:rPr>
                <w:rFonts w:ascii="Times New Roman" w:hAnsi="Times New Roman" w:cs="Times New Roman"/>
                <w:sz w:val="24"/>
                <w:szCs w:val="24"/>
              </w:rPr>
              <w:t xml:space="preserve">regulējošo prasību piemērošanu un finanšu tirgus dalībnieku darbības kvalitāti, </w:t>
            </w:r>
            <w:r w:rsidR="0028337B">
              <w:rPr>
                <w:rFonts w:ascii="Times New Roman" w:hAnsi="Times New Roman" w:cs="Times New Roman"/>
                <w:sz w:val="24"/>
                <w:szCs w:val="24"/>
              </w:rPr>
              <w:t>š</w:t>
            </w:r>
            <w:r w:rsidR="0028337B" w:rsidRPr="0028337B">
              <w:rPr>
                <w:rFonts w:ascii="Times New Roman" w:hAnsi="Times New Roman" w:cs="Times New Roman"/>
                <w:sz w:val="24"/>
                <w:szCs w:val="24"/>
              </w:rPr>
              <w:t>obrīd ir spēkā Finanšu un kapitāla tirgus komisijas 2020. gada 22. decembra normatīv</w:t>
            </w:r>
            <w:r w:rsidR="0028337B">
              <w:rPr>
                <w:rFonts w:ascii="Times New Roman" w:hAnsi="Times New Roman" w:cs="Times New Roman"/>
                <w:sz w:val="24"/>
                <w:szCs w:val="24"/>
              </w:rPr>
              <w:t>ie</w:t>
            </w:r>
            <w:r w:rsidR="0028337B" w:rsidRPr="0028337B">
              <w:rPr>
                <w:rFonts w:ascii="Times New Roman" w:hAnsi="Times New Roman" w:cs="Times New Roman"/>
                <w:sz w:val="24"/>
                <w:szCs w:val="24"/>
              </w:rPr>
              <w:t xml:space="preserve"> noteikum</w:t>
            </w:r>
            <w:r w:rsidR="0028337B">
              <w:rPr>
                <w:rFonts w:ascii="Times New Roman" w:hAnsi="Times New Roman" w:cs="Times New Roman"/>
                <w:sz w:val="24"/>
                <w:szCs w:val="24"/>
              </w:rPr>
              <w:t>i</w:t>
            </w:r>
            <w:r w:rsidR="0028337B" w:rsidRPr="0028337B">
              <w:rPr>
                <w:rFonts w:ascii="Times New Roman" w:hAnsi="Times New Roman" w:cs="Times New Roman"/>
                <w:sz w:val="24"/>
                <w:szCs w:val="24"/>
              </w:rPr>
              <w:t xml:space="preserve"> Nr.</w:t>
            </w:r>
            <w:r w:rsidR="00535526">
              <w:rPr>
                <w:rFonts w:ascii="Times New Roman" w:hAnsi="Times New Roman" w:cs="Times New Roman"/>
                <w:sz w:val="24"/>
                <w:szCs w:val="24"/>
              </w:rPr>
              <w:t> </w:t>
            </w:r>
            <w:r w:rsidR="0028337B" w:rsidRPr="0028337B">
              <w:rPr>
                <w:rFonts w:ascii="Times New Roman" w:hAnsi="Times New Roman" w:cs="Times New Roman"/>
                <w:sz w:val="24"/>
                <w:szCs w:val="24"/>
              </w:rPr>
              <w:t>241 "Normatīvie noteikumi par kārtību, kādā persona var iesniegt un Finanšu un kapitāla tirgus komisija izskata ziņojumu par finanšu un kapitāla tirgu regulējošo normatīvo aktu iespējamiem vai faktiskiem pārkāpumiem"</w:t>
            </w:r>
            <w:r w:rsidR="0028337B">
              <w:rPr>
                <w:rFonts w:ascii="Times New Roman" w:hAnsi="Times New Roman" w:cs="Times New Roman"/>
                <w:sz w:val="24"/>
                <w:szCs w:val="24"/>
              </w:rPr>
              <w:t xml:space="preserve"> </w:t>
            </w:r>
            <w:r w:rsidR="0028337B" w:rsidRPr="0028337B">
              <w:rPr>
                <w:rFonts w:ascii="Times New Roman" w:hAnsi="Times New Roman" w:cs="Times New Roman"/>
                <w:sz w:val="24"/>
                <w:szCs w:val="24"/>
              </w:rPr>
              <w:t xml:space="preserve">(turpmāk – Noteikumi Nr. </w:t>
            </w:r>
            <w:r w:rsidR="0028337B">
              <w:rPr>
                <w:rFonts w:ascii="Times New Roman" w:hAnsi="Times New Roman" w:cs="Times New Roman"/>
                <w:sz w:val="24"/>
                <w:szCs w:val="24"/>
              </w:rPr>
              <w:t>241</w:t>
            </w:r>
            <w:r w:rsidR="0028337B" w:rsidRPr="0028337B">
              <w:rPr>
                <w:rFonts w:ascii="Times New Roman" w:hAnsi="Times New Roman" w:cs="Times New Roman"/>
                <w:sz w:val="24"/>
                <w:szCs w:val="24"/>
              </w:rPr>
              <w:t>).</w:t>
            </w:r>
          </w:p>
          <w:p w14:paraId="58BC60DA" w14:textId="32869197" w:rsidR="0028337B" w:rsidRPr="0028337B" w:rsidRDefault="0028337B" w:rsidP="0028337B">
            <w:pPr>
              <w:jc w:val="both"/>
              <w:rPr>
                <w:rFonts w:ascii="Times New Roman" w:hAnsi="Times New Roman" w:cs="Times New Roman"/>
                <w:sz w:val="24"/>
                <w:szCs w:val="24"/>
              </w:rPr>
            </w:pPr>
            <w:r w:rsidRPr="0028337B">
              <w:rPr>
                <w:rFonts w:ascii="Times New Roman" w:hAnsi="Times New Roman" w:cs="Times New Roman"/>
                <w:sz w:val="24"/>
                <w:szCs w:val="24"/>
              </w:rPr>
              <w:t>Savukārt saskaņā ar Latvijas Bankas likuma pārejas noteikumu 3.</w:t>
            </w:r>
            <w:r w:rsidR="00FD76FB">
              <w:t> </w:t>
            </w:r>
            <w:r w:rsidRPr="0028337B">
              <w:rPr>
                <w:rFonts w:ascii="Times New Roman" w:hAnsi="Times New Roman" w:cs="Times New Roman"/>
                <w:sz w:val="24"/>
                <w:szCs w:val="24"/>
              </w:rPr>
              <w:t>punktu Finanšu un kapitāla tirgus komisijas ārējie normatīvie akti, kas izdoti līdz 2022. gada 31. decembrim, piemērojami līdz dienai, kad stājas spēkā attiecīgie Latvijas Bankas ārējie normatīvie akti, bet ne ilgāk kā līdz 2024. gada 31. decembrim. Ņemot vērā minēto, Latvijas Banka ir izstrādājusi noteikumu projektu "Noteikumi</w:t>
            </w:r>
            <w:r w:rsidR="00FD76FB">
              <w:rPr>
                <w:rFonts w:ascii="Times New Roman" w:hAnsi="Times New Roman" w:cs="Times New Roman"/>
                <w:sz w:val="24"/>
                <w:szCs w:val="24"/>
              </w:rPr>
              <w:t xml:space="preserve"> par kārtību</w:t>
            </w:r>
            <w:r w:rsidRPr="0028337B">
              <w:rPr>
                <w:rFonts w:ascii="Times New Roman" w:hAnsi="Times New Roman" w:cs="Times New Roman"/>
                <w:sz w:val="24"/>
                <w:szCs w:val="24"/>
              </w:rPr>
              <w:t xml:space="preserve">, kādā persona var iesniegt un Latvijas Banka izskata ziņojumu par finanšu tirgu regulējošo normatīvo aktu iespējamiem vai faktiskiem pārkāpumiem" (turpmāk – projekts), kas aizstās Noteikumus Nr. </w:t>
            </w:r>
            <w:r>
              <w:rPr>
                <w:rFonts w:ascii="Times New Roman" w:hAnsi="Times New Roman" w:cs="Times New Roman"/>
                <w:sz w:val="24"/>
                <w:szCs w:val="24"/>
              </w:rPr>
              <w:t>241</w:t>
            </w:r>
            <w:r w:rsidRPr="0028337B">
              <w:rPr>
                <w:rFonts w:ascii="Times New Roman" w:hAnsi="Times New Roman" w:cs="Times New Roman"/>
                <w:sz w:val="24"/>
                <w:szCs w:val="24"/>
              </w:rPr>
              <w:t>.</w:t>
            </w:r>
          </w:p>
          <w:p w14:paraId="7746ABBE" w14:textId="1150F4A6" w:rsidR="0028337B" w:rsidRPr="0028337B" w:rsidRDefault="0028337B" w:rsidP="0028337B">
            <w:pPr>
              <w:jc w:val="both"/>
              <w:rPr>
                <w:rFonts w:ascii="Times New Roman" w:hAnsi="Times New Roman" w:cs="Times New Roman"/>
                <w:sz w:val="24"/>
                <w:szCs w:val="24"/>
              </w:rPr>
            </w:pPr>
            <w:r w:rsidRPr="0028337B">
              <w:rPr>
                <w:rFonts w:ascii="Times New Roman" w:hAnsi="Times New Roman" w:cs="Times New Roman"/>
                <w:sz w:val="24"/>
                <w:szCs w:val="24"/>
              </w:rPr>
              <w:t xml:space="preserve">Projektā saglabāts Noteikumos Nr. </w:t>
            </w:r>
            <w:r>
              <w:rPr>
                <w:rFonts w:ascii="Times New Roman" w:hAnsi="Times New Roman" w:cs="Times New Roman"/>
                <w:sz w:val="24"/>
                <w:szCs w:val="24"/>
              </w:rPr>
              <w:t>241</w:t>
            </w:r>
            <w:r w:rsidRPr="0028337B">
              <w:rPr>
                <w:rFonts w:ascii="Times New Roman" w:hAnsi="Times New Roman" w:cs="Times New Roman"/>
                <w:sz w:val="24"/>
                <w:szCs w:val="24"/>
              </w:rPr>
              <w:t xml:space="preserve"> ietvertais regulējums.</w:t>
            </w:r>
          </w:p>
          <w:p w14:paraId="2C53C3D6" w14:textId="3C346405" w:rsidR="00FF792B" w:rsidRPr="00DE01DF" w:rsidRDefault="0028337B" w:rsidP="00B03E65">
            <w:pPr>
              <w:jc w:val="both"/>
              <w:rPr>
                <w:rFonts w:ascii="Times New Roman" w:hAnsi="Times New Roman" w:cs="Times New Roman"/>
                <w:sz w:val="24"/>
                <w:szCs w:val="24"/>
              </w:rPr>
            </w:pPr>
            <w:r>
              <w:rPr>
                <w:rFonts w:ascii="Times New Roman" w:hAnsi="Times New Roman" w:cs="Times New Roman"/>
                <w:sz w:val="24"/>
                <w:szCs w:val="24"/>
              </w:rPr>
              <w:t xml:space="preserve">Projekts ir </w:t>
            </w:r>
            <w:r w:rsidRPr="0028337B">
              <w:rPr>
                <w:rFonts w:ascii="Times New Roman" w:hAnsi="Times New Roman" w:cs="Times New Roman"/>
                <w:sz w:val="24"/>
                <w:szCs w:val="24"/>
              </w:rPr>
              <w:t>izstrādāt</w:t>
            </w:r>
            <w:r>
              <w:rPr>
                <w:rFonts w:ascii="Times New Roman" w:hAnsi="Times New Roman" w:cs="Times New Roman"/>
                <w:sz w:val="24"/>
                <w:szCs w:val="24"/>
              </w:rPr>
              <w:t>s</w:t>
            </w:r>
            <w:r w:rsidRPr="0028337B">
              <w:rPr>
                <w:rFonts w:ascii="Times New Roman" w:hAnsi="Times New Roman" w:cs="Times New Roman"/>
                <w:sz w:val="24"/>
                <w:szCs w:val="24"/>
              </w:rPr>
              <w:t xml:space="preserve">, ieviešot </w:t>
            </w:r>
            <w:r w:rsidR="005902F9" w:rsidRPr="005902F9">
              <w:rPr>
                <w:rFonts w:ascii="Times New Roman" w:hAnsi="Times New Roman" w:cs="Times New Roman"/>
                <w:sz w:val="24"/>
                <w:szCs w:val="24"/>
              </w:rPr>
              <w:t xml:space="preserve">Komisijas 2015. gada 17. decembra </w:t>
            </w:r>
            <w:r w:rsidRPr="0028337B">
              <w:rPr>
                <w:rFonts w:ascii="Times New Roman" w:hAnsi="Times New Roman" w:cs="Times New Roman"/>
                <w:sz w:val="24"/>
                <w:szCs w:val="24"/>
              </w:rPr>
              <w:t>Īstenošanas direktīvu (ES) 2015/2392 par Eiropas Parlamenta un Padomes Regulu (ES) Nr. 596/2014 attiecībā uz ziņošanu kompetentajām iestādēm par faktiskajiem vai iespējamajiem minētās regulas pārkāpumiem</w:t>
            </w:r>
            <w:r w:rsidR="00EC77F9">
              <w:rPr>
                <w:rFonts w:ascii="Times New Roman" w:hAnsi="Times New Roman" w:cs="Times New Roman"/>
                <w:sz w:val="24"/>
                <w:szCs w:val="24"/>
              </w:rPr>
              <w:t xml:space="preserve"> (turpmāk – </w:t>
            </w:r>
            <w:r w:rsidR="00EC77F9" w:rsidRPr="0028337B">
              <w:rPr>
                <w:rFonts w:ascii="Times New Roman" w:hAnsi="Times New Roman" w:cs="Times New Roman"/>
                <w:sz w:val="24"/>
                <w:szCs w:val="24"/>
              </w:rPr>
              <w:t>Īstenošanas direktīv</w:t>
            </w:r>
            <w:r w:rsidR="00EC77F9">
              <w:rPr>
                <w:rFonts w:ascii="Times New Roman" w:hAnsi="Times New Roman" w:cs="Times New Roman"/>
                <w:sz w:val="24"/>
                <w:szCs w:val="24"/>
              </w:rPr>
              <w:t>a)</w:t>
            </w:r>
            <w:r w:rsidRPr="0028337B">
              <w:rPr>
                <w:rFonts w:ascii="Times New Roman" w:hAnsi="Times New Roman" w:cs="Times New Roman"/>
                <w:sz w:val="24"/>
                <w:szCs w:val="24"/>
              </w:rPr>
              <w:t xml:space="preserve">. Laika gaitā šādas prasības attiecībā uz ziņošanu kompetentajām iestādēm par </w:t>
            </w:r>
            <w:r w:rsidRPr="0028337B">
              <w:rPr>
                <w:rFonts w:ascii="Times New Roman" w:hAnsi="Times New Roman" w:cs="Times New Roman"/>
                <w:sz w:val="24"/>
                <w:szCs w:val="24"/>
              </w:rPr>
              <w:lastRenderedPageBreak/>
              <w:t>faktiskiem vai iespējamiem pārkāpumiem tik</w:t>
            </w:r>
            <w:r w:rsidR="005902F9">
              <w:rPr>
                <w:rFonts w:ascii="Times New Roman" w:hAnsi="Times New Roman" w:cs="Times New Roman"/>
                <w:sz w:val="24"/>
                <w:szCs w:val="24"/>
              </w:rPr>
              <w:t>uš</w:t>
            </w:r>
            <w:r w:rsidRPr="0028337B">
              <w:rPr>
                <w:rFonts w:ascii="Times New Roman" w:hAnsi="Times New Roman" w:cs="Times New Roman"/>
                <w:sz w:val="24"/>
                <w:szCs w:val="24"/>
              </w:rPr>
              <w:t>a</w:t>
            </w:r>
            <w:r w:rsidR="005902F9">
              <w:rPr>
                <w:rFonts w:ascii="Times New Roman" w:hAnsi="Times New Roman" w:cs="Times New Roman"/>
                <w:sz w:val="24"/>
                <w:szCs w:val="24"/>
              </w:rPr>
              <w:t>s</w:t>
            </w:r>
            <w:r w:rsidRPr="0028337B">
              <w:rPr>
                <w:rFonts w:ascii="Times New Roman" w:hAnsi="Times New Roman" w:cs="Times New Roman"/>
                <w:sz w:val="24"/>
                <w:szCs w:val="24"/>
              </w:rPr>
              <w:t xml:space="preserve"> iekļautas arī citu </w:t>
            </w:r>
            <w:r w:rsidR="005902F9">
              <w:rPr>
                <w:rFonts w:ascii="Times New Roman" w:hAnsi="Times New Roman" w:cs="Times New Roman"/>
                <w:sz w:val="24"/>
                <w:szCs w:val="24"/>
              </w:rPr>
              <w:t xml:space="preserve">finanšu tirgus </w:t>
            </w:r>
            <w:r w:rsidRPr="0028337B">
              <w:rPr>
                <w:rFonts w:ascii="Times New Roman" w:hAnsi="Times New Roman" w:cs="Times New Roman"/>
                <w:sz w:val="24"/>
                <w:szCs w:val="24"/>
              </w:rPr>
              <w:t xml:space="preserve">nozaru direktīvās un regulās. </w:t>
            </w:r>
            <w:r w:rsidR="00CF1C23">
              <w:rPr>
                <w:rFonts w:ascii="Times New Roman" w:hAnsi="Times New Roman" w:cs="Times New Roman"/>
                <w:sz w:val="24"/>
                <w:szCs w:val="24"/>
              </w:rPr>
              <w:t>N</w:t>
            </w:r>
            <w:r w:rsidR="00CF1C23" w:rsidRPr="0028337B">
              <w:rPr>
                <w:rFonts w:ascii="Times New Roman" w:hAnsi="Times New Roman" w:cs="Times New Roman"/>
                <w:sz w:val="24"/>
                <w:szCs w:val="24"/>
              </w:rPr>
              <w:t xml:space="preserve">oteikumi </w:t>
            </w:r>
            <w:r w:rsidRPr="0028337B">
              <w:rPr>
                <w:rFonts w:ascii="Times New Roman" w:hAnsi="Times New Roman" w:cs="Times New Roman"/>
                <w:sz w:val="24"/>
                <w:szCs w:val="24"/>
              </w:rPr>
              <w:t xml:space="preserve">tiek izdoti, </w:t>
            </w:r>
            <w:r w:rsidR="00D84BE6">
              <w:rPr>
                <w:rFonts w:ascii="Times New Roman" w:hAnsi="Times New Roman" w:cs="Times New Roman"/>
                <w:sz w:val="24"/>
                <w:szCs w:val="24"/>
              </w:rPr>
              <w:t>lai izpildītu likumdevēja noteikto deleģējumu, kas ietverta</w:t>
            </w:r>
            <w:r w:rsidRPr="0028337B">
              <w:rPr>
                <w:rFonts w:ascii="Times New Roman" w:hAnsi="Times New Roman" w:cs="Times New Roman"/>
                <w:sz w:val="24"/>
                <w:szCs w:val="24"/>
              </w:rPr>
              <w:t xml:space="preserve"> </w:t>
            </w:r>
            <w:r w:rsidR="005902F9" w:rsidRPr="0028337B">
              <w:rPr>
                <w:rFonts w:ascii="Times New Roman" w:hAnsi="Times New Roman" w:cs="Times New Roman"/>
                <w:sz w:val="24"/>
                <w:szCs w:val="24"/>
              </w:rPr>
              <w:t>Alternatīvo ieguldījumu fondu un to pārvaldnieku likuma 86.</w:t>
            </w:r>
            <w:r w:rsidR="005902F9" w:rsidRPr="00FF792B">
              <w:rPr>
                <w:rFonts w:ascii="Times New Roman" w:hAnsi="Times New Roman" w:cs="Times New Roman"/>
                <w:sz w:val="24"/>
                <w:szCs w:val="24"/>
                <w:vertAlign w:val="superscript"/>
              </w:rPr>
              <w:t>1</w:t>
            </w:r>
            <w:r w:rsidR="005902F9" w:rsidRPr="0028337B">
              <w:rPr>
                <w:rFonts w:ascii="Times New Roman" w:hAnsi="Times New Roman" w:cs="Times New Roman"/>
                <w:sz w:val="24"/>
                <w:szCs w:val="24"/>
              </w:rPr>
              <w:t xml:space="preserve"> panta treš</w:t>
            </w:r>
            <w:r w:rsidR="00D84BE6">
              <w:rPr>
                <w:rFonts w:ascii="Times New Roman" w:hAnsi="Times New Roman" w:cs="Times New Roman"/>
                <w:sz w:val="24"/>
                <w:szCs w:val="24"/>
              </w:rPr>
              <w:t>ajā</w:t>
            </w:r>
            <w:r w:rsidR="005902F9" w:rsidRPr="0028337B">
              <w:rPr>
                <w:rFonts w:ascii="Times New Roman" w:hAnsi="Times New Roman" w:cs="Times New Roman"/>
                <w:sz w:val="24"/>
                <w:szCs w:val="24"/>
              </w:rPr>
              <w:t xml:space="preserve"> daļ</w:t>
            </w:r>
            <w:r w:rsidR="00D84BE6">
              <w:rPr>
                <w:rFonts w:ascii="Times New Roman" w:hAnsi="Times New Roman" w:cs="Times New Roman"/>
                <w:sz w:val="24"/>
                <w:szCs w:val="24"/>
              </w:rPr>
              <w:t>ā</w:t>
            </w:r>
            <w:r w:rsidR="005902F9" w:rsidRPr="0028337B">
              <w:rPr>
                <w:rFonts w:ascii="Times New Roman" w:hAnsi="Times New Roman" w:cs="Times New Roman"/>
                <w:sz w:val="24"/>
                <w:szCs w:val="24"/>
              </w:rPr>
              <w:t>, Apdrošināšanas un pārapdrošināšanas izplatīšanas likuma 69. panta treš</w:t>
            </w:r>
            <w:r w:rsidR="00D84BE6">
              <w:rPr>
                <w:rFonts w:ascii="Times New Roman" w:hAnsi="Times New Roman" w:cs="Times New Roman"/>
                <w:sz w:val="24"/>
                <w:szCs w:val="24"/>
              </w:rPr>
              <w:t>ajā</w:t>
            </w:r>
            <w:r w:rsidR="005902F9" w:rsidRPr="0028337B">
              <w:rPr>
                <w:rFonts w:ascii="Times New Roman" w:hAnsi="Times New Roman" w:cs="Times New Roman"/>
                <w:sz w:val="24"/>
                <w:szCs w:val="24"/>
              </w:rPr>
              <w:t xml:space="preserve"> daļ</w:t>
            </w:r>
            <w:r w:rsidR="00D84BE6">
              <w:rPr>
                <w:rFonts w:ascii="Times New Roman" w:hAnsi="Times New Roman" w:cs="Times New Roman"/>
                <w:sz w:val="24"/>
                <w:szCs w:val="24"/>
              </w:rPr>
              <w:t>ā</w:t>
            </w:r>
            <w:r w:rsidR="005902F9" w:rsidRPr="0028337B">
              <w:rPr>
                <w:rFonts w:ascii="Times New Roman" w:hAnsi="Times New Roman" w:cs="Times New Roman"/>
                <w:sz w:val="24"/>
                <w:szCs w:val="24"/>
              </w:rPr>
              <w:t>,</w:t>
            </w:r>
            <w:r w:rsidR="005902F9">
              <w:rPr>
                <w:rFonts w:ascii="Times New Roman" w:hAnsi="Times New Roman" w:cs="Times New Roman"/>
                <w:sz w:val="24"/>
                <w:szCs w:val="24"/>
              </w:rPr>
              <w:t xml:space="preserve"> </w:t>
            </w:r>
            <w:r w:rsidRPr="0028337B">
              <w:rPr>
                <w:rFonts w:ascii="Times New Roman" w:hAnsi="Times New Roman" w:cs="Times New Roman"/>
                <w:sz w:val="24"/>
                <w:szCs w:val="24"/>
              </w:rPr>
              <w:t>Finanšu instrumentu tirgus likuma 147.</w:t>
            </w:r>
            <w:r w:rsidRPr="00FF792B">
              <w:rPr>
                <w:rFonts w:ascii="Times New Roman" w:hAnsi="Times New Roman" w:cs="Times New Roman"/>
                <w:sz w:val="24"/>
                <w:szCs w:val="24"/>
                <w:vertAlign w:val="superscript"/>
              </w:rPr>
              <w:t>6</w:t>
            </w:r>
            <w:r w:rsidRPr="0028337B">
              <w:rPr>
                <w:rFonts w:ascii="Times New Roman" w:hAnsi="Times New Roman" w:cs="Times New Roman"/>
                <w:sz w:val="24"/>
                <w:szCs w:val="24"/>
              </w:rPr>
              <w:t xml:space="preserve"> panta treš</w:t>
            </w:r>
            <w:r w:rsidR="00D84BE6">
              <w:rPr>
                <w:rFonts w:ascii="Times New Roman" w:hAnsi="Times New Roman" w:cs="Times New Roman"/>
                <w:sz w:val="24"/>
                <w:szCs w:val="24"/>
              </w:rPr>
              <w:t>ajā</w:t>
            </w:r>
            <w:r w:rsidRPr="0028337B">
              <w:rPr>
                <w:rFonts w:ascii="Times New Roman" w:hAnsi="Times New Roman" w:cs="Times New Roman"/>
                <w:sz w:val="24"/>
                <w:szCs w:val="24"/>
              </w:rPr>
              <w:t xml:space="preserve"> daļ</w:t>
            </w:r>
            <w:r w:rsidR="00D84BE6">
              <w:rPr>
                <w:rFonts w:ascii="Times New Roman" w:hAnsi="Times New Roman" w:cs="Times New Roman"/>
                <w:sz w:val="24"/>
                <w:szCs w:val="24"/>
              </w:rPr>
              <w:t>ā</w:t>
            </w:r>
            <w:r w:rsidRPr="0028337B">
              <w:rPr>
                <w:rFonts w:ascii="Times New Roman" w:hAnsi="Times New Roman" w:cs="Times New Roman"/>
                <w:sz w:val="24"/>
                <w:szCs w:val="24"/>
              </w:rPr>
              <w:t xml:space="preserve">, </w:t>
            </w:r>
            <w:r w:rsidR="005902F9" w:rsidRPr="00586021">
              <w:rPr>
                <w:rFonts w:ascii="Times New Roman" w:hAnsi="Times New Roman" w:cs="Times New Roman"/>
                <w:sz w:val="24"/>
                <w:szCs w:val="24"/>
              </w:rPr>
              <w:t>Ieguldījumu brokeru sabiedrību likuma 38. panta piekt</w:t>
            </w:r>
            <w:r w:rsidR="00D84BE6">
              <w:rPr>
                <w:rFonts w:ascii="Times New Roman" w:hAnsi="Times New Roman" w:cs="Times New Roman"/>
                <w:sz w:val="24"/>
                <w:szCs w:val="24"/>
              </w:rPr>
              <w:t>ajā</w:t>
            </w:r>
            <w:r w:rsidR="005902F9">
              <w:rPr>
                <w:rFonts w:ascii="Times New Roman" w:hAnsi="Times New Roman" w:cs="Times New Roman"/>
                <w:sz w:val="24"/>
                <w:szCs w:val="24"/>
              </w:rPr>
              <w:t xml:space="preserve"> </w:t>
            </w:r>
            <w:r w:rsidR="005902F9" w:rsidRPr="00586021">
              <w:rPr>
                <w:rFonts w:ascii="Times New Roman" w:hAnsi="Times New Roman" w:cs="Times New Roman"/>
                <w:sz w:val="24"/>
                <w:szCs w:val="24"/>
              </w:rPr>
              <w:t>daļ</w:t>
            </w:r>
            <w:r w:rsidR="00D84BE6">
              <w:rPr>
                <w:rFonts w:ascii="Times New Roman" w:hAnsi="Times New Roman" w:cs="Times New Roman"/>
                <w:sz w:val="24"/>
                <w:szCs w:val="24"/>
              </w:rPr>
              <w:t>ā</w:t>
            </w:r>
            <w:r w:rsidR="005902F9">
              <w:rPr>
                <w:rFonts w:ascii="Times New Roman" w:hAnsi="Times New Roman" w:cs="Times New Roman"/>
                <w:sz w:val="24"/>
                <w:szCs w:val="24"/>
              </w:rPr>
              <w:t>,</w:t>
            </w:r>
            <w:r w:rsidR="005902F9" w:rsidRPr="00586021">
              <w:rPr>
                <w:rFonts w:ascii="Times New Roman" w:hAnsi="Times New Roman" w:cs="Times New Roman"/>
                <w:sz w:val="24"/>
                <w:szCs w:val="24"/>
              </w:rPr>
              <w:t xml:space="preserve"> </w:t>
            </w:r>
            <w:r w:rsidRPr="0028337B">
              <w:rPr>
                <w:rFonts w:ascii="Times New Roman" w:hAnsi="Times New Roman" w:cs="Times New Roman"/>
                <w:sz w:val="24"/>
                <w:szCs w:val="24"/>
              </w:rPr>
              <w:t>Ieguldījumu pārvaldes sabiedrību likuma 86.</w:t>
            </w:r>
            <w:r w:rsidRPr="00FF792B">
              <w:rPr>
                <w:rFonts w:ascii="Times New Roman" w:hAnsi="Times New Roman" w:cs="Times New Roman"/>
                <w:sz w:val="24"/>
                <w:szCs w:val="24"/>
                <w:vertAlign w:val="superscript"/>
              </w:rPr>
              <w:t>1</w:t>
            </w:r>
            <w:r w:rsidRPr="0028337B">
              <w:rPr>
                <w:rFonts w:ascii="Times New Roman" w:hAnsi="Times New Roman" w:cs="Times New Roman"/>
                <w:sz w:val="24"/>
                <w:szCs w:val="24"/>
              </w:rPr>
              <w:t xml:space="preserve"> panta treš</w:t>
            </w:r>
            <w:r w:rsidR="00D84BE6">
              <w:rPr>
                <w:rFonts w:ascii="Times New Roman" w:hAnsi="Times New Roman" w:cs="Times New Roman"/>
                <w:sz w:val="24"/>
                <w:szCs w:val="24"/>
              </w:rPr>
              <w:t>ajā</w:t>
            </w:r>
            <w:r w:rsidRPr="0028337B">
              <w:rPr>
                <w:rFonts w:ascii="Times New Roman" w:hAnsi="Times New Roman" w:cs="Times New Roman"/>
                <w:sz w:val="24"/>
                <w:szCs w:val="24"/>
              </w:rPr>
              <w:t xml:space="preserve"> daļ</w:t>
            </w:r>
            <w:r w:rsidR="00D84BE6">
              <w:rPr>
                <w:rFonts w:ascii="Times New Roman" w:hAnsi="Times New Roman" w:cs="Times New Roman"/>
                <w:sz w:val="24"/>
                <w:szCs w:val="24"/>
              </w:rPr>
              <w:t>ā</w:t>
            </w:r>
            <w:r w:rsidRPr="0028337B">
              <w:rPr>
                <w:rFonts w:ascii="Times New Roman" w:hAnsi="Times New Roman" w:cs="Times New Roman"/>
                <w:sz w:val="24"/>
                <w:szCs w:val="24"/>
              </w:rPr>
              <w:t>, Kredītiestāžu likuma 106.</w:t>
            </w:r>
            <w:r w:rsidRPr="00FF792B">
              <w:rPr>
                <w:rFonts w:ascii="Times New Roman" w:hAnsi="Times New Roman" w:cs="Times New Roman"/>
                <w:sz w:val="24"/>
                <w:szCs w:val="24"/>
                <w:vertAlign w:val="superscript"/>
              </w:rPr>
              <w:t>2</w:t>
            </w:r>
            <w:r w:rsidRPr="0028337B">
              <w:rPr>
                <w:rFonts w:ascii="Times New Roman" w:hAnsi="Times New Roman" w:cs="Times New Roman"/>
                <w:sz w:val="24"/>
                <w:szCs w:val="24"/>
              </w:rPr>
              <w:t xml:space="preserve"> panta treš</w:t>
            </w:r>
            <w:r w:rsidR="00D84BE6">
              <w:rPr>
                <w:rFonts w:ascii="Times New Roman" w:hAnsi="Times New Roman" w:cs="Times New Roman"/>
                <w:sz w:val="24"/>
                <w:szCs w:val="24"/>
              </w:rPr>
              <w:t>ajā</w:t>
            </w:r>
            <w:r w:rsidRPr="0028337B">
              <w:rPr>
                <w:rFonts w:ascii="Times New Roman" w:hAnsi="Times New Roman" w:cs="Times New Roman"/>
                <w:sz w:val="24"/>
                <w:szCs w:val="24"/>
              </w:rPr>
              <w:t xml:space="preserve"> daļ</w:t>
            </w:r>
            <w:r w:rsidR="00D84BE6">
              <w:rPr>
                <w:rFonts w:ascii="Times New Roman" w:hAnsi="Times New Roman" w:cs="Times New Roman"/>
                <w:sz w:val="24"/>
                <w:szCs w:val="24"/>
              </w:rPr>
              <w:t>ā</w:t>
            </w:r>
            <w:r w:rsidR="005902F9">
              <w:rPr>
                <w:rFonts w:ascii="Times New Roman" w:hAnsi="Times New Roman" w:cs="Times New Roman"/>
                <w:sz w:val="24"/>
                <w:szCs w:val="24"/>
              </w:rPr>
              <w:t xml:space="preserve"> un</w:t>
            </w:r>
            <w:r w:rsidR="00586021">
              <w:rPr>
                <w:rFonts w:ascii="Times New Roman" w:hAnsi="Times New Roman" w:cs="Times New Roman"/>
                <w:sz w:val="24"/>
                <w:szCs w:val="24"/>
              </w:rPr>
              <w:t xml:space="preserve"> </w:t>
            </w:r>
            <w:r w:rsidR="00586021" w:rsidRPr="00586021">
              <w:rPr>
                <w:rFonts w:ascii="Times New Roman" w:hAnsi="Times New Roman" w:cs="Times New Roman"/>
                <w:sz w:val="24"/>
                <w:szCs w:val="24"/>
              </w:rPr>
              <w:t>Segto obligāciju likuma 99. panta treš</w:t>
            </w:r>
            <w:r w:rsidR="00CF1C23">
              <w:rPr>
                <w:rFonts w:ascii="Times New Roman" w:hAnsi="Times New Roman" w:cs="Times New Roman"/>
                <w:sz w:val="24"/>
                <w:szCs w:val="24"/>
              </w:rPr>
              <w:t>ajā</w:t>
            </w:r>
            <w:r w:rsidR="00586021" w:rsidRPr="00586021">
              <w:rPr>
                <w:rFonts w:ascii="Times New Roman" w:hAnsi="Times New Roman" w:cs="Times New Roman"/>
                <w:sz w:val="24"/>
                <w:szCs w:val="24"/>
              </w:rPr>
              <w:t xml:space="preserve"> daļ</w:t>
            </w:r>
            <w:r w:rsidR="00CF1C23">
              <w:rPr>
                <w:rFonts w:ascii="Times New Roman" w:hAnsi="Times New Roman" w:cs="Times New Roman"/>
                <w:sz w:val="24"/>
                <w:szCs w:val="24"/>
              </w:rPr>
              <w:t>ā</w:t>
            </w:r>
            <w:r w:rsidR="00586021">
              <w:rPr>
                <w:rFonts w:ascii="Times New Roman" w:hAnsi="Times New Roman" w:cs="Times New Roman"/>
                <w:sz w:val="24"/>
                <w:szCs w:val="24"/>
              </w:rPr>
              <w:t>.</w:t>
            </w:r>
          </w:p>
        </w:tc>
      </w:tr>
      <w:tr w:rsidR="00F62DE2" w:rsidRPr="004E3F4A" w14:paraId="0A6F58C3" w14:textId="77777777" w:rsidTr="00ED184E">
        <w:trPr>
          <w:trHeight w:val="770"/>
        </w:trPr>
        <w:tc>
          <w:tcPr>
            <w:tcW w:w="1248" w:type="pct"/>
            <w:shd w:val="clear" w:color="auto" w:fill="auto"/>
            <w:hideMark/>
          </w:tcPr>
          <w:p w14:paraId="427434F4"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Leģitīmais mērķis</w:t>
            </w:r>
          </w:p>
          <w:p w14:paraId="7F2053CC"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0F48AAF0" w14:textId="683C8A59" w:rsidR="00474124" w:rsidRDefault="0033570B" w:rsidP="00474124">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w:t>
            </w:r>
            <w:r w:rsidR="008F6F80" w:rsidRPr="008F6F80">
              <w:rPr>
                <w:rFonts w:ascii="Times New Roman" w:hAnsi="Times New Roman" w:cs="Times New Roman"/>
                <w:sz w:val="24"/>
                <w:szCs w:val="24"/>
              </w:rPr>
              <w:t xml:space="preserve">rojekts nepieciešams, </w:t>
            </w:r>
            <w:r w:rsidR="00474124" w:rsidRPr="00474124">
              <w:rPr>
                <w:rFonts w:ascii="Times New Roman" w:hAnsi="Times New Roman" w:cs="Times New Roman"/>
                <w:sz w:val="24"/>
                <w:szCs w:val="24"/>
              </w:rPr>
              <w:t>lai ziņo</w:t>
            </w:r>
            <w:r w:rsidR="00474124">
              <w:rPr>
                <w:rFonts w:ascii="Times New Roman" w:hAnsi="Times New Roman" w:cs="Times New Roman"/>
                <w:sz w:val="24"/>
                <w:szCs w:val="24"/>
              </w:rPr>
              <w:t xml:space="preserve">jošai </w:t>
            </w:r>
            <w:r w:rsidR="00474124" w:rsidRPr="00474124">
              <w:rPr>
                <w:rFonts w:ascii="Times New Roman" w:hAnsi="Times New Roman" w:cs="Times New Roman"/>
                <w:sz w:val="24"/>
                <w:szCs w:val="24"/>
              </w:rPr>
              <w:t xml:space="preserve">personai noteiktu speciālu kārtību ziņošanai par faktiskiem vai iespējamiem pārkāpumiem ieguldījumu pārvaldes sabiedrību, alternatīvo ieguldījumu fondu un to pārvaldnieku, apdrošināšanas un pārapdrošināšanas izplatītāju un kredītiestāžu darbībā, finanšu instrumentu tirgus sektorā, kā arī noteiktu, ka visa ar ziņošanu saistītā informācija ir ierobežotas pieejamības informācija. Turklāt projekts </w:t>
            </w:r>
            <w:r w:rsidR="00474124">
              <w:rPr>
                <w:rFonts w:ascii="Times New Roman" w:hAnsi="Times New Roman" w:cs="Times New Roman"/>
                <w:sz w:val="24"/>
                <w:szCs w:val="24"/>
              </w:rPr>
              <w:t>Latvijas Bankas</w:t>
            </w:r>
            <w:r w:rsidR="00474124" w:rsidRPr="00474124">
              <w:rPr>
                <w:rFonts w:ascii="Times New Roman" w:hAnsi="Times New Roman" w:cs="Times New Roman"/>
                <w:sz w:val="24"/>
                <w:szCs w:val="24"/>
              </w:rPr>
              <w:t xml:space="preserve"> da</w:t>
            </w:r>
            <w:r w:rsidR="00D12847">
              <w:rPr>
                <w:rFonts w:ascii="Times New Roman" w:hAnsi="Times New Roman" w:cs="Times New Roman"/>
                <w:sz w:val="24"/>
                <w:szCs w:val="24"/>
              </w:rPr>
              <w:t>rbi</w:t>
            </w:r>
            <w:r w:rsidR="00474124" w:rsidRPr="00474124">
              <w:rPr>
                <w:rFonts w:ascii="Times New Roman" w:hAnsi="Times New Roman" w:cs="Times New Roman"/>
                <w:sz w:val="24"/>
                <w:szCs w:val="24"/>
              </w:rPr>
              <w:t>niekam neuzliek papildu slogu, jo projekts pamatā nosaka kārtību, kādā ziņo</w:t>
            </w:r>
            <w:r w:rsidR="00474124">
              <w:rPr>
                <w:rFonts w:ascii="Times New Roman" w:hAnsi="Times New Roman" w:cs="Times New Roman"/>
                <w:sz w:val="24"/>
                <w:szCs w:val="24"/>
              </w:rPr>
              <w:t xml:space="preserve">jošā </w:t>
            </w:r>
            <w:r w:rsidR="00474124" w:rsidRPr="00474124">
              <w:rPr>
                <w:rFonts w:ascii="Times New Roman" w:hAnsi="Times New Roman" w:cs="Times New Roman"/>
                <w:sz w:val="24"/>
                <w:szCs w:val="24"/>
              </w:rPr>
              <w:t xml:space="preserve">persona iesniedz </w:t>
            </w:r>
            <w:r w:rsidR="00474124">
              <w:rPr>
                <w:rFonts w:ascii="Times New Roman" w:hAnsi="Times New Roman" w:cs="Times New Roman"/>
                <w:sz w:val="24"/>
                <w:szCs w:val="24"/>
              </w:rPr>
              <w:t>Latvijas Bankai</w:t>
            </w:r>
            <w:r w:rsidR="00474124" w:rsidRPr="00474124">
              <w:rPr>
                <w:rFonts w:ascii="Times New Roman" w:hAnsi="Times New Roman" w:cs="Times New Roman"/>
                <w:sz w:val="24"/>
                <w:szCs w:val="24"/>
              </w:rPr>
              <w:t xml:space="preserve"> ziņojumu par tiesību aktu pārkāpumiem</w:t>
            </w:r>
            <w:r w:rsidR="00474124">
              <w:rPr>
                <w:rFonts w:ascii="Times New Roman" w:hAnsi="Times New Roman" w:cs="Times New Roman"/>
                <w:sz w:val="24"/>
                <w:szCs w:val="24"/>
              </w:rPr>
              <w:t>.</w:t>
            </w:r>
          </w:p>
          <w:p w14:paraId="163BAD2D" w14:textId="7C60FF2F" w:rsidR="000D1EBD" w:rsidRPr="00C14A12" w:rsidRDefault="002451FF" w:rsidP="00474124">
            <w:pPr>
              <w:spacing w:after="120" w:line="240" w:lineRule="auto"/>
              <w:jc w:val="both"/>
              <w:rPr>
                <w:rFonts w:ascii="Times New Roman" w:eastAsia="Times New Roman" w:hAnsi="Times New Roman" w:cs="Times New Roman"/>
                <w:i/>
                <w:iCs/>
                <w:sz w:val="24"/>
                <w:szCs w:val="24"/>
                <w:highlight w:val="yellow"/>
                <w:lang w:eastAsia="lv-LV"/>
              </w:rPr>
            </w:pPr>
            <w:r w:rsidRPr="003B5143">
              <w:rPr>
                <w:rStyle w:val="cf01"/>
                <w:rFonts w:ascii="Times New Roman" w:hAnsi="Times New Roman" w:cs="Times New Roman"/>
                <w:sz w:val="24"/>
                <w:szCs w:val="24"/>
              </w:rPr>
              <w:t xml:space="preserve">Līdz ar to </w:t>
            </w:r>
            <w:r w:rsidR="00FB3B81" w:rsidRPr="003B5143">
              <w:rPr>
                <w:rStyle w:val="cf01"/>
                <w:rFonts w:ascii="Times New Roman" w:hAnsi="Times New Roman" w:cs="Times New Roman"/>
                <w:sz w:val="24"/>
                <w:szCs w:val="24"/>
              </w:rPr>
              <w:t>noteikumi tiek izdoti citu personu tiesību un sabiedrības labklājības aizsardzība</w:t>
            </w:r>
            <w:r w:rsidR="00FB3B81" w:rsidRPr="003D21FC">
              <w:rPr>
                <w:rStyle w:val="cf01"/>
                <w:rFonts w:ascii="Times New Roman" w:hAnsi="Times New Roman" w:cs="Times New Roman"/>
                <w:sz w:val="24"/>
                <w:szCs w:val="24"/>
              </w:rPr>
              <w:t>i</w:t>
            </w:r>
            <w:r w:rsidR="003D21FC" w:rsidRPr="003D21FC">
              <w:rPr>
                <w:rStyle w:val="cf01"/>
                <w:rFonts w:ascii="Times New Roman" w:hAnsi="Times New Roman" w:cs="Times New Roman"/>
                <w:sz w:val="24"/>
                <w:szCs w:val="24"/>
              </w:rPr>
              <w:t>,</w:t>
            </w:r>
            <w:r w:rsidR="003D21FC" w:rsidRPr="00005949">
              <w:rPr>
                <w:rStyle w:val="cf01"/>
                <w:rFonts w:ascii="Times New Roman" w:hAnsi="Times New Roman" w:cs="Times New Roman"/>
                <w:sz w:val="24"/>
                <w:szCs w:val="24"/>
              </w:rPr>
              <w:t xml:space="preserve"> jo personas, kas kompetentajām iestādēm ziņo par faktiskiem vai iespējamiem pārkāpumiem finanšu tirgū un tā dalībnieku darbībā, var sniegt </w:t>
            </w:r>
            <w:r w:rsidR="003D21FC">
              <w:rPr>
                <w:rStyle w:val="cf01"/>
                <w:rFonts w:ascii="Times New Roman" w:hAnsi="Times New Roman" w:cs="Times New Roman"/>
                <w:sz w:val="24"/>
                <w:szCs w:val="24"/>
              </w:rPr>
              <w:t>noderīgu</w:t>
            </w:r>
            <w:r w:rsidR="003D21FC" w:rsidRPr="00005949">
              <w:rPr>
                <w:rStyle w:val="cf01"/>
                <w:rFonts w:ascii="Times New Roman" w:hAnsi="Times New Roman" w:cs="Times New Roman"/>
                <w:sz w:val="24"/>
                <w:szCs w:val="24"/>
              </w:rPr>
              <w:t xml:space="preserve"> informāciju kompetentajām iestādēm un palīdzēt tām atklāt un noteikt sankcijas par finanšu tirgus pārkāpumiem</w:t>
            </w:r>
            <w:r w:rsidR="007F047A" w:rsidRPr="003D21FC">
              <w:rPr>
                <w:rStyle w:val="cf01"/>
                <w:rFonts w:ascii="Times New Roman" w:hAnsi="Times New Roman" w:cs="Times New Roman"/>
                <w:sz w:val="24"/>
                <w:szCs w:val="24"/>
              </w:rPr>
              <w:t>.</w:t>
            </w:r>
            <w:r w:rsidR="003D21FC" w:rsidRPr="003D21FC">
              <w:rPr>
                <w:rStyle w:val="cf01"/>
                <w:rFonts w:ascii="Times New Roman" w:hAnsi="Times New Roman" w:cs="Times New Roman"/>
                <w:sz w:val="24"/>
                <w:szCs w:val="24"/>
              </w:rPr>
              <w:t xml:space="preserve"> Vienlaikus nosakot skaidru </w:t>
            </w:r>
            <w:r w:rsidR="003D21FC">
              <w:rPr>
                <w:rStyle w:val="cf01"/>
                <w:rFonts w:ascii="Times New Roman" w:hAnsi="Times New Roman" w:cs="Times New Roman"/>
                <w:sz w:val="24"/>
                <w:szCs w:val="24"/>
              </w:rPr>
              <w:t>procesu, kā arī informācijas aizsardzības pasākumus, tiek definēti tiesi</w:t>
            </w:r>
            <w:r w:rsidR="00FD76FB">
              <w:rPr>
                <w:rStyle w:val="cf01"/>
                <w:rFonts w:ascii="Times New Roman" w:hAnsi="Times New Roman" w:cs="Times New Roman"/>
                <w:sz w:val="24"/>
                <w:szCs w:val="24"/>
              </w:rPr>
              <w:t>s</w:t>
            </w:r>
            <w:r w:rsidR="003D21FC">
              <w:rPr>
                <w:rStyle w:val="cf01"/>
                <w:rFonts w:ascii="Times New Roman" w:hAnsi="Times New Roman" w:cs="Times New Roman"/>
                <w:sz w:val="24"/>
                <w:szCs w:val="24"/>
              </w:rPr>
              <w:t xml:space="preserve">kie mehānismi šādai ziņošanai, lai </w:t>
            </w:r>
            <w:r w:rsidR="003D21FC" w:rsidRPr="003D21FC">
              <w:rPr>
                <w:rStyle w:val="cf01"/>
                <w:rFonts w:ascii="Times New Roman" w:hAnsi="Times New Roman" w:cs="Times New Roman"/>
                <w:sz w:val="24"/>
                <w:szCs w:val="24"/>
              </w:rPr>
              <w:t>Latvijas Banka</w:t>
            </w:r>
            <w:r w:rsidR="003D21FC">
              <w:rPr>
                <w:rStyle w:val="cf01"/>
                <w:rFonts w:ascii="Times New Roman" w:hAnsi="Times New Roman" w:cs="Times New Roman"/>
                <w:sz w:val="24"/>
                <w:szCs w:val="24"/>
              </w:rPr>
              <w:t xml:space="preserve"> varētu pildīt tai noteiktos uzdevumus atbilstoši normatīvajos aktos noteiktajai kārtībai, t.</w:t>
            </w:r>
            <w:r w:rsidR="00FD76FB">
              <w:rPr>
                <w:rStyle w:val="cf01"/>
                <w:rFonts w:ascii="Times New Roman" w:hAnsi="Times New Roman" w:cs="Times New Roman"/>
                <w:sz w:val="24"/>
                <w:szCs w:val="24"/>
              </w:rPr>
              <w:t> </w:t>
            </w:r>
            <w:r w:rsidR="003D21FC">
              <w:rPr>
                <w:rStyle w:val="cf01"/>
                <w:rFonts w:ascii="Times New Roman" w:hAnsi="Times New Roman" w:cs="Times New Roman"/>
                <w:sz w:val="24"/>
                <w:szCs w:val="24"/>
              </w:rPr>
              <w:t>i., ievērojot tiesiskuma principu.</w:t>
            </w:r>
          </w:p>
        </w:tc>
      </w:tr>
      <w:tr w:rsidR="00F62DE2" w:rsidRPr="004E3F4A" w14:paraId="490AA477" w14:textId="77777777" w:rsidTr="00ED184E">
        <w:trPr>
          <w:trHeight w:val="567"/>
        </w:trPr>
        <w:tc>
          <w:tcPr>
            <w:tcW w:w="1248" w:type="pct"/>
            <w:shd w:val="clear" w:color="auto" w:fill="auto"/>
            <w:hideMark/>
          </w:tcPr>
          <w:p w14:paraId="6CACFA44"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Samērīgums</w:t>
            </w:r>
          </w:p>
          <w:p w14:paraId="430A0335"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79246515" w14:textId="7594783B" w:rsidR="00474124" w:rsidRPr="00474124" w:rsidRDefault="00474124" w:rsidP="00474124">
            <w:pPr>
              <w:jc w:val="both"/>
              <w:rPr>
                <w:rFonts w:ascii="Times New Roman" w:eastAsia="Times New Roman" w:hAnsi="Times New Roman" w:cs="Times New Roman"/>
                <w:sz w:val="24"/>
                <w:szCs w:val="24"/>
              </w:rPr>
            </w:pPr>
            <w:r w:rsidRPr="00474124">
              <w:rPr>
                <w:rFonts w:ascii="Times New Roman" w:eastAsia="Times New Roman" w:hAnsi="Times New Roman" w:cs="Times New Roman"/>
                <w:sz w:val="24"/>
                <w:szCs w:val="24"/>
              </w:rPr>
              <w:t>Ziņošana par iespējamiem vai faktiskiem pārkāpumiem ir viens no veidiem, kas var veicināt gan finanšu tirgus dalībnieka darbības kvalitāti, gan arī tirgus uzticamību kopumā, un šādas informācijas saņemšana var palīdzēt atklāt iespējamus vai faktiskus pārkāpumus, kā arī mazināt pārkāpumu izdarīšanas risku. Tādējādi vienotas ziņošanas kārtības noteikšana var veicināt to, ka ziņo</w:t>
            </w:r>
            <w:r>
              <w:rPr>
                <w:rFonts w:ascii="Times New Roman" w:eastAsia="Times New Roman" w:hAnsi="Times New Roman" w:cs="Times New Roman"/>
                <w:sz w:val="24"/>
                <w:szCs w:val="24"/>
              </w:rPr>
              <w:t xml:space="preserve">jošā </w:t>
            </w:r>
            <w:r w:rsidRPr="00474124">
              <w:rPr>
                <w:rFonts w:ascii="Times New Roman" w:eastAsia="Times New Roman" w:hAnsi="Times New Roman" w:cs="Times New Roman"/>
                <w:sz w:val="24"/>
                <w:szCs w:val="24"/>
              </w:rPr>
              <w:t xml:space="preserve">persona, kuras rīcībā ir nonākusi informācija par iespējamu vai faktisku pārkāpumu, saprotot, kādā formā un ar kādu saturu tā ziņojumu </w:t>
            </w:r>
            <w:r>
              <w:rPr>
                <w:rFonts w:ascii="Times New Roman" w:eastAsia="Times New Roman" w:hAnsi="Times New Roman" w:cs="Times New Roman"/>
                <w:sz w:val="24"/>
                <w:szCs w:val="24"/>
              </w:rPr>
              <w:t xml:space="preserve">par pārkāpumu </w:t>
            </w:r>
            <w:r w:rsidRPr="00474124">
              <w:rPr>
                <w:rFonts w:ascii="Times New Roman" w:eastAsia="Times New Roman" w:hAnsi="Times New Roman" w:cs="Times New Roman"/>
                <w:sz w:val="24"/>
                <w:szCs w:val="24"/>
              </w:rPr>
              <w:t>var iesniegt</w:t>
            </w:r>
            <w:r w:rsidR="00FE69C2">
              <w:rPr>
                <w:rFonts w:ascii="Times New Roman" w:eastAsia="Times New Roman" w:hAnsi="Times New Roman" w:cs="Times New Roman"/>
                <w:sz w:val="24"/>
                <w:szCs w:val="24"/>
              </w:rPr>
              <w:t>, šādu ziņojumu sniegs</w:t>
            </w:r>
            <w:r w:rsidRPr="00474124">
              <w:rPr>
                <w:rFonts w:ascii="Times New Roman" w:eastAsia="Times New Roman" w:hAnsi="Times New Roman" w:cs="Times New Roman"/>
                <w:sz w:val="24"/>
                <w:szCs w:val="24"/>
              </w:rPr>
              <w:t>. Turklāt vienota kārtība, kāda ir noteikta noteikumos, var veicināt arī personas labāku izpratni par noteikumos noteikto ziņošanas kārtību un mērķi, proti, ka ziņošana ir ne tikai paša finanšu tirgus dalībnieka un ziņo</w:t>
            </w:r>
            <w:r>
              <w:rPr>
                <w:rFonts w:ascii="Times New Roman" w:eastAsia="Times New Roman" w:hAnsi="Times New Roman" w:cs="Times New Roman"/>
                <w:sz w:val="24"/>
                <w:szCs w:val="24"/>
              </w:rPr>
              <w:t xml:space="preserve">jošās </w:t>
            </w:r>
            <w:r w:rsidRPr="00474124">
              <w:rPr>
                <w:rFonts w:ascii="Times New Roman" w:eastAsia="Times New Roman" w:hAnsi="Times New Roman" w:cs="Times New Roman"/>
                <w:sz w:val="24"/>
                <w:szCs w:val="24"/>
              </w:rPr>
              <w:t xml:space="preserve">personas interesēs, bet arī visas sabiedrības interesēs, veicinot finanšu tirgus stabilitāti un uzticamību. Līdz ar to noteikumu projekts ir piemērots leģitīmā mērķa sasniegšanai. </w:t>
            </w:r>
          </w:p>
          <w:p w14:paraId="2B67A9D1" w14:textId="64433B9E" w:rsidR="00474124" w:rsidRPr="00474124" w:rsidRDefault="00474124" w:rsidP="00474124">
            <w:pPr>
              <w:jc w:val="both"/>
              <w:rPr>
                <w:rFonts w:ascii="Times New Roman" w:eastAsia="Times New Roman" w:hAnsi="Times New Roman" w:cs="Times New Roman"/>
                <w:sz w:val="24"/>
                <w:szCs w:val="24"/>
              </w:rPr>
            </w:pPr>
            <w:r w:rsidRPr="00474124">
              <w:rPr>
                <w:rFonts w:ascii="Times New Roman" w:eastAsia="Times New Roman" w:hAnsi="Times New Roman" w:cs="Times New Roman"/>
                <w:sz w:val="24"/>
                <w:szCs w:val="24"/>
              </w:rPr>
              <w:t>Atbilstošākais veids, kā noteikt juridiski saistošu kārtību ziņo</w:t>
            </w:r>
            <w:r>
              <w:rPr>
                <w:rFonts w:ascii="Times New Roman" w:eastAsia="Times New Roman" w:hAnsi="Times New Roman" w:cs="Times New Roman"/>
                <w:sz w:val="24"/>
                <w:szCs w:val="24"/>
              </w:rPr>
              <w:t xml:space="preserve">jošajām </w:t>
            </w:r>
            <w:r w:rsidRPr="00474124">
              <w:rPr>
                <w:rFonts w:ascii="Times New Roman" w:eastAsia="Times New Roman" w:hAnsi="Times New Roman" w:cs="Times New Roman"/>
                <w:sz w:val="24"/>
                <w:szCs w:val="24"/>
              </w:rPr>
              <w:t>personām ziņojumu sniegšanai, vienlaikus nodrošinot person</w:t>
            </w:r>
            <w:r w:rsidR="00FE69C2">
              <w:rPr>
                <w:rFonts w:ascii="Times New Roman" w:eastAsia="Times New Roman" w:hAnsi="Times New Roman" w:cs="Times New Roman"/>
                <w:sz w:val="24"/>
                <w:szCs w:val="24"/>
              </w:rPr>
              <w:t>as</w:t>
            </w:r>
            <w:r w:rsidRPr="00474124">
              <w:rPr>
                <w:rFonts w:ascii="Times New Roman" w:eastAsia="Times New Roman" w:hAnsi="Times New Roman" w:cs="Times New Roman"/>
                <w:sz w:val="24"/>
                <w:szCs w:val="24"/>
              </w:rPr>
              <w:t xml:space="preserve"> datu aizsardzību un paredzot arī to, ka šādi ziņojumi tiek izskatīti, tostarp, </w:t>
            </w:r>
            <w:r w:rsidRPr="00474124">
              <w:rPr>
                <w:rFonts w:ascii="Times New Roman" w:eastAsia="Times New Roman" w:hAnsi="Times New Roman" w:cs="Times New Roman"/>
                <w:sz w:val="24"/>
                <w:szCs w:val="24"/>
              </w:rPr>
              <w:lastRenderedPageBreak/>
              <w:t>ka ziņo</w:t>
            </w:r>
            <w:r>
              <w:rPr>
                <w:rFonts w:ascii="Times New Roman" w:eastAsia="Times New Roman" w:hAnsi="Times New Roman" w:cs="Times New Roman"/>
                <w:sz w:val="24"/>
                <w:szCs w:val="24"/>
              </w:rPr>
              <w:t xml:space="preserve">jošā </w:t>
            </w:r>
            <w:r w:rsidRPr="00474124">
              <w:rPr>
                <w:rFonts w:ascii="Times New Roman" w:eastAsia="Times New Roman" w:hAnsi="Times New Roman" w:cs="Times New Roman"/>
                <w:sz w:val="24"/>
                <w:szCs w:val="24"/>
              </w:rPr>
              <w:t xml:space="preserve">persona var saņemt gan informāciju par tās ziņojuma saņemšanu, gan informāciju par ziņojuma izskatīšanas gaitu, ir izdot </w:t>
            </w:r>
            <w:r w:rsidR="00FE69C2" w:rsidRPr="00FE69C2">
              <w:rPr>
                <w:rFonts w:ascii="Times New Roman" w:eastAsia="Times New Roman" w:hAnsi="Times New Roman" w:cs="Times New Roman"/>
                <w:sz w:val="24"/>
                <w:szCs w:val="24"/>
              </w:rPr>
              <w:t>Latvijas Banka</w:t>
            </w:r>
            <w:r w:rsidR="00FE69C2">
              <w:rPr>
                <w:rFonts w:ascii="Times New Roman" w:eastAsia="Times New Roman" w:hAnsi="Times New Roman" w:cs="Times New Roman"/>
                <w:sz w:val="24"/>
                <w:szCs w:val="24"/>
              </w:rPr>
              <w:t>s</w:t>
            </w:r>
            <w:r w:rsidR="00FE69C2" w:rsidRPr="00474124">
              <w:rPr>
                <w:rFonts w:ascii="Times New Roman" w:eastAsia="Times New Roman" w:hAnsi="Times New Roman" w:cs="Times New Roman"/>
                <w:sz w:val="24"/>
                <w:szCs w:val="24"/>
              </w:rPr>
              <w:t xml:space="preserve"> </w:t>
            </w:r>
            <w:r w:rsidRPr="00474124">
              <w:rPr>
                <w:rFonts w:ascii="Times New Roman" w:eastAsia="Times New Roman" w:hAnsi="Times New Roman" w:cs="Times New Roman"/>
                <w:sz w:val="24"/>
                <w:szCs w:val="24"/>
              </w:rPr>
              <w:t>noteikumus. Citas alternatīvas jautājuma noregulēšanai un vienotu prasību noteikšanai nebūtu efektīvas, jo nenodrošinātu saprotamu iesniegšanas un paredzamo ziņojumu izskatīšanas kārtību.</w:t>
            </w:r>
          </w:p>
          <w:p w14:paraId="51806846" w14:textId="41C82969" w:rsidR="00474124" w:rsidRDefault="00474124" w:rsidP="00474124">
            <w:pPr>
              <w:spacing w:after="120" w:line="240" w:lineRule="auto"/>
              <w:jc w:val="both"/>
              <w:rPr>
                <w:rFonts w:ascii="Times New Roman" w:eastAsia="Times New Roman" w:hAnsi="Times New Roman" w:cs="Times New Roman"/>
                <w:sz w:val="24"/>
                <w:szCs w:val="24"/>
              </w:rPr>
            </w:pPr>
            <w:r w:rsidRPr="00474124">
              <w:rPr>
                <w:rFonts w:ascii="Times New Roman" w:eastAsia="Times New Roman" w:hAnsi="Times New Roman" w:cs="Times New Roman"/>
                <w:sz w:val="24"/>
                <w:szCs w:val="24"/>
              </w:rPr>
              <w:t xml:space="preserve">Ziņošana pati par sevi </w:t>
            </w:r>
            <w:r w:rsidR="00FE69C2">
              <w:rPr>
                <w:rFonts w:ascii="Times New Roman" w:eastAsia="Times New Roman" w:hAnsi="Times New Roman" w:cs="Times New Roman"/>
                <w:sz w:val="24"/>
                <w:szCs w:val="24"/>
              </w:rPr>
              <w:t>likumos, saskaņā ar kuriem izdod noteikumus,</w:t>
            </w:r>
            <w:r w:rsidRPr="00474124">
              <w:rPr>
                <w:rFonts w:ascii="Times New Roman" w:eastAsia="Times New Roman" w:hAnsi="Times New Roman" w:cs="Times New Roman"/>
                <w:noProof/>
                <w:sz w:val="24"/>
                <w:szCs w:val="24"/>
              </w:rPr>
              <w:t xml:space="preserve"> </w:t>
            </w:r>
            <w:r w:rsidRPr="00474124">
              <w:rPr>
                <w:rFonts w:ascii="Times New Roman" w:eastAsia="Times New Roman" w:hAnsi="Times New Roman" w:cs="Times New Roman"/>
                <w:sz w:val="24"/>
                <w:szCs w:val="24"/>
              </w:rPr>
              <w:t xml:space="preserve">ir noteikta kā tiesība, nevis kā pienākums. Līdz ar to personai ir rīcības brīvība par pārkāpumu ziņot vai neziņot. </w:t>
            </w:r>
          </w:p>
          <w:p w14:paraId="437A60ED" w14:textId="5B71BC9D" w:rsidR="008F6F80" w:rsidRDefault="00474124" w:rsidP="00474124">
            <w:p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Projektā</w:t>
            </w:r>
            <w:r w:rsidRPr="00474124">
              <w:rPr>
                <w:rFonts w:ascii="Times New Roman" w:eastAsia="Times New Roman" w:hAnsi="Times New Roman" w:cs="Times New Roman"/>
                <w:sz w:val="24"/>
                <w:szCs w:val="24"/>
              </w:rPr>
              <w:t xml:space="preserve"> paredzētais, ka informācija par ziņo</w:t>
            </w:r>
            <w:r>
              <w:rPr>
                <w:rFonts w:ascii="Times New Roman" w:eastAsia="Times New Roman" w:hAnsi="Times New Roman" w:cs="Times New Roman"/>
                <w:sz w:val="24"/>
                <w:szCs w:val="24"/>
              </w:rPr>
              <w:t xml:space="preserve">jošo </w:t>
            </w:r>
            <w:r w:rsidRPr="00474124">
              <w:rPr>
                <w:rFonts w:ascii="Times New Roman" w:eastAsia="Times New Roman" w:hAnsi="Times New Roman" w:cs="Times New Roman"/>
                <w:sz w:val="24"/>
                <w:szCs w:val="24"/>
              </w:rPr>
              <w:t xml:space="preserve">personu un tās sniegto ziņojumu tiek atbilstoši aizsargāta, var veicināt to, ka persona ziņo par pārkāpumu, kas tai kļuvis zināms. Tādējādi projekts var veicināt sabiedrības izpratni par </w:t>
            </w:r>
            <w:r w:rsidR="00FD76FB" w:rsidRPr="00474124">
              <w:rPr>
                <w:rFonts w:ascii="Times New Roman" w:eastAsia="Times New Roman" w:hAnsi="Times New Roman" w:cs="Times New Roman"/>
                <w:sz w:val="24"/>
                <w:szCs w:val="24"/>
              </w:rPr>
              <w:t xml:space="preserve">iespējām </w:t>
            </w:r>
            <w:r w:rsidRPr="00474124">
              <w:rPr>
                <w:rFonts w:ascii="Times New Roman" w:eastAsia="Times New Roman" w:hAnsi="Times New Roman" w:cs="Times New Roman"/>
                <w:sz w:val="24"/>
                <w:szCs w:val="24"/>
              </w:rPr>
              <w:t>ziņo</w:t>
            </w:r>
            <w:r w:rsidR="00FD76FB">
              <w:rPr>
                <w:rFonts w:ascii="Times New Roman" w:eastAsia="Times New Roman" w:hAnsi="Times New Roman" w:cs="Times New Roman"/>
                <w:sz w:val="24"/>
                <w:szCs w:val="24"/>
              </w:rPr>
              <w:t>t</w:t>
            </w:r>
            <w:r w:rsidRPr="004741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Latvijas Bankai</w:t>
            </w:r>
            <w:r w:rsidRPr="00474124">
              <w:rPr>
                <w:rFonts w:ascii="Times New Roman" w:eastAsia="Times New Roman" w:hAnsi="Times New Roman" w:cs="Times New Roman"/>
                <w:sz w:val="24"/>
                <w:szCs w:val="24"/>
              </w:rPr>
              <w:t>, ja tiek konstatēti iespējami vai faktiski pārkāpumi</w:t>
            </w:r>
            <w:r w:rsidR="00D12847">
              <w:rPr>
                <w:rFonts w:ascii="Times New Roman" w:eastAsia="Times New Roman" w:hAnsi="Times New Roman" w:cs="Times New Roman"/>
                <w:sz w:val="24"/>
                <w:szCs w:val="24"/>
              </w:rPr>
              <w:t>, un</w:t>
            </w:r>
            <w:r w:rsidRPr="00474124">
              <w:rPr>
                <w:rFonts w:ascii="Times New Roman" w:eastAsia="Times New Roman" w:hAnsi="Times New Roman" w:cs="Times New Roman"/>
                <w:sz w:val="24"/>
                <w:szCs w:val="24"/>
              </w:rPr>
              <w:t xml:space="preserve"> sabiedrība var tikai iegūt no šādu noteikumu spēkā stāšanās</w:t>
            </w:r>
            <w:r w:rsidR="00FE69C2">
              <w:rPr>
                <w:rFonts w:ascii="Times New Roman" w:eastAsia="Times New Roman" w:hAnsi="Times New Roman" w:cs="Times New Roman"/>
                <w:sz w:val="24"/>
                <w:szCs w:val="24"/>
              </w:rPr>
              <w:t>.</w:t>
            </w:r>
          </w:p>
          <w:p w14:paraId="7229CF82" w14:textId="355DCBBF" w:rsidR="00FE69C2" w:rsidRPr="00005949" w:rsidRDefault="00FE69C2" w:rsidP="00474124">
            <w:pPr>
              <w:spacing w:after="120" w:line="240" w:lineRule="auto"/>
              <w:jc w:val="both"/>
              <w:rPr>
                <w:rFonts w:ascii="Times New Roman" w:hAnsi="Times New Roman" w:cs="Times New Roman"/>
                <w:sz w:val="24"/>
                <w:szCs w:val="24"/>
                <w:highlight w:val="yellow"/>
              </w:rPr>
            </w:pPr>
            <w:r w:rsidRPr="00005949">
              <w:rPr>
                <w:rFonts w:ascii="Times New Roman" w:hAnsi="Times New Roman" w:cs="Times New Roman"/>
                <w:sz w:val="24"/>
                <w:szCs w:val="24"/>
              </w:rPr>
              <w:t>Savukārt persona, kas pārkāpusi normatīvajos aktos noteikto, nebauda tiesisko aizsardzību pēc būtības un tai nav leģitīmas intereses</w:t>
            </w:r>
            <w:r>
              <w:rPr>
                <w:rFonts w:ascii="Times New Roman" w:hAnsi="Times New Roman" w:cs="Times New Roman"/>
                <w:sz w:val="24"/>
                <w:szCs w:val="24"/>
              </w:rPr>
              <w:t>, lai par izdarīto pārkāpumu netiktu ziņots. Tā</w:t>
            </w:r>
            <w:r w:rsidR="00FD76FB">
              <w:rPr>
                <w:rFonts w:ascii="Times New Roman" w:hAnsi="Times New Roman" w:cs="Times New Roman"/>
                <w:sz w:val="24"/>
                <w:szCs w:val="24"/>
              </w:rPr>
              <w:t>pēc</w:t>
            </w:r>
            <w:r>
              <w:rPr>
                <w:rFonts w:ascii="Times New Roman" w:hAnsi="Times New Roman" w:cs="Times New Roman"/>
                <w:sz w:val="24"/>
                <w:szCs w:val="24"/>
              </w:rPr>
              <w:t xml:space="preserve"> informācija par šādu nodarījumu ir pēc iespējas jādara zināma institūcijām, k</w:t>
            </w:r>
            <w:r w:rsidR="00FD76FB">
              <w:rPr>
                <w:rFonts w:ascii="Times New Roman" w:hAnsi="Times New Roman" w:cs="Times New Roman"/>
                <w:sz w:val="24"/>
                <w:szCs w:val="24"/>
              </w:rPr>
              <w:t>ur</w:t>
            </w:r>
            <w:r>
              <w:rPr>
                <w:rFonts w:ascii="Times New Roman" w:hAnsi="Times New Roman" w:cs="Times New Roman"/>
                <w:sz w:val="24"/>
                <w:szCs w:val="24"/>
              </w:rPr>
              <w:t>as nodrošina sabiedrības tiesību un likumības aizsardzību.</w:t>
            </w:r>
          </w:p>
        </w:tc>
      </w:tr>
      <w:tr w:rsidR="00F62DE2" w:rsidRPr="004E3F4A" w14:paraId="7803B4D4" w14:textId="77777777" w:rsidTr="00ED184E">
        <w:trPr>
          <w:trHeight w:val="567"/>
        </w:trPr>
        <w:tc>
          <w:tcPr>
            <w:tcW w:w="1248" w:type="pct"/>
            <w:shd w:val="clear" w:color="auto" w:fill="auto"/>
            <w:hideMark/>
          </w:tcPr>
          <w:p w14:paraId="385434FC"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Spēkā stāšanās</w:t>
            </w:r>
          </w:p>
          <w:p w14:paraId="11817387"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2E39BC90" w14:textId="5DF75185" w:rsidR="0016709D" w:rsidRPr="004E3F4A" w:rsidRDefault="0062751E" w:rsidP="00D304A4">
            <w:pPr>
              <w:spacing w:after="120" w:line="240" w:lineRule="auto"/>
              <w:jc w:val="both"/>
              <w:rPr>
                <w:rFonts w:ascii="Times New Roman" w:eastAsia="Times New Roman" w:hAnsi="Times New Roman" w:cs="Times New Roman"/>
                <w:sz w:val="24"/>
                <w:szCs w:val="24"/>
                <w:lang w:eastAsia="lv-LV"/>
              </w:rPr>
            </w:pPr>
            <w:r w:rsidRPr="00515473">
              <w:rPr>
                <w:rFonts w:ascii="Times New Roman" w:eastAsia="Times New Roman" w:hAnsi="Times New Roman" w:cs="Times New Roman"/>
                <w:sz w:val="24"/>
                <w:szCs w:val="24"/>
                <w:lang w:eastAsia="lv-LV"/>
              </w:rPr>
              <w:t>Atbilstoši Latvijas Bankas likuma 8.</w:t>
            </w:r>
            <w:r w:rsidR="003F3859" w:rsidRPr="00515473">
              <w:rPr>
                <w:rFonts w:ascii="Times New Roman" w:eastAsia="Times New Roman" w:hAnsi="Times New Roman" w:cs="Times New Roman"/>
                <w:sz w:val="24"/>
                <w:szCs w:val="24"/>
                <w:lang w:eastAsia="lv-LV"/>
              </w:rPr>
              <w:t> </w:t>
            </w:r>
            <w:r w:rsidRPr="00515473">
              <w:rPr>
                <w:rFonts w:ascii="Times New Roman" w:eastAsia="Times New Roman" w:hAnsi="Times New Roman" w:cs="Times New Roman"/>
                <w:sz w:val="24"/>
                <w:szCs w:val="24"/>
                <w:lang w:eastAsia="lv-LV"/>
              </w:rPr>
              <w:t>panta otrajai daļai</w:t>
            </w:r>
            <w:r w:rsidR="003F3859" w:rsidRPr="00515473">
              <w:rPr>
                <w:rFonts w:ascii="Times New Roman" w:eastAsia="Times New Roman" w:hAnsi="Times New Roman" w:cs="Times New Roman"/>
                <w:sz w:val="24"/>
                <w:szCs w:val="24"/>
                <w:lang w:eastAsia="lv-LV"/>
              </w:rPr>
              <w:t> </w:t>
            </w:r>
            <w:r w:rsidR="00F62DE2" w:rsidRPr="00515473">
              <w:rPr>
                <w:rFonts w:ascii="Times New Roman" w:eastAsia="Times New Roman" w:hAnsi="Times New Roman" w:cs="Times New Roman"/>
                <w:sz w:val="24"/>
                <w:szCs w:val="24"/>
                <w:lang w:eastAsia="lv-LV"/>
              </w:rPr>
              <w:t>–</w:t>
            </w:r>
            <w:r w:rsidRPr="00515473">
              <w:rPr>
                <w:rFonts w:ascii="Times New Roman" w:eastAsia="Times New Roman" w:hAnsi="Times New Roman" w:cs="Times New Roman"/>
                <w:sz w:val="24"/>
                <w:szCs w:val="24"/>
                <w:lang w:eastAsia="lv-LV"/>
              </w:rPr>
              <w:t xml:space="preserve"> nākamajā dienā pēc noteikumu publicēšanas oficiālajā izdevumā ''Latvijas Vēstnesis''</w:t>
            </w:r>
            <w:r w:rsidR="00F62DE2" w:rsidRPr="00515473">
              <w:rPr>
                <w:rFonts w:ascii="Times New Roman" w:eastAsia="Times New Roman" w:hAnsi="Times New Roman" w:cs="Times New Roman"/>
                <w:sz w:val="24"/>
                <w:szCs w:val="24"/>
                <w:lang w:eastAsia="lv-LV"/>
              </w:rPr>
              <w:t>.</w:t>
            </w:r>
          </w:p>
        </w:tc>
      </w:tr>
      <w:tr w:rsidR="00F62DE2" w:rsidRPr="004E3F4A" w14:paraId="334FA83B" w14:textId="77777777" w:rsidTr="00ED184E">
        <w:trPr>
          <w:trHeight w:val="567"/>
        </w:trPr>
        <w:tc>
          <w:tcPr>
            <w:tcW w:w="1248" w:type="pct"/>
            <w:shd w:val="clear" w:color="auto" w:fill="auto"/>
            <w:hideMark/>
          </w:tcPr>
          <w:p w14:paraId="413D2506"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Ietekme uz Latvijas Bankas budžetu</w:t>
            </w:r>
          </w:p>
          <w:p w14:paraId="61C22255"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6FABF7D5" w14:textId="60FEEA42" w:rsidR="00E53DE9" w:rsidRPr="004E3F4A" w:rsidRDefault="0062751E" w:rsidP="00F62DE2">
            <w:pPr>
              <w:spacing w:after="0" w:line="240" w:lineRule="auto"/>
              <w:rPr>
                <w:rFonts w:ascii="Times New Roman" w:eastAsia="Times New Roman" w:hAnsi="Times New Roman" w:cs="Times New Roman"/>
                <w:iCs/>
                <w:sz w:val="24"/>
                <w:szCs w:val="24"/>
                <w:lang w:eastAsia="lv-LV"/>
              </w:rPr>
            </w:pPr>
            <w:r w:rsidRPr="004E3F4A">
              <w:rPr>
                <w:rFonts w:ascii="Times New Roman" w:hAnsi="Times New Roman" w:cs="Times New Roman"/>
                <w:iCs/>
                <w:sz w:val="24"/>
                <w:szCs w:val="24"/>
              </w:rPr>
              <w:t>Nav ietekme</w:t>
            </w:r>
            <w:r w:rsidR="003F3859" w:rsidRPr="004E3F4A">
              <w:rPr>
                <w:rFonts w:ascii="Times New Roman" w:hAnsi="Times New Roman" w:cs="Times New Roman"/>
                <w:iCs/>
                <w:sz w:val="24"/>
                <w:szCs w:val="24"/>
              </w:rPr>
              <w:t>s</w:t>
            </w:r>
            <w:r w:rsidRPr="004E3F4A">
              <w:rPr>
                <w:rFonts w:ascii="Times New Roman" w:hAnsi="Times New Roman" w:cs="Times New Roman"/>
                <w:iCs/>
                <w:sz w:val="24"/>
                <w:szCs w:val="24"/>
              </w:rPr>
              <w:t xml:space="preserve"> uz Latvijas Bankas budžetu</w:t>
            </w:r>
            <w:r w:rsidR="00F62DE2" w:rsidRPr="004E3F4A">
              <w:rPr>
                <w:rFonts w:ascii="Times New Roman" w:hAnsi="Times New Roman" w:cs="Times New Roman"/>
                <w:iCs/>
                <w:sz w:val="24"/>
                <w:szCs w:val="24"/>
              </w:rPr>
              <w:t>.</w:t>
            </w:r>
          </w:p>
        </w:tc>
      </w:tr>
      <w:tr w:rsidR="00F62DE2" w:rsidRPr="004E3F4A" w14:paraId="3AA013AA" w14:textId="77777777" w:rsidTr="00ED184E">
        <w:trPr>
          <w:trHeight w:val="567"/>
        </w:trPr>
        <w:tc>
          <w:tcPr>
            <w:tcW w:w="1248" w:type="pct"/>
            <w:shd w:val="clear" w:color="auto" w:fill="auto"/>
            <w:hideMark/>
          </w:tcPr>
          <w:p w14:paraId="11F5B109"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 xml:space="preserve">Administratīvā sloga un izmaksu novērtējums </w:t>
            </w:r>
            <w:r w:rsidR="00C85C34" w:rsidRPr="004E3F4A">
              <w:rPr>
                <w:rFonts w:ascii="Times New Roman" w:eastAsia="Times New Roman" w:hAnsi="Times New Roman" w:cs="Times New Roman"/>
                <w:b/>
                <w:bCs/>
                <w:sz w:val="24"/>
                <w:szCs w:val="24"/>
                <w:lang w:eastAsia="lv-LV"/>
              </w:rPr>
              <w:t>(</w:t>
            </w:r>
            <w:r w:rsidRPr="004E3F4A">
              <w:rPr>
                <w:rFonts w:ascii="Times New Roman" w:eastAsia="Times New Roman" w:hAnsi="Times New Roman" w:cs="Times New Roman"/>
                <w:b/>
                <w:bCs/>
                <w:sz w:val="24"/>
                <w:szCs w:val="24"/>
                <w:lang w:eastAsia="lv-LV"/>
              </w:rPr>
              <w:t>tirgus dalībniekiem</w:t>
            </w:r>
            <w:r w:rsidR="00C85C34" w:rsidRPr="004E3F4A">
              <w:rPr>
                <w:rFonts w:ascii="Times New Roman" w:eastAsia="Times New Roman" w:hAnsi="Times New Roman" w:cs="Times New Roman"/>
                <w:b/>
                <w:bCs/>
                <w:sz w:val="24"/>
                <w:szCs w:val="24"/>
                <w:lang w:eastAsia="lv-LV"/>
              </w:rPr>
              <w:t>)</w:t>
            </w:r>
          </w:p>
          <w:p w14:paraId="19955254"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08432DD" w14:textId="40EDE03E" w:rsidR="00A42788" w:rsidRPr="00DE01DF" w:rsidRDefault="0042517C" w:rsidP="000F1D72">
            <w:pPr>
              <w:spacing w:after="120" w:line="240" w:lineRule="auto"/>
              <w:jc w:val="both"/>
              <w:rPr>
                <w:rFonts w:ascii="Times New Roman" w:hAnsi="Times New Roman" w:cs="Times New Roman"/>
                <w:sz w:val="24"/>
                <w:szCs w:val="24"/>
              </w:rPr>
            </w:pPr>
            <w:r w:rsidRPr="004E3F4A">
              <w:rPr>
                <w:rStyle w:val="cf01"/>
                <w:rFonts w:ascii="Times New Roman" w:hAnsi="Times New Roman" w:cs="Times New Roman"/>
                <w:sz w:val="24"/>
                <w:szCs w:val="24"/>
              </w:rPr>
              <w:t>Salīdzin</w:t>
            </w:r>
            <w:r w:rsidR="00FD76FB">
              <w:rPr>
                <w:rStyle w:val="cf01"/>
                <w:rFonts w:ascii="Times New Roman" w:hAnsi="Times New Roman" w:cs="Times New Roman"/>
                <w:sz w:val="24"/>
                <w:szCs w:val="24"/>
              </w:rPr>
              <w:t>ā</w:t>
            </w:r>
            <w:r w:rsidR="00FD76FB" w:rsidRPr="003475F2">
              <w:rPr>
                <w:rStyle w:val="cf01"/>
                <w:rFonts w:ascii="Times New Roman" w:hAnsi="Times New Roman" w:cs="Times New Roman"/>
                <w:sz w:val="24"/>
                <w:szCs w:val="24"/>
              </w:rPr>
              <w:t>jumā</w:t>
            </w:r>
            <w:r w:rsidRPr="004E3F4A">
              <w:rPr>
                <w:rStyle w:val="cf01"/>
                <w:rFonts w:ascii="Times New Roman" w:hAnsi="Times New Roman" w:cs="Times New Roman"/>
                <w:sz w:val="24"/>
                <w:szCs w:val="24"/>
              </w:rPr>
              <w:t xml:space="preserve"> ar Noteikumiem </w:t>
            </w:r>
            <w:r w:rsidRPr="00B6543B">
              <w:rPr>
                <w:rStyle w:val="cf01"/>
                <w:rFonts w:ascii="Times New Roman" w:hAnsi="Times New Roman" w:cs="Times New Roman"/>
                <w:sz w:val="24"/>
                <w:szCs w:val="24"/>
              </w:rPr>
              <w:t>Nr. </w:t>
            </w:r>
            <w:r w:rsidR="00474124" w:rsidRPr="00B6543B">
              <w:rPr>
                <w:rStyle w:val="cf01"/>
                <w:rFonts w:ascii="Times New Roman" w:hAnsi="Times New Roman" w:cs="Times New Roman"/>
                <w:sz w:val="24"/>
                <w:szCs w:val="24"/>
              </w:rPr>
              <w:t>2</w:t>
            </w:r>
            <w:r w:rsidR="00474124" w:rsidRPr="00005949">
              <w:rPr>
                <w:rStyle w:val="cf01"/>
                <w:rFonts w:ascii="Times New Roman" w:hAnsi="Times New Roman" w:cs="Times New Roman"/>
                <w:sz w:val="24"/>
                <w:szCs w:val="24"/>
              </w:rPr>
              <w:t>41</w:t>
            </w:r>
            <w:r w:rsidR="008F6091" w:rsidRPr="004E3F4A">
              <w:rPr>
                <w:rStyle w:val="cf01"/>
                <w:rFonts w:ascii="Times New Roman" w:hAnsi="Times New Roman" w:cs="Times New Roman"/>
                <w:sz w:val="24"/>
                <w:szCs w:val="24"/>
              </w:rPr>
              <w:t xml:space="preserve"> </w:t>
            </w:r>
            <w:r w:rsidRPr="004E3F4A">
              <w:rPr>
                <w:rStyle w:val="cf01"/>
                <w:rFonts w:ascii="Times New Roman" w:hAnsi="Times New Roman" w:cs="Times New Roman"/>
                <w:sz w:val="24"/>
                <w:szCs w:val="24"/>
              </w:rPr>
              <w:t xml:space="preserve">projekts neparedz jaunas </w:t>
            </w:r>
            <w:r w:rsidRPr="00FE69C2">
              <w:rPr>
                <w:rStyle w:val="cf01"/>
                <w:rFonts w:ascii="Times New Roman" w:hAnsi="Times New Roman" w:cs="Times New Roman"/>
                <w:sz w:val="24"/>
                <w:szCs w:val="24"/>
              </w:rPr>
              <w:t>prasības</w:t>
            </w:r>
            <w:r w:rsidR="00FD76FB">
              <w:rPr>
                <w:rStyle w:val="cf01"/>
                <w:rFonts w:ascii="Times New Roman" w:hAnsi="Times New Roman" w:cs="Times New Roman"/>
                <w:sz w:val="24"/>
                <w:szCs w:val="24"/>
              </w:rPr>
              <w:t>,</w:t>
            </w:r>
            <w:r w:rsidR="00FE69C2" w:rsidRPr="00FE69C2">
              <w:rPr>
                <w:rStyle w:val="cf01"/>
                <w:rFonts w:ascii="Times New Roman" w:hAnsi="Times New Roman" w:cs="Times New Roman"/>
                <w:sz w:val="24"/>
                <w:szCs w:val="24"/>
              </w:rPr>
              <w:t xml:space="preserve"> </w:t>
            </w:r>
            <w:r w:rsidR="00FE69C2" w:rsidRPr="00005949">
              <w:rPr>
                <w:rStyle w:val="cf01"/>
                <w:rFonts w:ascii="Times New Roman" w:hAnsi="Times New Roman" w:cs="Times New Roman"/>
                <w:sz w:val="24"/>
                <w:szCs w:val="24"/>
              </w:rPr>
              <w:t>un</w:t>
            </w:r>
            <w:r w:rsidR="00357118" w:rsidRPr="00FE69C2">
              <w:rPr>
                <w:rStyle w:val="cf01"/>
                <w:rFonts w:ascii="Times New Roman" w:hAnsi="Times New Roman" w:cs="Times New Roman"/>
                <w:sz w:val="24"/>
                <w:szCs w:val="24"/>
              </w:rPr>
              <w:t xml:space="preserve"> </w:t>
            </w:r>
            <w:r w:rsidR="00FE69C2" w:rsidRPr="00FE69C2">
              <w:rPr>
                <w:rStyle w:val="cf01"/>
                <w:rFonts w:ascii="Times New Roman" w:hAnsi="Times New Roman" w:cs="Times New Roman"/>
                <w:sz w:val="24"/>
                <w:szCs w:val="24"/>
              </w:rPr>
              <w:t>p</w:t>
            </w:r>
            <w:r w:rsidR="00FE69C2" w:rsidRPr="00005949">
              <w:rPr>
                <w:rStyle w:val="cf01"/>
                <w:rFonts w:ascii="Times New Roman" w:hAnsi="Times New Roman" w:cs="Times New Roman"/>
                <w:sz w:val="24"/>
                <w:szCs w:val="24"/>
              </w:rPr>
              <w:t>rojekta īstenošanā tirgus dalībnieks netiek iesaistīts.</w:t>
            </w:r>
          </w:p>
        </w:tc>
      </w:tr>
      <w:tr w:rsidR="00F62DE2" w:rsidRPr="004E3F4A" w14:paraId="3F88AC9B" w14:textId="77777777" w:rsidTr="00ED184E">
        <w:trPr>
          <w:trHeight w:val="567"/>
        </w:trPr>
        <w:tc>
          <w:tcPr>
            <w:tcW w:w="1248" w:type="pct"/>
            <w:shd w:val="clear" w:color="auto" w:fill="auto"/>
            <w:hideMark/>
          </w:tcPr>
          <w:p w14:paraId="2A1F3042"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Saistītie dokumenti</w:t>
            </w:r>
          </w:p>
          <w:p w14:paraId="098B231B"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311BC643" w14:textId="3252368C" w:rsidR="00F11CFF" w:rsidRPr="004E3F4A" w:rsidRDefault="00F11CFF" w:rsidP="003475F2">
            <w:pPr>
              <w:pStyle w:val="NApunkts2"/>
              <w:numPr>
                <w:ilvl w:val="0"/>
                <w:numId w:val="0"/>
              </w:numPr>
              <w:tabs>
                <w:tab w:val="left" w:pos="487"/>
              </w:tabs>
            </w:pPr>
            <w:r w:rsidRPr="004E3F4A">
              <w:t>Ar projektu saistīti:</w:t>
            </w:r>
          </w:p>
          <w:p w14:paraId="0692A4D1" w14:textId="2F234A58" w:rsidR="00B24670" w:rsidRDefault="00B24670" w:rsidP="003475F2">
            <w:pPr>
              <w:pStyle w:val="NApunkts2"/>
              <w:numPr>
                <w:ilvl w:val="0"/>
                <w:numId w:val="33"/>
              </w:numPr>
              <w:tabs>
                <w:tab w:val="left" w:pos="321"/>
              </w:tabs>
            </w:pPr>
            <w:r>
              <w:t>Alternatīvo ieguldījumu fondu un to pārvaldnieku likums;</w:t>
            </w:r>
          </w:p>
          <w:p w14:paraId="5AE15368" w14:textId="6C860A27" w:rsidR="00EC77F9" w:rsidRDefault="00EC77F9" w:rsidP="003475F2">
            <w:pPr>
              <w:pStyle w:val="NApunkts2"/>
              <w:numPr>
                <w:ilvl w:val="0"/>
                <w:numId w:val="33"/>
              </w:numPr>
              <w:tabs>
                <w:tab w:val="left" w:pos="321"/>
              </w:tabs>
            </w:pPr>
            <w:r>
              <w:t>Apdrošināšanas un pārapdrošināšanas izplatīšanas likums;</w:t>
            </w:r>
          </w:p>
          <w:p w14:paraId="1BA6FB1A" w14:textId="2197FB21" w:rsidR="00EC77F9" w:rsidRDefault="00EC77F9" w:rsidP="003475F2">
            <w:pPr>
              <w:pStyle w:val="NApunkts2"/>
              <w:numPr>
                <w:ilvl w:val="0"/>
                <w:numId w:val="33"/>
              </w:numPr>
              <w:tabs>
                <w:tab w:val="left" w:pos="321"/>
              </w:tabs>
            </w:pPr>
            <w:r>
              <w:t>Finanšu instrumentu tirgus likums;</w:t>
            </w:r>
          </w:p>
          <w:p w14:paraId="55C934B9" w14:textId="39406FF3" w:rsidR="00EC77F9" w:rsidRDefault="00EC77F9" w:rsidP="003475F2">
            <w:pPr>
              <w:pStyle w:val="NApunkts2"/>
              <w:numPr>
                <w:ilvl w:val="0"/>
                <w:numId w:val="33"/>
              </w:numPr>
              <w:tabs>
                <w:tab w:val="left" w:pos="321"/>
              </w:tabs>
            </w:pPr>
            <w:r w:rsidRPr="00586021">
              <w:t>Ieguldījumu brokeru sabiedrību likum</w:t>
            </w:r>
            <w:r>
              <w:t>s;</w:t>
            </w:r>
          </w:p>
          <w:p w14:paraId="1AB56444" w14:textId="624E2DFB" w:rsidR="00EC77F9" w:rsidRDefault="00EC77F9" w:rsidP="003475F2">
            <w:pPr>
              <w:pStyle w:val="NApunkts2"/>
              <w:numPr>
                <w:ilvl w:val="0"/>
                <w:numId w:val="33"/>
              </w:numPr>
              <w:tabs>
                <w:tab w:val="left" w:pos="321"/>
              </w:tabs>
            </w:pPr>
            <w:r>
              <w:t>Ieguldījumu pārvaldes sabiedrību likums;</w:t>
            </w:r>
          </w:p>
          <w:p w14:paraId="1893280C" w14:textId="2E5D9456" w:rsidR="00EC77F9" w:rsidRDefault="00EC77F9" w:rsidP="003475F2">
            <w:pPr>
              <w:pStyle w:val="NApunkts2"/>
              <w:numPr>
                <w:ilvl w:val="0"/>
                <w:numId w:val="33"/>
              </w:numPr>
              <w:tabs>
                <w:tab w:val="left" w:pos="321"/>
              </w:tabs>
            </w:pPr>
            <w:r>
              <w:t>Kredītiestāžu likums;</w:t>
            </w:r>
          </w:p>
          <w:p w14:paraId="4A5F3404" w14:textId="6336374F" w:rsidR="00EC77F9" w:rsidRDefault="00EC77F9" w:rsidP="003475F2">
            <w:pPr>
              <w:pStyle w:val="NApunkts2"/>
              <w:numPr>
                <w:ilvl w:val="0"/>
                <w:numId w:val="33"/>
              </w:numPr>
              <w:tabs>
                <w:tab w:val="left" w:pos="321"/>
              </w:tabs>
            </w:pPr>
            <w:r>
              <w:t>Segto obligāciju likums</w:t>
            </w:r>
          </w:p>
          <w:p w14:paraId="5289DD94" w14:textId="77777777" w:rsidR="00B24670" w:rsidRDefault="00C762C2" w:rsidP="003475F2">
            <w:pPr>
              <w:pStyle w:val="NApunkts2"/>
              <w:numPr>
                <w:ilvl w:val="0"/>
                <w:numId w:val="33"/>
              </w:numPr>
              <w:tabs>
                <w:tab w:val="left" w:pos="321"/>
              </w:tabs>
            </w:pPr>
            <w:r w:rsidRPr="004E3F4A">
              <w:t>Noteikumi Nr. </w:t>
            </w:r>
            <w:r w:rsidR="00474124">
              <w:t>241</w:t>
            </w:r>
            <w:r w:rsidR="00BF1839" w:rsidRPr="004E3F4A">
              <w:t>;</w:t>
            </w:r>
          </w:p>
          <w:p w14:paraId="39CE6F18" w14:textId="77E7D434" w:rsidR="00006B2C" w:rsidRPr="004E3F4A" w:rsidRDefault="00B24670" w:rsidP="003475F2">
            <w:pPr>
              <w:pStyle w:val="NApunkts2"/>
              <w:numPr>
                <w:ilvl w:val="0"/>
                <w:numId w:val="33"/>
              </w:numPr>
              <w:tabs>
                <w:tab w:val="left" w:pos="321"/>
              </w:tabs>
            </w:pPr>
            <w:r w:rsidRPr="00B24670">
              <w:t>Īstenošanas direktīva</w:t>
            </w:r>
            <w:r w:rsidR="00006B2C">
              <w:t>.</w:t>
            </w:r>
          </w:p>
        </w:tc>
      </w:tr>
      <w:tr w:rsidR="00F62DE2" w:rsidRPr="004E3F4A" w14:paraId="48A1FBA5" w14:textId="77777777" w:rsidTr="00ED184E">
        <w:trPr>
          <w:trHeight w:val="567"/>
        </w:trPr>
        <w:tc>
          <w:tcPr>
            <w:tcW w:w="1248" w:type="pct"/>
            <w:shd w:val="clear" w:color="auto" w:fill="auto"/>
            <w:hideMark/>
          </w:tcPr>
          <w:p w14:paraId="79529BAF"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 ar Eiropas Centrālo banku</w:t>
            </w:r>
          </w:p>
          <w:p w14:paraId="712B7F8F"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2CC97BE0" w14:textId="1067EE96" w:rsidR="00A42788" w:rsidRPr="004E3F4A" w:rsidRDefault="0062751E" w:rsidP="00F62DE2">
            <w:pPr>
              <w:spacing w:after="0" w:line="240" w:lineRule="auto"/>
              <w:rPr>
                <w:rFonts w:ascii="Times New Roman" w:eastAsia="Times New Roman" w:hAnsi="Times New Roman" w:cs="Times New Roman"/>
                <w:sz w:val="24"/>
                <w:szCs w:val="24"/>
                <w:lang w:eastAsia="lv-LV"/>
              </w:rPr>
            </w:pPr>
            <w:r w:rsidRPr="004E3F4A">
              <w:rPr>
                <w:rFonts w:ascii="Times New Roman" w:eastAsia="Times New Roman" w:hAnsi="Times New Roman" w:cs="Times New Roman"/>
                <w:sz w:val="24"/>
                <w:szCs w:val="24"/>
                <w:lang w:eastAsia="lv-LV"/>
              </w:rPr>
              <w:t>Nav nepieciešama</w:t>
            </w:r>
            <w:r w:rsidR="00F62DE2" w:rsidRPr="004E3F4A">
              <w:rPr>
                <w:rFonts w:ascii="Times New Roman" w:eastAsia="Times New Roman" w:hAnsi="Times New Roman" w:cs="Times New Roman"/>
                <w:sz w:val="24"/>
                <w:szCs w:val="24"/>
                <w:lang w:eastAsia="lv-LV"/>
              </w:rPr>
              <w:t>.</w:t>
            </w:r>
          </w:p>
        </w:tc>
      </w:tr>
      <w:tr w:rsidR="00F62DE2" w:rsidRPr="004E3F4A" w14:paraId="1F40980D" w14:textId="77777777" w:rsidTr="00ED184E">
        <w:trPr>
          <w:trHeight w:val="567"/>
        </w:trPr>
        <w:tc>
          <w:tcPr>
            <w:tcW w:w="1248" w:type="pct"/>
            <w:shd w:val="clear" w:color="auto" w:fill="auto"/>
            <w:hideMark/>
          </w:tcPr>
          <w:p w14:paraId="093FB66C"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6FE53B5C" w14:textId="5BF97867" w:rsidR="00005949" w:rsidRDefault="007B50F0" w:rsidP="007B50F0">
            <w:pPr>
              <w:widowControl w:val="0"/>
              <w:spacing w:after="120" w:line="240" w:lineRule="auto"/>
              <w:jc w:val="both"/>
              <w:rPr>
                <w:rFonts w:ascii="Times New Roman" w:hAnsi="Times New Roman" w:cs="Times New Roman"/>
                <w:sz w:val="24"/>
                <w:szCs w:val="24"/>
                <w:lang w:eastAsia="lv-LV"/>
              </w:rPr>
            </w:pPr>
            <w:r w:rsidRPr="007B50F0">
              <w:rPr>
                <w:rFonts w:ascii="Times New Roman" w:eastAsiaTheme="minorEastAsia" w:hAnsi="Times New Roman" w:cs="Times New Roman"/>
                <w:sz w:val="24"/>
                <w:szCs w:val="24"/>
                <w:lang w:eastAsia="lv-LV"/>
              </w:rPr>
              <w:lastRenderedPageBreak/>
              <w:t xml:space="preserve">Noteikumu projekts </w:t>
            </w:r>
            <w:r>
              <w:rPr>
                <w:rFonts w:ascii="Times New Roman" w:eastAsiaTheme="minorEastAsia" w:hAnsi="Times New Roman" w:cs="Times New Roman"/>
                <w:sz w:val="24"/>
                <w:szCs w:val="24"/>
                <w:lang w:eastAsia="lv-LV"/>
              </w:rPr>
              <w:t>2024.gada 9. oktobrī</w:t>
            </w:r>
            <w:r w:rsidRPr="007B50F0">
              <w:rPr>
                <w:rFonts w:ascii="Times New Roman" w:eastAsiaTheme="minorEastAsia" w:hAnsi="Times New Roman" w:cs="Times New Roman"/>
                <w:sz w:val="24"/>
                <w:szCs w:val="24"/>
                <w:lang w:eastAsia="lv-LV"/>
              </w:rPr>
              <w:t xml:space="preserve"> tika publicēts Latvijas Bankas tīmekļvietnes </w:t>
            </w:r>
            <w:hyperlink r:id="rId23" w:history="1">
              <w:r w:rsidRPr="00E948A2">
                <w:rPr>
                  <w:rFonts w:ascii="Times New Roman" w:eastAsiaTheme="minorEastAsia" w:hAnsi="Times New Roman" w:cs="Times New Roman"/>
                  <w:sz w:val="24"/>
                  <w:szCs w:val="24"/>
                  <w:u w:val="single"/>
                  <w:lang w:eastAsia="lv-LV"/>
                </w:rPr>
                <w:t>www.bank.lv</w:t>
              </w:r>
            </w:hyperlink>
            <w:r w:rsidRPr="007B50F0">
              <w:rPr>
                <w:rFonts w:ascii="Times New Roman" w:eastAsiaTheme="minorEastAsia" w:hAnsi="Times New Roman" w:cs="Times New Roman"/>
                <w:sz w:val="24"/>
                <w:szCs w:val="24"/>
                <w:lang w:eastAsia="lv-LV"/>
              </w:rPr>
              <w:t xml:space="preserve"> sadaļas "Tiesību akti" apakšsadaļā "Sabiedrības līdzdalība", aicinot priekšlikumus iesniegt </w:t>
            </w:r>
            <w:r w:rsidRPr="007B50F0">
              <w:rPr>
                <w:rFonts w:ascii="Times New Roman" w:eastAsiaTheme="minorEastAsia" w:hAnsi="Times New Roman" w:cs="Times New Roman"/>
                <w:sz w:val="24"/>
                <w:szCs w:val="24"/>
                <w:lang w:eastAsia="lv-LV"/>
              </w:rPr>
              <w:lastRenderedPageBreak/>
              <w:t xml:space="preserve">līdz </w:t>
            </w:r>
            <w:r>
              <w:rPr>
                <w:rFonts w:ascii="Times New Roman" w:eastAsiaTheme="minorEastAsia" w:hAnsi="Times New Roman" w:cs="Times New Roman"/>
                <w:sz w:val="24"/>
                <w:szCs w:val="24"/>
                <w:lang w:eastAsia="lv-LV"/>
              </w:rPr>
              <w:t xml:space="preserve">2024. gada 23.oktobrim. </w:t>
            </w:r>
          </w:p>
          <w:p w14:paraId="5387E3F2" w14:textId="5BD2C2A7" w:rsidR="001B7CDD" w:rsidRPr="004E3F4A" w:rsidRDefault="00E14DAB" w:rsidP="007B50F0">
            <w:pPr>
              <w:spacing w:after="120" w:line="240" w:lineRule="auto"/>
              <w:jc w:val="both"/>
              <w:rPr>
                <w:rFonts w:ascii="Times New Roman" w:eastAsia="Times New Roman" w:hAnsi="Times New Roman" w:cs="Times New Roman"/>
                <w:sz w:val="24"/>
                <w:szCs w:val="24"/>
                <w:lang w:eastAsia="lv-LV"/>
              </w:rPr>
            </w:pPr>
            <w:r w:rsidRPr="00E14DAB">
              <w:rPr>
                <w:rFonts w:ascii="Times New Roman" w:hAnsi="Times New Roman" w:cs="Times New Roman"/>
                <w:sz w:val="24"/>
                <w:szCs w:val="24"/>
                <w:lang w:eastAsia="lv-LV"/>
              </w:rPr>
              <w:t>Vienlaikus par noteikumu projektu un notiekošo sabiedrības līdzdalību tik</w:t>
            </w:r>
            <w:r w:rsidR="007B50F0">
              <w:rPr>
                <w:rFonts w:ascii="Times New Roman" w:hAnsi="Times New Roman" w:cs="Times New Roman"/>
                <w:sz w:val="24"/>
                <w:szCs w:val="24"/>
                <w:lang w:eastAsia="lv-LV"/>
              </w:rPr>
              <w:t>a</w:t>
            </w:r>
            <w:r w:rsidRPr="00E14DAB">
              <w:rPr>
                <w:rFonts w:ascii="Times New Roman" w:hAnsi="Times New Roman" w:cs="Times New Roman"/>
                <w:sz w:val="24"/>
                <w:szCs w:val="24"/>
                <w:lang w:eastAsia="lv-LV"/>
              </w:rPr>
              <w:t xml:space="preserve"> informēti</w:t>
            </w:r>
            <w:r>
              <w:rPr>
                <w:rFonts w:ascii="Times New Roman" w:hAnsi="Times New Roman" w:cs="Times New Roman"/>
                <w:sz w:val="24"/>
                <w:szCs w:val="24"/>
                <w:lang w:eastAsia="lv-LV"/>
              </w:rPr>
              <w:t xml:space="preserve"> </w:t>
            </w:r>
            <w:r w:rsidRPr="00E14DAB">
              <w:rPr>
                <w:rFonts w:ascii="Times New Roman" w:hAnsi="Times New Roman" w:cs="Times New Roman"/>
                <w:sz w:val="24"/>
                <w:szCs w:val="24"/>
                <w:lang w:eastAsia="lv-LV"/>
              </w:rPr>
              <w:t>Latvijas Finanšu nozares asociācija</w:t>
            </w:r>
            <w:r>
              <w:rPr>
                <w:rFonts w:ascii="Times New Roman" w:hAnsi="Times New Roman" w:cs="Times New Roman"/>
                <w:sz w:val="24"/>
                <w:szCs w:val="24"/>
                <w:lang w:eastAsia="lv-LV"/>
              </w:rPr>
              <w:t xml:space="preserve">, </w:t>
            </w:r>
            <w:r w:rsidRPr="00E14DAB">
              <w:rPr>
                <w:rFonts w:ascii="Times New Roman" w:hAnsi="Times New Roman" w:cs="Times New Roman"/>
                <w:sz w:val="24"/>
                <w:szCs w:val="24"/>
                <w:lang w:eastAsia="lv-LV"/>
              </w:rPr>
              <w:t>Latvijas Apdrošinātāju asociācija</w:t>
            </w:r>
            <w:r>
              <w:rPr>
                <w:rFonts w:ascii="Times New Roman" w:hAnsi="Times New Roman" w:cs="Times New Roman"/>
                <w:sz w:val="24"/>
                <w:szCs w:val="24"/>
                <w:lang w:eastAsia="lv-LV"/>
              </w:rPr>
              <w:t xml:space="preserve">, </w:t>
            </w:r>
            <w:r w:rsidRPr="00E14DAB">
              <w:rPr>
                <w:rFonts w:ascii="Times New Roman" w:hAnsi="Times New Roman" w:cs="Times New Roman"/>
                <w:sz w:val="24"/>
                <w:szCs w:val="24"/>
                <w:lang w:eastAsia="lv-LV"/>
              </w:rPr>
              <w:t>Latvijas Profesionālo apdrošināšanas brokeru asociācija, Latvijas Apdrošināšanas brokeru asociācija</w:t>
            </w:r>
            <w:r>
              <w:rPr>
                <w:rFonts w:ascii="Times New Roman" w:hAnsi="Times New Roman" w:cs="Times New Roman"/>
                <w:sz w:val="24"/>
                <w:szCs w:val="24"/>
                <w:lang w:eastAsia="lv-LV"/>
              </w:rPr>
              <w:t xml:space="preserve">, </w:t>
            </w:r>
            <w:r w:rsidRPr="00E14DAB">
              <w:rPr>
                <w:rFonts w:ascii="Times New Roman" w:hAnsi="Times New Roman" w:cs="Times New Roman"/>
                <w:sz w:val="24"/>
                <w:szCs w:val="24"/>
                <w:lang w:eastAsia="lv-LV"/>
              </w:rPr>
              <w:t>Latvijas Privātā un Iespējkapitāla asociācija</w:t>
            </w:r>
            <w:r>
              <w:rPr>
                <w:rFonts w:ascii="Times New Roman" w:hAnsi="Times New Roman" w:cs="Times New Roman"/>
                <w:sz w:val="24"/>
                <w:szCs w:val="24"/>
                <w:lang w:eastAsia="lv-LV"/>
              </w:rPr>
              <w:t xml:space="preserve">, </w:t>
            </w:r>
            <w:r w:rsidRPr="00E14DAB">
              <w:rPr>
                <w:rFonts w:ascii="Times New Roman" w:hAnsi="Times New Roman" w:cs="Times New Roman"/>
                <w:sz w:val="24"/>
                <w:szCs w:val="24"/>
                <w:lang w:eastAsia="lv-LV"/>
              </w:rPr>
              <w:t>AS ''Rietumu banka"</w:t>
            </w:r>
            <w:r>
              <w:rPr>
                <w:rFonts w:ascii="Times New Roman" w:hAnsi="Times New Roman" w:cs="Times New Roman"/>
                <w:sz w:val="24"/>
                <w:szCs w:val="24"/>
                <w:lang w:eastAsia="lv-LV"/>
              </w:rPr>
              <w:t xml:space="preserve">, </w:t>
            </w:r>
            <w:r w:rsidRPr="00E14DAB">
              <w:rPr>
                <w:rFonts w:ascii="Times New Roman" w:hAnsi="Times New Roman" w:cs="Times New Roman"/>
                <w:sz w:val="24"/>
                <w:szCs w:val="24"/>
                <w:lang w:eastAsia="lv-LV"/>
              </w:rPr>
              <w:t>"INDEXO Banka" AS</w:t>
            </w:r>
            <w:r>
              <w:rPr>
                <w:rFonts w:ascii="Times New Roman" w:hAnsi="Times New Roman" w:cs="Times New Roman"/>
                <w:sz w:val="24"/>
                <w:szCs w:val="24"/>
                <w:lang w:eastAsia="lv-LV"/>
              </w:rPr>
              <w:t>.</w:t>
            </w:r>
          </w:p>
        </w:tc>
      </w:tr>
      <w:tr w:rsidR="00F62DE2" w:rsidRPr="004E3F4A" w14:paraId="542C6B80" w14:textId="77777777" w:rsidTr="00ED184E">
        <w:trPr>
          <w:trHeight w:val="567"/>
        </w:trPr>
        <w:tc>
          <w:tcPr>
            <w:tcW w:w="1248" w:type="pct"/>
            <w:shd w:val="clear" w:color="auto" w:fill="auto"/>
            <w:hideMark/>
          </w:tcPr>
          <w:p w14:paraId="0C15FC19" w14:textId="77777777" w:rsidR="00A42788" w:rsidRPr="004E3F4A" w:rsidRDefault="00A42788" w:rsidP="00F62DE2">
            <w:pPr>
              <w:spacing w:after="0" w:line="240" w:lineRule="auto"/>
              <w:rPr>
                <w:rFonts w:ascii="Times New Roman" w:eastAsia="Times New Roman" w:hAnsi="Times New Roman" w:cs="Times New Roman"/>
                <w:b/>
                <w:bCs/>
                <w:sz w:val="24"/>
                <w:szCs w:val="24"/>
                <w:lang w:eastAsia="lv-LV"/>
              </w:rPr>
            </w:pPr>
            <w:r w:rsidRPr="004E3F4A">
              <w:rPr>
                <w:rFonts w:ascii="Times New Roman" w:eastAsia="Times New Roman" w:hAnsi="Times New Roman" w:cs="Times New Roman"/>
                <w:b/>
                <w:bCs/>
                <w:sz w:val="24"/>
                <w:szCs w:val="24"/>
                <w:lang w:eastAsia="lv-LV"/>
              </w:rPr>
              <w:lastRenderedPageBreak/>
              <w:t>Saskaņošanas rezultāti</w:t>
            </w:r>
          </w:p>
          <w:p w14:paraId="42750899" w14:textId="77777777" w:rsidR="00CA28AB" w:rsidRPr="004E3F4A" w:rsidRDefault="00CA28AB" w:rsidP="00F62DE2">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ED7B44B" w14:textId="2A5FBC98" w:rsidR="001B7CDD" w:rsidRPr="004E3F4A" w:rsidRDefault="007B50F0" w:rsidP="00F10BD5">
            <w:pPr>
              <w:spacing w:after="120" w:line="240" w:lineRule="auto"/>
              <w:jc w:val="both"/>
              <w:rPr>
                <w:rFonts w:ascii="Times New Roman" w:eastAsia="Times New Roman" w:hAnsi="Times New Roman" w:cs="Times New Roman"/>
                <w:sz w:val="24"/>
                <w:szCs w:val="24"/>
                <w:lang w:eastAsia="lv-LV"/>
              </w:rPr>
            </w:pPr>
            <w:r w:rsidRPr="007B50F0">
              <w:rPr>
                <w:rFonts w:ascii="Times New Roman" w:eastAsia="Times New Roman" w:hAnsi="Times New Roman" w:cs="Times New Roman"/>
                <w:sz w:val="24"/>
                <w:szCs w:val="24"/>
                <w:lang w:eastAsia="lv-LV"/>
              </w:rPr>
              <w:t>Sabiedrības līdzdalības rezultātā par noteikumu projektu netika saņemti iebildumi vai priekšlikumi.</w:t>
            </w:r>
          </w:p>
        </w:tc>
      </w:tr>
    </w:tbl>
    <w:p w14:paraId="6C17CC46" w14:textId="77777777" w:rsidR="00C23BE8" w:rsidRDefault="00C23BE8" w:rsidP="00E32A21">
      <w:pPr>
        <w:spacing w:after="0" w:line="240" w:lineRule="auto"/>
        <w:rPr>
          <w:rFonts w:ascii="Times New Roman" w:hAnsi="Times New Roman" w:cs="Times New Roman"/>
          <w:sz w:val="24"/>
          <w:szCs w:val="24"/>
        </w:rPr>
        <w:sectPr w:rsidR="00C23BE8" w:rsidSect="008743B4">
          <w:headerReference w:type="default" r:id="rId24"/>
          <w:pgSz w:w="11906" w:h="16838" w:code="9"/>
          <w:pgMar w:top="1134" w:right="1134" w:bottom="1134" w:left="1701" w:header="709" w:footer="709" w:gutter="0"/>
          <w:cols w:space="708"/>
          <w:titlePg/>
          <w:docGrid w:linePitch="360"/>
        </w:sectPr>
      </w:pPr>
    </w:p>
    <w:p w14:paraId="4473720E" w14:textId="616DFD6F" w:rsidR="00C23BE8" w:rsidRDefault="008B48CB" w:rsidP="001A5FF2">
      <w:pPr>
        <w:spacing w:after="0" w:line="240" w:lineRule="auto"/>
        <w:ind w:right="-501"/>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Pielikums </w:t>
      </w:r>
      <w:r w:rsidR="00C23BE8" w:rsidRPr="00C23BE8">
        <w:rPr>
          <w:rFonts w:ascii="Times New Roman" w:hAnsi="Times New Roman" w:cs="Times New Roman"/>
          <w:color w:val="000000" w:themeColor="text1"/>
          <w:sz w:val="24"/>
          <w:szCs w:val="24"/>
        </w:rPr>
        <w:t xml:space="preserve">Latvijas Bankas noteikumu projekta </w:t>
      </w:r>
      <w:r>
        <w:rPr>
          <w:rFonts w:ascii="Times New Roman" w:hAnsi="Times New Roman" w:cs="Times New Roman"/>
          <w:color w:val="000000" w:themeColor="text1"/>
          <w:sz w:val="24"/>
          <w:szCs w:val="24"/>
        </w:rPr>
        <w:br/>
      </w:r>
      <w:r w:rsidR="00C23BE8" w:rsidRPr="00C23BE8">
        <w:rPr>
          <w:rFonts w:ascii="Times New Roman" w:hAnsi="Times New Roman" w:cs="Times New Roman"/>
          <w:color w:val="000000" w:themeColor="text1"/>
          <w:sz w:val="24"/>
          <w:szCs w:val="24"/>
        </w:rPr>
        <w:t>anotācijai</w:t>
      </w:r>
    </w:p>
    <w:p w14:paraId="417699DD" w14:textId="77777777" w:rsidR="00D1147D" w:rsidRPr="00C23BE8" w:rsidRDefault="00D1147D" w:rsidP="001A5FF2">
      <w:pPr>
        <w:spacing w:after="0" w:line="240" w:lineRule="auto"/>
        <w:ind w:right="-501"/>
        <w:jc w:val="right"/>
        <w:rPr>
          <w:rFonts w:ascii="Times New Roman" w:hAnsi="Times New Roman" w:cs="Times New Roman"/>
          <w:color w:val="000000" w:themeColor="text1"/>
          <w:sz w:val="24"/>
          <w:szCs w:val="24"/>
        </w:rPr>
      </w:pPr>
    </w:p>
    <w:p w14:paraId="2D8CD677" w14:textId="77777777" w:rsidR="00C23BE8" w:rsidRPr="00C23BE8" w:rsidRDefault="00C23BE8" w:rsidP="00D1147D">
      <w:pPr>
        <w:spacing w:line="240" w:lineRule="auto"/>
        <w:jc w:val="center"/>
        <w:rPr>
          <w:rFonts w:ascii="Times New Roman" w:hAnsi="Times New Roman" w:cs="Times New Roman"/>
          <w:b/>
          <w:color w:val="000000" w:themeColor="text1"/>
          <w:sz w:val="24"/>
          <w:szCs w:val="24"/>
        </w:rPr>
      </w:pPr>
      <w:r w:rsidRPr="00C23BE8">
        <w:rPr>
          <w:rFonts w:ascii="Times New Roman" w:hAnsi="Times New Roman" w:cs="Times New Roman"/>
          <w:b/>
          <w:color w:val="000000" w:themeColor="text1"/>
          <w:sz w:val="24"/>
          <w:szCs w:val="24"/>
        </w:rPr>
        <w:t>Eiropas Savienības tiesību aktu pārņemšanas/ieviešanas tabula</w:t>
      </w:r>
    </w:p>
    <w:p w14:paraId="660413C9" w14:textId="43C597BB" w:rsidR="00C23BE8" w:rsidRPr="00C23BE8" w:rsidRDefault="00C23BE8" w:rsidP="00486455">
      <w:pPr>
        <w:spacing w:line="240" w:lineRule="auto"/>
        <w:ind w:left="-567"/>
        <w:jc w:val="both"/>
        <w:rPr>
          <w:rFonts w:ascii="Times New Roman" w:hAnsi="Times New Roman" w:cs="Times New Roman"/>
          <w:bCs/>
          <w:color w:val="000000" w:themeColor="text1"/>
          <w:sz w:val="24"/>
          <w:szCs w:val="24"/>
        </w:rPr>
      </w:pPr>
      <w:r w:rsidRPr="00C23BE8">
        <w:rPr>
          <w:rFonts w:ascii="Times New Roman" w:hAnsi="Times New Roman" w:cs="Times New Roman"/>
          <w:b/>
          <w:color w:val="000000" w:themeColor="text1"/>
          <w:sz w:val="24"/>
          <w:szCs w:val="24"/>
        </w:rPr>
        <w:t xml:space="preserve">Latvijas Bankas noteikumu projekta nosaukums: </w:t>
      </w:r>
      <w:r w:rsidRPr="00C23BE8">
        <w:rPr>
          <w:rFonts w:ascii="Times New Roman" w:hAnsi="Times New Roman" w:cs="Times New Roman"/>
          <w:bCs/>
          <w:color w:val="000000" w:themeColor="text1"/>
          <w:sz w:val="24"/>
          <w:szCs w:val="24"/>
        </w:rPr>
        <w:t>"</w:t>
      </w:r>
      <w:r w:rsidR="00B24670" w:rsidRPr="00B24670">
        <w:rPr>
          <w:rFonts w:ascii="Times New Roman" w:eastAsia="Times New Roman" w:hAnsi="Times New Roman" w:cs="Times New Roman"/>
          <w:sz w:val="24"/>
          <w:szCs w:val="24"/>
          <w:lang w:eastAsia="lv-LV"/>
        </w:rPr>
        <w:t>Noteikumi</w:t>
      </w:r>
      <w:r w:rsidR="00810715">
        <w:rPr>
          <w:rFonts w:ascii="Times New Roman" w:eastAsia="Times New Roman" w:hAnsi="Times New Roman" w:cs="Times New Roman"/>
          <w:sz w:val="24"/>
          <w:szCs w:val="24"/>
          <w:lang w:eastAsia="lv-LV"/>
        </w:rPr>
        <w:t xml:space="preserve"> par kārtību</w:t>
      </w:r>
      <w:r w:rsidR="00B24670" w:rsidRPr="00B24670">
        <w:rPr>
          <w:rFonts w:ascii="Times New Roman" w:eastAsia="Times New Roman" w:hAnsi="Times New Roman" w:cs="Times New Roman"/>
          <w:sz w:val="24"/>
          <w:szCs w:val="24"/>
          <w:lang w:eastAsia="lv-LV"/>
        </w:rPr>
        <w:t xml:space="preserve">, kādā persona var iesniegt un Latvijas Banka izskata ziņojumu par finanšu tirgu regulējošo normatīvo aktu iespējamiem vai faktiskiem pārkāpumiem </w:t>
      </w:r>
      <w:r w:rsidRPr="00C23BE8">
        <w:rPr>
          <w:rFonts w:ascii="Times New Roman" w:eastAsia="Times New Roman" w:hAnsi="Times New Roman" w:cs="Times New Roman"/>
          <w:sz w:val="24"/>
          <w:szCs w:val="24"/>
          <w:lang w:eastAsia="lv-LV"/>
        </w:rPr>
        <w:t>" (turpmāk</w:t>
      </w:r>
      <w:r w:rsidR="00F10BD5">
        <w:rPr>
          <w:rFonts w:ascii="Times New Roman" w:eastAsia="Times New Roman" w:hAnsi="Times New Roman" w:cs="Times New Roman"/>
          <w:sz w:val="24"/>
          <w:szCs w:val="24"/>
          <w:lang w:eastAsia="lv-LV"/>
        </w:rPr>
        <w:t> </w:t>
      </w:r>
      <w:r w:rsidRPr="00C23BE8">
        <w:rPr>
          <w:rFonts w:ascii="Times New Roman" w:eastAsia="Times New Roman" w:hAnsi="Times New Roman" w:cs="Times New Roman"/>
          <w:sz w:val="24"/>
          <w:szCs w:val="24"/>
          <w:lang w:eastAsia="lv-LV"/>
        </w:rPr>
        <w:t>– projekts)</w:t>
      </w:r>
    </w:p>
    <w:p w14:paraId="4577EC26" w14:textId="32A81701" w:rsidR="00C23BE8" w:rsidRPr="00C23BE8" w:rsidRDefault="00C23BE8" w:rsidP="00486455">
      <w:pPr>
        <w:spacing w:line="240" w:lineRule="auto"/>
        <w:ind w:left="-567"/>
        <w:jc w:val="both"/>
        <w:rPr>
          <w:rFonts w:ascii="Times New Roman" w:hAnsi="Times New Roman" w:cs="Times New Roman"/>
          <w:b/>
          <w:color w:val="000000" w:themeColor="text1"/>
          <w:sz w:val="24"/>
          <w:szCs w:val="24"/>
        </w:rPr>
      </w:pPr>
      <w:r w:rsidRPr="00C23BE8">
        <w:rPr>
          <w:rFonts w:ascii="Times New Roman" w:hAnsi="Times New Roman" w:cs="Times New Roman"/>
          <w:b/>
          <w:color w:val="000000" w:themeColor="text1"/>
          <w:sz w:val="24"/>
          <w:szCs w:val="24"/>
        </w:rPr>
        <w:t>Eiropas Savienības tiesību akta nosaukums:</w:t>
      </w:r>
      <w:r w:rsidRPr="00C23BE8">
        <w:rPr>
          <w:rFonts w:ascii="Times New Roman" w:hAnsi="Times New Roman" w:cs="Times New Roman"/>
          <w:sz w:val="24"/>
          <w:szCs w:val="24"/>
        </w:rPr>
        <w:t xml:space="preserve"> </w:t>
      </w:r>
      <w:r w:rsidR="009C34C0" w:rsidRPr="005902F9">
        <w:rPr>
          <w:rFonts w:ascii="Times New Roman" w:hAnsi="Times New Roman" w:cs="Times New Roman"/>
          <w:sz w:val="24"/>
          <w:szCs w:val="24"/>
        </w:rPr>
        <w:t xml:space="preserve">Komisijas 2015. gada 17. decembra </w:t>
      </w:r>
      <w:r w:rsidR="00B24670" w:rsidRPr="00B24670">
        <w:rPr>
          <w:rFonts w:ascii="Times New Roman" w:hAnsi="Times New Roman" w:cs="Times New Roman"/>
          <w:sz w:val="24"/>
          <w:szCs w:val="24"/>
        </w:rPr>
        <w:t>Īstenošanas direktīva (ES) 2015/2392 par Eiropas Parlamenta un Padomes Regulu (ES) Nr. 596/2014 attiecībā uz ziņošanu kompetentajām iestādēm par faktiskajiem vai iespējamajiem minētās regulas pārkāpumiem</w:t>
      </w:r>
      <w:r w:rsidRPr="00C23BE8">
        <w:rPr>
          <w:rFonts w:ascii="Times New Roman" w:hAnsi="Times New Roman" w:cs="Times New Roman"/>
          <w:sz w:val="24"/>
          <w:szCs w:val="24"/>
        </w:rPr>
        <w:t xml:space="preserve"> (turpmāk – </w:t>
      </w:r>
      <w:r w:rsidR="00006B2C">
        <w:rPr>
          <w:rFonts w:ascii="Times New Roman" w:hAnsi="Times New Roman" w:cs="Times New Roman"/>
          <w:sz w:val="24"/>
          <w:szCs w:val="24"/>
        </w:rPr>
        <w:t xml:space="preserve">Direktīva </w:t>
      </w:r>
      <w:r w:rsidR="00B24670">
        <w:rPr>
          <w:rFonts w:ascii="Times New Roman" w:hAnsi="Times New Roman" w:cs="Times New Roman"/>
          <w:sz w:val="24"/>
          <w:szCs w:val="24"/>
        </w:rPr>
        <w:t>2015/2392</w:t>
      </w:r>
      <w:r w:rsidRPr="00C23BE8">
        <w:rPr>
          <w:rFonts w:ascii="Times New Roman" w:hAnsi="Times New Roman" w:cs="Times New Roman"/>
          <w:sz w:val="24"/>
          <w:szCs w:val="24"/>
        </w:rPr>
        <w:t>)</w:t>
      </w:r>
    </w:p>
    <w:tbl>
      <w:tblPr>
        <w:tblStyle w:val="TableGrid"/>
        <w:tblpPr w:leftFromText="180" w:rightFromText="180" w:vertAnchor="text" w:tblpX="-582" w:tblpY="1"/>
        <w:tblW w:w="14864" w:type="dxa"/>
        <w:tblLook w:val="04A0" w:firstRow="1" w:lastRow="0" w:firstColumn="1" w:lastColumn="0" w:noHBand="0" w:noVBand="1"/>
      </w:tblPr>
      <w:tblGrid>
        <w:gridCol w:w="2590"/>
        <w:gridCol w:w="2358"/>
        <w:gridCol w:w="2661"/>
        <w:gridCol w:w="2604"/>
        <w:gridCol w:w="2185"/>
        <w:gridCol w:w="2466"/>
      </w:tblGrid>
      <w:tr w:rsidR="006F258C" w:rsidRPr="00C23BE8" w14:paraId="6FD0F513" w14:textId="77777777" w:rsidTr="00486455">
        <w:trPr>
          <w:trHeight w:val="3529"/>
        </w:trPr>
        <w:tc>
          <w:tcPr>
            <w:tcW w:w="2590" w:type="dxa"/>
          </w:tcPr>
          <w:p w14:paraId="24AB3763" w14:textId="77777777" w:rsidR="00C23BE8" w:rsidRPr="00C23BE8" w:rsidRDefault="00C23BE8" w:rsidP="00486455">
            <w:pPr>
              <w:spacing w:after="160"/>
              <w:jc w:val="center"/>
              <w:rPr>
                <w:rFonts w:eastAsiaTheme="minorHAnsi"/>
                <w:color w:val="000000" w:themeColor="text1"/>
                <w:sz w:val="24"/>
                <w:szCs w:val="24"/>
                <w:lang w:eastAsia="en-US"/>
              </w:rPr>
            </w:pPr>
            <w:r w:rsidRPr="00C23BE8">
              <w:rPr>
                <w:rFonts w:eastAsiaTheme="minorHAnsi"/>
                <w:b/>
                <w:bCs/>
                <w:color w:val="000000" w:themeColor="text1"/>
                <w:sz w:val="24"/>
                <w:szCs w:val="24"/>
                <w:lang w:eastAsia="en-US"/>
              </w:rPr>
              <w:t xml:space="preserve">Eiropas Savienības tiesību akta pants, punkts vai apakšpunkts, kurā paredzētās prasības Latvijā jāizpilda </w:t>
            </w:r>
            <w:r w:rsidRPr="00C23BE8">
              <w:rPr>
                <w:rFonts w:eastAsiaTheme="minorHAnsi"/>
                <w:i/>
                <w:iCs/>
                <w:color w:val="000000" w:themeColor="text1"/>
                <w:sz w:val="24"/>
                <w:szCs w:val="24"/>
                <w:lang w:eastAsia="en-US"/>
              </w:rPr>
              <w:t>(norāda pēc iespējas konkrētāku teksta vienību)</w:t>
            </w:r>
          </w:p>
        </w:tc>
        <w:tc>
          <w:tcPr>
            <w:tcW w:w="2358" w:type="dxa"/>
          </w:tcPr>
          <w:p w14:paraId="577892AD" w14:textId="77777777" w:rsidR="00C23BE8" w:rsidRPr="00C23BE8" w:rsidRDefault="00C23BE8" w:rsidP="00486455">
            <w:pPr>
              <w:spacing w:after="160"/>
              <w:jc w:val="center"/>
              <w:rPr>
                <w:rFonts w:eastAsiaTheme="minorHAnsi"/>
                <w:b/>
                <w:bCs/>
                <w:color w:val="000000" w:themeColor="text1"/>
                <w:sz w:val="24"/>
                <w:szCs w:val="24"/>
                <w:lang w:eastAsia="en-US"/>
              </w:rPr>
            </w:pPr>
            <w:r w:rsidRPr="00C23BE8">
              <w:rPr>
                <w:rFonts w:eastAsiaTheme="minorHAnsi"/>
                <w:b/>
                <w:bCs/>
                <w:color w:val="000000" w:themeColor="text1"/>
                <w:sz w:val="24"/>
                <w:szCs w:val="24"/>
                <w:lang w:eastAsia="en-US"/>
              </w:rPr>
              <w:t xml:space="preserve">Projekta punkts/apakšpunkts, kas izpilda A ailē minēto prasību </w:t>
            </w:r>
            <w:r w:rsidRPr="00C23BE8">
              <w:rPr>
                <w:rFonts w:eastAsiaTheme="minorHAnsi"/>
                <w:i/>
                <w:iCs/>
                <w:color w:val="000000" w:themeColor="text1"/>
                <w:sz w:val="24"/>
                <w:szCs w:val="24"/>
                <w:lang w:eastAsia="en-US"/>
              </w:rPr>
              <w:t>(norāda pēc iespējas konkrētāku teksta vienību)</w:t>
            </w:r>
          </w:p>
        </w:tc>
        <w:tc>
          <w:tcPr>
            <w:tcW w:w="2661" w:type="dxa"/>
          </w:tcPr>
          <w:p w14:paraId="479FDC27" w14:textId="6FF81697" w:rsidR="00C23BE8" w:rsidRPr="00C23BE8" w:rsidRDefault="00C23BE8" w:rsidP="00486455">
            <w:pPr>
              <w:spacing w:after="160"/>
              <w:jc w:val="center"/>
              <w:rPr>
                <w:rFonts w:eastAsiaTheme="minorHAnsi"/>
                <w:b/>
                <w:bCs/>
                <w:color w:val="000000" w:themeColor="text1"/>
                <w:sz w:val="24"/>
                <w:szCs w:val="24"/>
                <w:lang w:eastAsia="en-US"/>
              </w:rPr>
            </w:pPr>
            <w:r w:rsidRPr="00C23BE8">
              <w:rPr>
                <w:rFonts w:eastAsiaTheme="minorHAnsi"/>
                <w:b/>
                <w:bCs/>
                <w:color w:val="000000" w:themeColor="text1"/>
                <w:sz w:val="24"/>
                <w:szCs w:val="24"/>
                <w:lang w:eastAsia="en-US"/>
              </w:rPr>
              <w:t xml:space="preserve">Vai A ailē minētā prasība ar B ailē minēto projekta punktu/apakšpunktu tiek izpildīta pilnībā vai daļēji </w:t>
            </w:r>
            <w:r w:rsidRPr="00C23BE8">
              <w:rPr>
                <w:rFonts w:eastAsiaTheme="minorHAnsi"/>
                <w:i/>
                <w:iCs/>
                <w:color w:val="000000" w:themeColor="text1"/>
                <w:sz w:val="24"/>
                <w:szCs w:val="24"/>
                <w:lang w:eastAsia="en-US"/>
              </w:rPr>
              <w:t>(ja daļēji, norāda, kur un kā ir vai tiks nodrošināta prasības pilnīga izpilde)</w:t>
            </w:r>
          </w:p>
        </w:tc>
        <w:tc>
          <w:tcPr>
            <w:tcW w:w="2604" w:type="dxa"/>
          </w:tcPr>
          <w:p w14:paraId="5ACD8DD2" w14:textId="7587574E" w:rsidR="00C23BE8" w:rsidRPr="00C23BE8" w:rsidRDefault="00C23BE8" w:rsidP="00486455">
            <w:pPr>
              <w:spacing w:after="160"/>
              <w:jc w:val="center"/>
              <w:rPr>
                <w:rFonts w:eastAsiaTheme="minorHAnsi"/>
                <w:b/>
                <w:bCs/>
                <w:color w:val="000000" w:themeColor="text1"/>
                <w:sz w:val="24"/>
                <w:szCs w:val="24"/>
                <w:lang w:eastAsia="en-US"/>
              </w:rPr>
            </w:pPr>
            <w:r w:rsidRPr="00C23BE8">
              <w:rPr>
                <w:rFonts w:eastAsiaTheme="minorHAnsi"/>
                <w:b/>
                <w:bCs/>
                <w:color w:val="000000" w:themeColor="text1"/>
                <w:sz w:val="24"/>
                <w:szCs w:val="24"/>
                <w:lang w:eastAsia="en-US"/>
              </w:rPr>
              <w:t xml:space="preserve">Vai B ailē norādītais projekta punkts/apakšpunkts paredz stingrākas prasības nekā A ailē minētā prasība </w:t>
            </w:r>
            <w:r w:rsidRPr="00C23BE8">
              <w:rPr>
                <w:rFonts w:eastAsiaTheme="minorHAnsi"/>
                <w:i/>
                <w:iCs/>
                <w:color w:val="000000" w:themeColor="text1"/>
                <w:sz w:val="24"/>
                <w:szCs w:val="24"/>
                <w:lang w:eastAsia="en-US"/>
              </w:rPr>
              <w:t>(ja paredz stingrākas prasības, papildus norāda pamatojumu šādu stingrāku prasību nepieciešamībai)</w:t>
            </w:r>
          </w:p>
        </w:tc>
        <w:tc>
          <w:tcPr>
            <w:tcW w:w="2185" w:type="dxa"/>
          </w:tcPr>
          <w:p w14:paraId="1AC6A056" w14:textId="77777777" w:rsidR="00C23BE8" w:rsidRPr="00C23BE8" w:rsidRDefault="00C23BE8" w:rsidP="00486455">
            <w:pPr>
              <w:spacing w:after="160"/>
              <w:jc w:val="center"/>
              <w:rPr>
                <w:rFonts w:eastAsiaTheme="minorHAnsi"/>
                <w:i/>
                <w:iCs/>
                <w:color w:val="000000" w:themeColor="text1"/>
                <w:sz w:val="24"/>
                <w:szCs w:val="24"/>
                <w:lang w:eastAsia="en-US"/>
              </w:rPr>
            </w:pPr>
            <w:r w:rsidRPr="00C23BE8">
              <w:rPr>
                <w:rFonts w:eastAsiaTheme="minorHAnsi"/>
                <w:b/>
                <w:bCs/>
                <w:color w:val="000000" w:themeColor="text1"/>
                <w:sz w:val="24"/>
                <w:szCs w:val="24"/>
                <w:lang w:eastAsia="en-US"/>
              </w:rPr>
              <w:t xml:space="preserve">Vai A ailē minētā prasība ir jāizpilda obligāti </w:t>
            </w:r>
            <w:r w:rsidRPr="00C23BE8">
              <w:rPr>
                <w:rFonts w:eastAsiaTheme="minorHAnsi"/>
                <w:i/>
                <w:iCs/>
                <w:color w:val="000000" w:themeColor="text1"/>
                <w:sz w:val="24"/>
                <w:szCs w:val="24"/>
                <w:lang w:eastAsia="en-US"/>
              </w:rPr>
              <w:t>(ja Eiropas Savienības tiesību akts paredz izvēles iespēju, papildus norāda, vai un kādēļ šī rīcības brīvība Latvijā ir vai nav jāizmanto)</w:t>
            </w:r>
          </w:p>
          <w:p w14:paraId="4AE535D7" w14:textId="77777777" w:rsidR="00C23BE8" w:rsidRPr="00C23BE8" w:rsidRDefault="00C23BE8" w:rsidP="00486455">
            <w:pPr>
              <w:spacing w:after="160"/>
              <w:jc w:val="center"/>
              <w:rPr>
                <w:rFonts w:eastAsiaTheme="minorHAnsi"/>
                <w:b/>
                <w:bCs/>
                <w:color w:val="000000" w:themeColor="text1"/>
                <w:sz w:val="24"/>
                <w:szCs w:val="24"/>
                <w:lang w:eastAsia="en-US"/>
              </w:rPr>
            </w:pPr>
          </w:p>
        </w:tc>
        <w:tc>
          <w:tcPr>
            <w:tcW w:w="2466" w:type="dxa"/>
          </w:tcPr>
          <w:p w14:paraId="564F64A0" w14:textId="71BF53B9" w:rsidR="00C23BE8" w:rsidRPr="00C23BE8" w:rsidRDefault="00C23BE8" w:rsidP="00486455">
            <w:pPr>
              <w:jc w:val="center"/>
              <w:rPr>
                <w:rFonts w:eastAsiaTheme="minorHAnsi"/>
                <w:b/>
                <w:bCs/>
                <w:sz w:val="24"/>
                <w:szCs w:val="24"/>
                <w:lang w:eastAsia="en-US"/>
              </w:rPr>
            </w:pPr>
            <w:r w:rsidRPr="00C23BE8">
              <w:rPr>
                <w:rFonts w:eastAsiaTheme="minorHAnsi"/>
                <w:b/>
                <w:bCs/>
                <w:sz w:val="24"/>
                <w:szCs w:val="24"/>
                <w:lang w:eastAsia="en-US"/>
              </w:rPr>
              <w:t>Vai A ailē minētais Eiropas Savienības tiesību akts paredz dalībvalsts paziņošanas pienākumu Eiropas Savienības institūcijām</w:t>
            </w:r>
          </w:p>
          <w:p w14:paraId="3ED44111" w14:textId="7DDD7058" w:rsidR="00C23BE8" w:rsidRPr="00C23BE8" w:rsidRDefault="00C23BE8" w:rsidP="00486455">
            <w:pPr>
              <w:spacing w:after="160"/>
              <w:jc w:val="center"/>
              <w:rPr>
                <w:rFonts w:eastAsiaTheme="minorHAnsi"/>
                <w:b/>
                <w:bCs/>
                <w:color w:val="000000" w:themeColor="text1"/>
                <w:sz w:val="24"/>
                <w:szCs w:val="24"/>
                <w:lang w:eastAsia="en-US"/>
              </w:rPr>
            </w:pPr>
            <w:r w:rsidRPr="00C23BE8">
              <w:rPr>
                <w:rFonts w:eastAsiaTheme="minorHAnsi"/>
                <w:i/>
                <w:iCs/>
                <w:sz w:val="24"/>
                <w:szCs w:val="24"/>
                <w:lang w:eastAsia="en-US"/>
              </w:rPr>
              <w:t>(</w:t>
            </w:r>
            <w:r w:rsidR="007377A5">
              <w:rPr>
                <w:rFonts w:eastAsiaTheme="minorHAnsi"/>
                <w:i/>
                <w:iCs/>
                <w:sz w:val="24"/>
                <w:szCs w:val="24"/>
                <w:lang w:eastAsia="en-US"/>
              </w:rPr>
              <w:t>j</w:t>
            </w:r>
            <w:r w:rsidRPr="00C23BE8">
              <w:rPr>
                <w:rFonts w:eastAsiaTheme="minorHAnsi"/>
                <w:i/>
                <w:iCs/>
                <w:sz w:val="24"/>
                <w:szCs w:val="24"/>
                <w:lang w:eastAsia="en-US"/>
              </w:rPr>
              <w:t>a paredz, norāda, kas un kādā termiņā šo paziņošanas pienākumu izpildīs)</w:t>
            </w:r>
          </w:p>
        </w:tc>
      </w:tr>
      <w:tr w:rsidR="006F258C" w:rsidRPr="00C23BE8" w14:paraId="22A0050A" w14:textId="77777777" w:rsidTr="00486455">
        <w:tc>
          <w:tcPr>
            <w:tcW w:w="2590" w:type="dxa"/>
          </w:tcPr>
          <w:p w14:paraId="3E56DA2E" w14:textId="77777777" w:rsidR="00C23BE8" w:rsidRPr="00C23BE8" w:rsidRDefault="00C23BE8" w:rsidP="00486455">
            <w:pPr>
              <w:spacing w:after="160"/>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A</w:t>
            </w:r>
          </w:p>
        </w:tc>
        <w:tc>
          <w:tcPr>
            <w:tcW w:w="2358" w:type="dxa"/>
          </w:tcPr>
          <w:p w14:paraId="24FCEF5A" w14:textId="77777777" w:rsidR="00C23BE8" w:rsidRPr="00C23BE8" w:rsidRDefault="00C23BE8" w:rsidP="00486455">
            <w:pPr>
              <w:spacing w:after="160"/>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B</w:t>
            </w:r>
          </w:p>
        </w:tc>
        <w:tc>
          <w:tcPr>
            <w:tcW w:w="2661" w:type="dxa"/>
          </w:tcPr>
          <w:p w14:paraId="167724F7" w14:textId="77777777" w:rsidR="00C23BE8" w:rsidRPr="00C23BE8" w:rsidRDefault="00C23BE8" w:rsidP="00486455">
            <w:pPr>
              <w:spacing w:after="160"/>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C</w:t>
            </w:r>
          </w:p>
        </w:tc>
        <w:tc>
          <w:tcPr>
            <w:tcW w:w="2604" w:type="dxa"/>
          </w:tcPr>
          <w:p w14:paraId="73D1E654" w14:textId="77777777" w:rsidR="00C23BE8" w:rsidRPr="00C23BE8" w:rsidRDefault="00C23BE8" w:rsidP="00486455">
            <w:pPr>
              <w:spacing w:after="160"/>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D</w:t>
            </w:r>
          </w:p>
        </w:tc>
        <w:tc>
          <w:tcPr>
            <w:tcW w:w="2185" w:type="dxa"/>
          </w:tcPr>
          <w:p w14:paraId="567E131C" w14:textId="77777777" w:rsidR="00C23BE8" w:rsidRPr="00C23BE8" w:rsidRDefault="00C23BE8" w:rsidP="00486455">
            <w:pPr>
              <w:spacing w:after="160"/>
              <w:jc w:val="center"/>
              <w:rPr>
                <w:rFonts w:eastAsiaTheme="minorHAnsi"/>
                <w:color w:val="000000" w:themeColor="text1"/>
                <w:sz w:val="24"/>
                <w:szCs w:val="24"/>
                <w:lang w:eastAsia="en-US"/>
              </w:rPr>
            </w:pPr>
            <w:r w:rsidRPr="00C23BE8">
              <w:rPr>
                <w:rFonts w:eastAsiaTheme="minorHAnsi"/>
                <w:color w:val="000000" w:themeColor="text1"/>
                <w:sz w:val="24"/>
                <w:szCs w:val="24"/>
                <w:lang w:eastAsia="en-US"/>
              </w:rPr>
              <w:t>E</w:t>
            </w:r>
          </w:p>
        </w:tc>
        <w:tc>
          <w:tcPr>
            <w:tcW w:w="2466" w:type="dxa"/>
          </w:tcPr>
          <w:p w14:paraId="3DAFF6E8" w14:textId="77777777" w:rsidR="00C23BE8" w:rsidRPr="00F10BD5" w:rsidRDefault="00C23BE8" w:rsidP="00486455">
            <w:pPr>
              <w:spacing w:after="160"/>
              <w:jc w:val="center"/>
              <w:rPr>
                <w:rFonts w:eastAsiaTheme="minorHAnsi"/>
                <w:color w:val="000000" w:themeColor="text1"/>
                <w:sz w:val="24"/>
                <w:szCs w:val="24"/>
                <w:lang w:eastAsia="en-US"/>
              </w:rPr>
            </w:pPr>
            <w:r w:rsidRPr="00F10BD5">
              <w:rPr>
                <w:rFonts w:eastAsiaTheme="minorHAnsi"/>
                <w:color w:val="000000" w:themeColor="text1"/>
                <w:sz w:val="24"/>
                <w:szCs w:val="24"/>
                <w:lang w:eastAsia="en-US"/>
              </w:rPr>
              <w:t>F</w:t>
            </w:r>
          </w:p>
        </w:tc>
      </w:tr>
      <w:tr w:rsidR="000A0440" w:rsidRPr="00C23BE8" w14:paraId="12B2C456" w14:textId="77777777" w:rsidTr="00486455">
        <w:tc>
          <w:tcPr>
            <w:tcW w:w="2590" w:type="dxa"/>
          </w:tcPr>
          <w:p w14:paraId="6FEE138B" w14:textId="05F84D04" w:rsidR="00C23BE8" w:rsidRPr="00C465D7" w:rsidRDefault="00006B2C" w:rsidP="00486455">
            <w:pPr>
              <w:jc w:val="left"/>
              <w:rPr>
                <w:rFonts w:eastAsiaTheme="minorHAnsi"/>
                <w:color w:val="000000" w:themeColor="text1"/>
                <w:sz w:val="24"/>
                <w:szCs w:val="24"/>
                <w:lang w:eastAsia="en-US"/>
              </w:rPr>
            </w:pPr>
            <w:r w:rsidRPr="00C465D7">
              <w:rPr>
                <w:rFonts w:eastAsiaTheme="minorHAnsi"/>
                <w:color w:val="000000" w:themeColor="text1"/>
                <w:sz w:val="24"/>
                <w:szCs w:val="24"/>
                <w:lang w:eastAsia="en-US"/>
              </w:rPr>
              <w:t>Direktīvas 201</w:t>
            </w:r>
            <w:r w:rsidR="00FF792B" w:rsidRPr="00C465D7">
              <w:rPr>
                <w:rFonts w:eastAsiaTheme="minorHAnsi"/>
                <w:color w:val="000000" w:themeColor="text1"/>
                <w:sz w:val="24"/>
                <w:szCs w:val="24"/>
                <w:lang w:eastAsia="en-US"/>
              </w:rPr>
              <w:t>5</w:t>
            </w:r>
            <w:r w:rsidRPr="00C465D7">
              <w:rPr>
                <w:rFonts w:eastAsiaTheme="minorHAnsi"/>
                <w:color w:val="000000" w:themeColor="text1"/>
                <w:sz w:val="24"/>
                <w:szCs w:val="24"/>
                <w:lang w:eastAsia="en-US"/>
              </w:rPr>
              <w:t>/</w:t>
            </w:r>
            <w:r w:rsidR="00FF792B" w:rsidRPr="00C465D7">
              <w:rPr>
                <w:rFonts w:eastAsiaTheme="minorHAnsi"/>
                <w:color w:val="000000" w:themeColor="text1"/>
                <w:sz w:val="24"/>
                <w:szCs w:val="24"/>
                <w:lang w:eastAsia="en-US"/>
              </w:rPr>
              <w:t>2392</w:t>
            </w:r>
            <w:r w:rsidRPr="00C465D7">
              <w:rPr>
                <w:rFonts w:eastAsiaTheme="minorHAnsi"/>
                <w:color w:val="000000" w:themeColor="text1"/>
                <w:sz w:val="24"/>
                <w:szCs w:val="24"/>
                <w:lang w:eastAsia="en-US"/>
              </w:rPr>
              <w:t xml:space="preserve"> </w:t>
            </w:r>
          </w:p>
          <w:p w14:paraId="601EA775" w14:textId="569C7F96" w:rsidR="00877B19" w:rsidRPr="00C465D7" w:rsidRDefault="00FF792B" w:rsidP="00486455">
            <w:pPr>
              <w:spacing w:after="160"/>
              <w:jc w:val="left"/>
              <w:rPr>
                <w:rFonts w:eastAsiaTheme="minorHAnsi"/>
                <w:color w:val="000000" w:themeColor="text1"/>
                <w:sz w:val="24"/>
                <w:szCs w:val="24"/>
                <w:lang w:eastAsia="en-US"/>
              </w:rPr>
            </w:pPr>
            <w:r w:rsidRPr="00C465D7">
              <w:rPr>
                <w:rFonts w:eastAsiaTheme="minorHAnsi"/>
                <w:color w:val="000000" w:themeColor="text1"/>
                <w:sz w:val="24"/>
                <w:szCs w:val="24"/>
                <w:lang w:eastAsia="en-US"/>
              </w:rPr>
              <w:t>3. pants</w:t>
            </w:r>
          </w:p>
          <w:p w14:paraId="4A4BA856" w14:textId="5696823A" w:rsidR="00C23BE8" w:rsidRPr="00C465D7" w:rsidRDefault="00C23BE8" w:rsidP="00486455">
            <w:pPr>
              <w:spacing w:after="160"/>
              <w:contextualSpacing/>
              <w:jc w:val="left"/>
              <w:rPr>
                <w:rFonts w:eastAsiaTheme="minorHAnsi"/>
                <w:color w:val="000000" w:themeColor="text1"/>
                <w:kern w:val="2"/>
                <w:sz w:val="24"/>
                <w:szCs w:val="24"/>
                <w14:ligatures w14:val="standardContextual"/>
              </w:rPr>
            </w:pPr>
          </w:p>
        </w:tc>
        <w:tc>
          <w:tcPr>
            <w:tcW w:w="2358" w:type="dxa"/>
          </w:tcPr>
          <w:p w14:paraId="5385B9EB" w14:textId="7D3D8158" w:rsidR="00C23BE8" w:rsidRPr="00C465D7" w:rsidRDefault="00C23BE8" w:rsidP="00486455">
            <w:pPr>
              <w:spacing w:after="160"/>
              <w:jc w:val="left"/>
              <w:rPr>
                <w:rFonts w:eastAsiaTheme="minorHAnsi"/>
                <w:color w:val="000000" w:themeColor="text1"/>
                <w:sz w:val="24"/>
                <w:szCs w:val="24"/>
                <w:lang w:eastAsia="en-US"/>
              </w:rPr>
            </w:pPr>
            <w:r w:rsidRPr="00C465D7">
              <w:rPr>
                <w:rFonts w:eastAsiaTheme="minorHAnsi"/>
                <w:color w:val="000000" w:themeColor="text1"/>
                <w:sz w:val="24"/>
                <w:szCs w:val="24"/>
                <w:lang w:eastAsia="en-US"/>
              </w:rPr>
              <w:t xml:space="preserve">Projekta </w:t>
            </w:r>
            <w:r w:rsidR="005552E3" w:rsidRPr="00C465D7">
              <w:rPr>
                <w:rFonts w:eastAsiaTheme="minorHAnsi"/>
                <w:color w:val="000000" w:themeColor="text1"/>
                <w:sz w:val="24"/>
                <w:szCs w:val="24"/>
                <w:lang w:eastAsia="en-US"/>
              </w:rPr>
              <w:t>2</w:t>
            </w:r>
            <w:r w:rsidR="002E2194" w:rsidRPr="00C465D7">
              <w:rPr>
                <w:rFonts w:eastAsiaTheme="minorHAnsi"/>
                <w:color w:val="000000" w:themeColor="text1"/>
                <w:sz w:val="24"/>
                <w:szCs w:val="24"/>
                <w:lang w:eastAsia="en-US"/>
              </w:rPr>
              <w:t>.</w:t>
            </w:r>
            <w:r w:rsidR="00F10BD5" w:rsidRPr="00C465D7">
              <w:rPr>
                <w:rFonts w:eastAsiaTheme="minorHAnsi"/>
                <w:color w:val="000000" w:themeColor="text1"/>
                <w:sz w:val="24"/>
                <w:szCs w:val="24"/>
                <w:lang w:eastAsia="en-US"/>
              </w:rPr>
              <w:t> </w:t>
            </w:r>
            <w:r w:rsidR="002E2194" w:rsidRPr="00C465D7">
              <w:rPr>
                <w:rFonts w:eastAsiaTheme="minorHAnsi"/>
                <w:color w:val="000000" w:themeColor="text1"/>
                <w:sz w:val="24"/>
                <w:szCs w:val="24"/>
                <w:lang w:eastAsia="en-US"/>
              </w:rPr>
              <w:t>punkts</w:t>
            </w:r>
          </w:p>
        </w:tc>
        <w:tc>
          <w:tcPr>
            <w:tcW w:w="2661" w:type="dxa"/>
          </w:tcPr>
          <w:p w14:paraId="4C3A3B92" w14:textId="77777777" w:rsidR="00C23BE8" w:rsidRPr="00C465D7" w:rsidRDefault="00C23BE8" w:rsidP="00486455">
            <w:pPr>
              <w:spacing w:after="160"/>
              <w:jc w:val="left"/>
              <w:rPr>
                <w:rFonts w:eastAsiaTheme="minorHAnsi"/>
                <w:color w:val="000000" w:themeColor="text1"/>
                <w:sz w:val="24"/>
                <w:szCs w:val="24"/>
                <w:lang w:eastAsia="en-US"/>
              </w:rPr>
            </w:pPr>
            <w:r w:rsidRPr="00C465D7">
              <w:rPr>
                <w:rFonts w:eastAsiaTheme="minorHAnsi"/>
                <w:color w:val="000000" w:themeColor="text1"/>
                <w:sz w:val="24"/>
                <w:szCs w:val="24"/>
                <w:lang w:eastAsia="en-US"/>
              </w:rPr>
              <w:t>Izpilda pilnībā</w:t>
            </w:r>
          </w:p>
        </w:tc>
        <w:tc>
          <w:tcPr>
            <w:tcW w:w="2604" w:type="dxa"/>
          </w:tcPr>
          <w:p w14:paraId="710C29A7" w14:textId="77777777" w:rsidR="00C23BE8" w:rsidRPr="00C465D7" w:rsidRDefault="00C23BE8" w:rsidP="00486455">
            <w:pPr>
              <w:spacing w:after="160"/>
              <w:jc w:val="left"/>
              <w:rPr>
                <w:rFonts w:eastAsiaTheme="minorHAnsi"/>
                <w:color w:val="000000" w:themeColor="text1"/>
                <w:sz w:val="24"/>
                <w:szCs w:val="24"/>
                <w:lang w:eastAsia="en-US"/>
              </w:rPr>
            </w:pPr>
            <w:r w:rsidRPr="00C465D7">
              <w:rPr>
                <w:rFonts w:eastAsiaTheme="minorHAnsi"/>
                <w:color w:val="000000" w:themeColor="text1"/>
                <w:sz w:val="24"/>
                <w:szCs w:val="24"/>
                <w:lang w:eastAsia="en-US"/>
              </w:rPr>
              <w:t>Nē</w:t>
            </w:r>
          </w:p>
        </w:tc>
        <w:tc>
          <w:tcPr>
            <w:tcW w:w="2185" w:type="dxa"/>
          </w:tcPr>
          <w:p w14:paraId="27139CE8" w14:textId="77777777" w:rsidR="00C23BE8" w:rsidRPr="00C465D7" w:rsidRDefault="00C23BE8" w:rsidP="00486455">
            <w:pPr>
              <w:spacing w:after="160"/>
              <w:jc w:val="left"/>
              <w:rPr>
                <w:rFonts w:eastAsiaTheme="minorHAnsi"/>
                <w:color w:val="000000" w:themeColor="text1"/>
                <w:sz w:val="24"/>
                <w:szCs w:val="24"/>
                <w:lang w:eastAsia="en-US"/>
              </w:rPr>
            </w:pPr>
            <w:r w:rsidRPr="00C465D7">
              <w:rPr>
                <w:rFonts w:eastAsiaTheme="minorHAnsi"/>
                <w:color w:val="000000" w:themeColor="text1"/>
                <w:sz w:val="24"/>
                <w:szCs w:val="24"/>
                <w:lang w:eastAsia="en-US"/>
              </w:rPr>
              <w:t>Jā</w:t>
            </w:r>
          </w:p>
          <w:p w14:paraId="7AA6CECB" w14:textId="77777777" w:rsidR="000A0440" w:rsidRPr="00C465D7" w:rsidRDefault="000A0440" w:rsidP="00486455">
            <w:pPr>
              <w:spacing w:after="160"/>
              <w:jc w:val="left"/>
              <w:rPr>
                <w:rFonts w:eastAsiaTheme="minorHAnsi"/>
                <w:color w:val="000000" w:themeColor="text1"/>
                <w:sz w:val="24"/>
                <w:szCs w:val="24"/>
                <w:lang w:eastAsia="en-US"/>
              </w:rPr>
            </w:pPr>
          </w:p>
        </w:tc>
        <w:tc>
          <w:tcPr>
            <w:tcW w:w="2466" w:type="dxa"/>
          </w:tcPr>
          <w:p w14:paraId="2EC216C7" w14:textId="34EF0A8A" w:rsidR="00C23BE8" w:rsidRDefault="0035254C" w:rsidP="00C465D7">
            <w:pPr>
              <w:jc w:val="left"/>
              <w:rPr>
                <w:color w:val="000000" w:themeColor="text1"/>
                <w:sz w:val="24"/>
                <w:szCs w:val="24"/>
              </w:rPr>
            </w:pPr>
            <w:r w:rsidRPr="00C465D7">
              <w:rPr>
                <w:color w:val="000000" w:themeColor="text1"/>
                <w:sz w:val="24"/>
                <w:szCs w:val="24"/>
              </w:rPr>
              <w:t>Direktīvas 201</w:t>
            </w:r>
            <w:r w:rsidR="005552E3" w:rsidRPr="00C465D7">
              <w:rPr>
                <w:color w:val="000000" w:themeColor="text1"/>
                <w:sz w:val="24"/>
                <w:szCs w:val="24"/>
              </w:rPr>
              <w:t>5</w:t>
            </w:r>
            <w:r w:rsidRPr="00C465D7">
              <w:rPr>
                <w:color w:val="000000" w:themeColor="text1"/>
                <w:sz w:val="24"/>
                <w:szCs w:val="24"/>
              </w:rPr>
              <w:t>/</w:t>
            </w:r>
            <w:r w:rsidR="005552E3" w:rsidRPr="00C465D7">
              <w:rPr>
                <w:color w:val="000000" w:themeColor="text1"/>
                <w:sz w:val="24"/>
                <w:szCs w:val="24"/>
              </w:rPr>
              <w:t xml:space="preserve">2392 13. pants paredz, ka </w:t>
            </w:r>
            <w:r w:rsidRPr="00C465D7">
              <w:rPr>
                <w:color w:val="000000" w:themeColor="text1"/>
                <w:sz w:val="24"/>
                <w:szCs w:val="24"/>
              </w:rPr>
              <w:t xml:space="preserve">dalībvalstis </w:t>
            </w:r>
            <w:r w:rsidR="005552E3" w:rsidRPr="00C465D7">
              <w:rPr>
                <w:color w:val="000000" w:themeColor="text1"/>
                <w:sz w:val="24"/>
                <w:szCs w:val="24"/>
              </w:rPr>
              <w:t>pieņem minētos noteikumus, tajos ietver atsauci uz šo direktīvu</w:t>
            </w:r>
            <w:r w:rsidR="00AE752F">
              <w:rPr>
                <w:color w:val="000000" w:themeColor="text1"/>
                <w:sz w:val="24"/>
                <w:szCs w:val="24"/>
              </w:rPr>
              <w:t>.</w:t>
            </w:r>
            <w:r w:rsidR="005552E3" w:rsidRPr="00C465D7">
              <w:rPr>
                <w:color w:val="000000" w:themeColor="text1"/>
                <w:sz w:val="24"/>
                <w:szCs w:val="24"/>
              </w:rPr>
              <w:t xml:space="preserve"> </w:t>
            </w:r>
            <w:r w:rsidR="00531628" w:rsidRPr="00531628">
              <w:rPr>
                <w:rFonts w:asciiTheme="minorHAnsi" w:eastAsiaTheme="minorHAnsi" w:hAnsiTheme="minorHAnsi" w:cstheme="minorBidi"/>
                <w:color w:val="auto"/>
                <w:sz w:val="22"/>
                <w:szCs w:val="22"/>
                <w:lang w:eastAsia="en-US"/>
              </w:rPr>
              <w:t xml:space="preserve"> </w:t>
            </w:r>
            <w:r w:rsidR="00531628" w:rsidRPr="00531628">
              <w:rPr>
                <w:color w:val="000000" w:themeColor="text1"/>
                <w:sz w:val="24"/>
                <w:szCs w:val="24"/>
              </w:rPr>
              <w:t xml:space="preserve">Dalībvalstis tūlīt dara </w:t>
            </w:r>
            <w:r w:rsidR="00531628" w:rsidRPr="00531628">
              <w:rPr>
                <w:color w:val="000000" w:themeColor="text1"/>
                <w:sz w:val="24"/>
                <w:szCs w:val="24"/>
              </w:rPr>
              <w:lastRenderedPageBreak/>
              <w:t>zināmus Komisijai minēto noteikumu tekstus.</w:t>
            </w:r>
          </w:p>
          <w:p w14:paraId="6C584DEF" w14:textId="53FE57BE" w:rsidR="00AE752F" w:rsidRPr="00C465D7" w:rsidRDefault="00AE752F" w:rsidP="00C465D7">
            <w:pPr>
              <w:jc w:val="left"/>
              <w:rPr>
                <w:rFonts w:eastAsiaTheme="minorHAnsi"/>
                <w:color w:val="000000" w:themeColor="text1"/>
                <w:sz w:val="24"/>
                <w:szCs w:val="24"/>
                <w:lang w:eastAsia="en-US"/>
              </w:rPr>
            </w:pPr>
            <w:r w:rsidRPr="00AE752F">
              <w:rPr>
                <w:rFonts w:eastAsiaTheme="minorHAnsi"/>
                <w:color w:val="000000" w:themeColor="text1"/>
                <w:sz w:val="24"/>
                <w:szCs w:val="24"/>
                <w:lang w:eastAsia="en-US"/>
              </w:rPr>
              <w:t>Saņemot Latvijas Bankas informāciju par šā projekta apstiprināšanu Latvijas Bankas padomē un publicēšanu oficiālajā izdevumā "Latvijas Vēstnesis", minēto paziņošanas pienākumu izpildīs Finanšu ministrija, sniedzot paziņojumu Eiropas Komisijai</w:t>
            </w:r>
            <w:r>
              <w:rPr>
                <w:rFonts w:eastAsiaTheme="minorHAnsi"/>
                <w:color w:val="000000" w:themeColor="text1"/>
                <w:sz w:val="24"/>
                <w:szCs w:val="24"/>
                <w:lang w:eastAsia="en-US"/>
              </w:rPr>
              <w:t>.</w:t>
            </w:r>
          </w:p>
        </w:tc>
      </w:tr>
      <w:tr w:rsidR="006F258C" w:rsidRPr="00C23BE8" w14:paraId="5B5A71C8" w14:textId="77777777" w:rsidTr="00486455">
        <w:trPr>
          <w:trHeight w:val="728"/>
        </w:trPr>
        <w:tc>
          <w:tcPr>
            <w:tcW w:w="2590" w:type="dxa"/>
          </w:tcPr>
          <w:p w14:paraId="66691E7F" w14:textId="77777777" w:rsidR="00C465D7" w:rsidRPr="00C465D7" w:rsidRDefault="00C465D7" w:rsidP="00C465D7">
            <w:pPr>
              <w:rPr>
                <w:color w:val="000000" w:themeColor="text1"/>
                <w:sz w:val="24"/>
                <w:szCs w:val="24"/>
              </w:rPr>
            </w:pPr>
            <w:r w:rsidRPr="00C465D7">
              <w:rPr>
                <w:color w:val="000000" w:themeColor="text1"/>
                <w:sz w:val="24"/>
                <w:szCs w:val="24"/>
              </w:rPr>
              <w:lastRenderedPageBreak/>
              <w:t xml:space="preserve">Direktīvas 2015/2392 </w:t>
            </w:r>
          </w:p>
          <w:p w14:paraId="02F0EBBD" w14:textId="517418D0" w:rsidR="00877B19" w:rsidRPr="00C465D7" w:rsidRDefault="00C465D7" w:rsidP="00C465D7">
            <w:pPr>
              <w:rPr>
                <w:color w:val="000000" w:themeColor="text1"/>
                <w:sz w:val="24"/>
                <w:szCs w:val="24"/>
              </w:rPr>
            </w:pPr>
            <w:r w:rsidRPr="00C465D7">
              <w:rPr>
                <w:color w:val="000000" w:themeColor="text1"/>
                <w:sz w:val="24"/>
                <w:szCs w:val="24"/>
              </w:rPr>
              <w:t>4. pant</w:t>
            </w:r>
            <w:r w:rsidR="00AB3E64">
              <w:rPr>
                <w:color w:val="000000" w:themeColor="text1"/>
                <w:sz w:val="24"/>
                <w:szCs w:val="24"/>
              </w:rPr>
              <w:t>s</w:t>
            </w:r>
            <w:r w:rsidRPr="00C465D7">
              <w:rPr>
                <w:color w:val="000000" w:themeColor="text1"/>
                <w:sz w:val="24"/>
                <w:szCs w:val="24"/>
              </w:rPr>
              <w:t xml:space="preserve"> </w:t>
            </w:r>
          </w:p>
        </w:tc>
        <w:tc>
          <w:tcPr>
            <w:tcW w:w="2358" w:type="dxa"/>
          </w:tcPr>
          <w:p w14:paraId="6F905F97" w14:textId="61DE0B34" w:rsidR="00877B19" w:rsidRPr="00C465D7" w:rsidRDefault="0085657C" w:rsidP="00486455">
            <w:pPr>
              <w:rPr>
                <w:color w:val="000000" w:themeColor="text1"/>
                <w:sz w:val="24"/>
                <w:szCs w:val="24"/>
              </w:rPr>
            </w:pPr>
            <w:r w:rsidRPr="00C465D7">
              <w:rPr>
                <w:color w:val="000000" w:themeColor="text1"/>
                <w:sz w:val="24"/>
                <w:szCs w:val="24"/>
              </w:rPr>
              <w:t xml:space="preserve">Projekta </w:t>
            </w:r>
            <w:r w:rsidR="009B4C64">
              <w:rPr>
                <w:color w:val="000000" w:themeColor="text1"/>
                <w:sz w:val="24"/>
                <w:szCs w:val="24"/>
              </w:rPr>
              <w:t>4</w:t>
            </w:r>
            <w:r w:rsidR="00C465D7" w:rsidRPr="00C465D7">
              <w:rPr>
                <w:color w:val="000000" w:themeColor="text1"/>
                <w:sz w:val="24"/>
                <w:szCs w:val="24"/>
              </w:rPr>
              <w:t>.</w:t>
            </w:r>
            <w:r w:rsidR="009B4C64">
              <w:rPr>
                <w:color w:val="000000" w:themeColor="text1"/>
                <w:sz w:val="24"/>
                <w:szCs w:val="24"/>
              </w:rPr>
              <w:t>, 6., 7.</w:t>
            </w:r>
            <w:r w:rsidR="00AB3E64">
              <w:rPr>
                <w:color w:val="000000" w:themeColor="text1"/>
                <w:sz w:val="24"/>
                <w:szCs w:val="24"/>
              </w:rPr>
              <w:t> </w:t>
            </w:r>
            <w:r w:rsidR="00C465D7" w:rsidRPr="00C465D7">
              <w:rPr>
                <w:color w:val="000000" w:themeColor="text1"/>
                <w:sz w:val="24"/>
                <w:szCs w:val="24"/>
              </w:rPr>
              <w:t>punkts</w:t>
            </w:r>
          </w:p>
        </w:tc>
        <w:tc>
          <w:tcPr>
            <w:tcW w:w="2661" w:type="dxa"/>
          </w:tcPr>
          <w:p w14:paraId="10B00AF6" w14:textId="5A0E2E3D" w:rsidR="00877B19" w:rsidRPr="00C465D7" w:rsidRDefault="007768C1" w:rsidP="00486455">
            <w:pPr>
              <w:rPr>
                <w:color w:val="000000" w:themeColor="text1"/>
                <w:sz w:val="24"/>
                <w:szCs w:val="24"/>
              </w:rPr>
            </w:pPr>
            <w:r w:rsidRPr="00C465D7">
              <w:rPr>
                <w:color w:val="000000" w:themeColor="text1"/>
                <w:sz w:val="24"/>
                <w:szCs w:val="24"/>
              </w:rPr>
              <w:t>Izpilda pilnībā</w:t>
            </w:r>
          </w:p>
        </w:tc>
        <w:tc>
          <w:tcPr>
            <w:tcW w:w="2604" w:type="dxa"/>
          </w:tcPr>
          <w:p w14:paraId="4CA14786" w14:textId="24E06BB1" w:rsidR="00877B19" w:rsidRPr="00C465D7" w:rsidRDefault="007768C1" w:rsidP="00486455">
            <w:pPr>
              <w:rPr>
                <w:color w:val="000000" w:themeColor="text1"/>
                <w:sz w:val="24"/>
                <w:szCs w:val="24"/>
              </w:rPr>
            </w:pPr>
            <w:r w:rsidRPr="00C465D7">
              <w:rPr>
                <w:color w:val="000000" w:themeColor="text1"/>
                <w:sz w:val="24"/>
                <w:szCs w:val="24"/>
              </w:rPr>
              <w:t>Nē</w:t>
            </w:r>
          </w:p>
        </w:tc>
        <w:tc>
          <w:tcPr>
            <w:tcW w:w="2185" w:type="dxa"/>
          </w:tcPr>
          <w:p w14:paraId="6241B672" w14:textId="39FD46BE" w:rsidR="00877B19" w:rsidRPr="00C465D7" w:rsidRDefault="007768C1" w:rsidP="00486455">
            <w:pPr>
              <w:rPr>
                <w:color w:val="000000" w:themeColor="text1"/>
                <w:sz w:val="24"/>
                <w:szCs w:val="24"/>
              </w:rPr>
            </w:pPr>
            <w:r w:rsidRPr="00C465D7">
              <w:rPr>
                <w:color w:val="000000" w:themeColor="text1"/>
                <w:sz w:val="24"/>
                <w:szCs w:val="24"/>
              </w:rPr>
              <w:t>Jā</w:t>
            </w:r>
          </w:p>
        </w:tc>
        <w:tc>
          <w:tcPr>
            <w:tcW w:w="2466" w:type="dxa"/>
          </w:tcPr>
          <w:p w14:paraId="0E011A4B" w14:textId="534E2F40" w:rsidR="00877B19" w:rsidRPr="00B24670" w:rsidRDefault="00877B19" w:rsidP="00486455">
            <w:pPr>
              <w:rPr>
                <w:color w:val="000000" w:themeColor="text1"/>
                <w:sz w:val="24"/>
                <w:szCs w:val="24"/>
                <w:highlight w:val="yellow"/>
              </w:rPr>
            </w:pPr>
          </w:p>
        </w:tc>
      </w:tr>
      <w:tr w:rsidR="00C465D7" w:rsidRPr="00C23BE8" w14:paraId="3BACE381" w14:textId="77777777" w:rsidTr="00486455">
        <w:trPr>
          <w:trHeight w:val="696"/>
        </w:trPr>
        <w:tc>
          <w:tcPr>
            <w:tcW w:w="2590" w:type="dxa"/>
          </w:tcPr>
          <w:p w14:paraId="493A444C" w14:textId="77777777" w:rsidR="00C465D7" w:rsidRPr="00C465D7" w:rsidRDefault="00C465D7" w:rsidP="00C465D7">
            <w:pPr>
              <w:rPr>
                <w:color w:val="000000" w:themeColor="text1"/>
                <w:sz w:val="24"/>
                <w:szCs w:val="24"/>
              </w:rPr>
            </w:pPr>
            <w:r w:rsidRPr="00C465D7">
              <w:rPr>
                <w:color w:val="000000" w:themeColor="text1"/>
                <w:sz w:val="24"/>
                <w:szCs w:val="24"/>
              </w:rPr>
              <w:t xml:space="preserve">Direktīvas 2015/2392 </w:t>
            </w:r>
          </w:p>
          <w:p w14:paraId="628F678A" w14:textId="6DE8C4BE" w:rsidR="00C465D7" w:rsidRPr="00B24670" w:rsidRDefault="00C465D7" w:rsidP="00C465D7">
            <w:pPr>
              <w:rPr>
                <w:color w:val="000000" w:themeColor="text1"/>
                <w:sz w:val="24"/>
                <w:szCs w:val="24"/>
                <w:highlight w:val="yellow"/>
              </w:rPr>
            </w:pPr>
            <w:r>
              <w:rPr>
                <w:color w:val="000000" w:themeColor="text1"/>
                <w:sz w:val="24"/>
                <w:szCs w:val="24"/>
              </w:rPr>
              <w:t>5</w:t>
            </w:r>
            <w:r w:rsidRPr="00C465D7">
              <w:rPr>
                <w:color w:val="000000" w:themeColor="text1"/>
                <w:sz w:val="24"/>
                <w:szCs w:val="24"/>
              </w:rPr>
              <w:t>. pant</w:t>
            </w:r>
            <w:r w:rsidR="00AB3E64">
              <w:rPr>
                <w:color w:val="000000" w:themeColor="text1"/>
                <w:sz w:val="24"/>
                <w:szCs w:val="24"/>
              </w:rPr>
              <w:t>s</w:t>
            </w:r>
            <w:r w:rsidRPr="00C465D7">
              <w:rPr>
                <w:color w:val="000000" w:themeColor="text1"/>
                <w:sz w:val="24"/>
                <w:szCs w:val="24"/>
              </w:rPr>
              <w:t xml:space="preserve"> </w:t>
            </w:r>
          </w:p>
        </w:tc>
        <w:tc>
          <w:tcPr>
            <w:tcW w:w="2358" w:type="dxa"/>
          </w:tcPr>
          <w:p w14:paraId="32840601" w14:textId="2C1DCE4D" w:rsidR="00C465D7" w:rsidRPr="00B24670" w:rsidRDefault="00C465D7" w:rsidP="00C465D7">
            <w:pPr>
              <w:rPr>
                <w:color w:val="000000" w:themeColor="text1"/>
                <w:sz w:val="24"/>
                <w:szCs w:val="24"/>
                <w:highlight w:val="yellow"/>
              </w:rPr>
            </w:pPr>
            <w:r w:rsidRPr="009B4C64">
              <w:rPr>
                <w:color w:val="000000" w:themeColor="text1"/>
                <w:sz w:val="24"/>
                <w:szCs w:val="24"/>
              </w:rPr>
              <w:t xml:space="preserve">Projekta </w:t>
            </w:r>
            <w:r w:rsidR="009B4C64" w:rsidRPr="009B4C64">
              <w:rPr>
                <w:color w:val="000000" w:themeColor="text1"/>
                <w:sz w:val="24"/>
                <w:szCs w:val="24"/>
              </w:rPr>
              <w:t>5</w:t>
            </w:r>
            <w:r w:rsidRPr="009B4C64">
              <w:rPr>
                <w:color w:val="000000" w:themeColor="text1"/>
                <w:sz w:val="24"/>
                <w:szCs w:val="24"/>
              </w:rPr>
              <w:t>. punkts</w:t>
            </w:r>
          </w:p>
        </w:tc>
        <w:tc>
          <w:tcPr>
            <w:tcW w:w="2661" w:type="dxa"/>
          </w:tcPr>
          <w:p w14:paraId="0DE72B49" w14:textId="357EB65F" w:rsidR="00C465D7" w:rsidRPr="00C465D7" w:rsidRDefault="00C465D7" w:rsidP="00C465D7">
            <w:pPr>
              <w:rPr>
                <w:color w:val="000000" w:themeColor="text1"/>
                <w:sz w:val="24"/>
                <w:szCs w:val="24"/>
              </w:rPr>
            </w:pPr>
            <w:r w:rsidRPr="00C465D7">
              <w:rPr>
                <w:rFonts w:eastAsiaTheme="minorHAnsi"/>
                <w:color w:val="000000" w:themeColor="text1"/>
                <w:sz w:val="24"/>
                <w:szCs w:val="24"/>
                <w:lang w:eastAsia="en-US"/>
              </w:rPr>
              <w:t>Izpilda pilnībā</w:t>
            </w:r>
          </w:p>
        </w:tc>
        <w:tc>
          <w:tcPr>
            <w:tcW w:w="2604" w:type="dxa"/>
          </w:tcPr>
          <w:p w14:paraId="7874379A" w14:textId="59271CE6" w:rsidR="00C465D7" w:rsidRPr="00C465D7" w:rsidRDefault="00C465D7" w:rsidP="00C465D7">
            <w:pPr>
              <w:rPr>
                <w:color w:val="000000" w:themeColor="text1"/>
                <w:sz w:val="24"/>
                <w:szCs w:val="24"/>
              </w:rPr>
            </w:pPr>
            <w:r w:rsidRPr="00C465D7">
              <w:rPr>
                <w:rFonts w:eastAsiaTheme="minorHAnsi"/>
                <w:color w:val="000000" w:themeColor="text1"/>
                <w:sz w:val="24"/>
                <w:szCs w:val="24"/>
                <w:lang w:eastAsia="en-US"/>
              </w:rPr>
              <w:t>Nē</w:t>
            </w:r>
          </w:p>
        </w:tc>
        <w:tc>
          <w:tcPr>
            <w:tcW w:w="2185" w:type="dxa"/>
          </w:tcPr>
          <w:p w14:paraId="1D8615F8" w14:textId="4C8C864F" w:rsidR="00C465D7" w:rsidRPr="00C465D7" w:rsidRDefault="00C465D7" w:rsidP="00C465D7">
            <w:pPr>
              <w:rPr>
                <w:color w:val="000000" w:themeColor="text1"/>
                <w:sz w:val="24"/>
                <w:szCs w:val="24"/>
              </w:rPr>
            </w:pPr>
            <w:r w:rsidRPr="00C465D7">
              <w:rPr>
                <w:rFonts w:eastAsiaTheme="minorHAnsi"/>
                <w:color w:val="000000" w:themeColor="text1"/>
                <w:sz w:val="24"/>
                <w:szCs w:val="24"/>
                <w:lang w:eastAsia="en-US"/>
              </w:rPr>
              <w:t>Jā</w:t>
            </w:r>
          </w:p>
        </w:tc>
        <w:tc>
          <w:tcPr>
            <w:tcW w:w="2466" w:type="dxa"/>
          </w:tcPr>
          <w:p w14:paraId="3C058ADC" w14:textId="79778C41" w:rsidR="00C465D7" w:rsidRPr="00C465D7" w:rsidRDefault="00C465D7" w:rsidP="00C465D7">
            <w:pPr>
              <w:rPr>
                <w:color w:val="000000" w:themeColor="text1"/>
                <w:sz w:val="24"/>
                <w:szCs w:val="24"/>
              </w:rPr>
            </w:pPr>
          </w:p>
        </w:tc>
      </w:tr>
      <w:tr w:rsidR="00C465D7" w:rsidRPr="00C23BE8" w14:paraId="57F07EE0" w14:textId="77777777" w:rsidTr="00486455">
        <w:trPr>
          <w:trHeight w:val="706"/>
        </w:trPr>
        <w:tc>
          <w:tcPr>
            <w:tcW w:w="2590" w:type="dxa"/>
          </w:tcPr>
          <w:p w14:paraId="6914D939" w14:textId="77777777" w:rsidR="00C465D7" w:rsidRPr="009B4C64" w:rsidRDefault="00C465D7" w:rsidP="00C465D7">
            <w:pPr>
              <w:rPr>
                <w:color w:val="000000" w:themeColor="text1"/>
                <w:sz w:val="24"/>
                <w:szCs w:val="24"/>
              </w:rPr>
            </w:pPr>
            <w:r w:rsidRPr="009B4C64">
              <w:rPr>
                <w:color w:val="000000" w:themeColor="text1"/>
                <w:sz w:val="24"/>
                <w:szCs w:val="24"/>
              </w:rPr>
              <w:t xml:space="preserve">Direktīvas 2015/2392 </w:t>
            </w:r>
          </w:p>
          <w:p w14:paraId="1A92A509" w14:textId="15D09D6B" w:rsidR="00C465D7" w:rsidRPr="009B4C64" w:rsidRDefault="00C465D7" w:rsidP="00C465D7">
            <w:pPr>
              <w:rPr>
                <w:color w:val="000000" w:themeColor="text1"/>
                <w:sz w:val="24"/>
                <w:szCs w:val="24"/>
              </w:rPr>
            </w:pPr>
            <w:r w:rsidRPr="009B4C64">
              <w:rPr>
                <w:color w:val="000000" w:themeColor="text1"/>
                <w:sz w:val="24"/>
                <w:szCs w:val="24"/>
              </w:rPr>
              <w:t>6. pant</w:t>
            </w:r>
            <w:r w:rsidR="00AB3E64">
              <w:rPr>
                <w:color w:val="000000" w:themeColor="text1"/>
                <w:sz w:val="24"/>
                <w:szCs w:val="24"/>
              </w:rPr>
              <w:t>s</w:t>
            </w:r>
            <w:r w:rsidRPr="009B4C64">
              <w:rPr>
                <w:color w:val="000000" w:themeColor="text1"/>
                <w:sz w:val="24"/>
                <w:szCs w:val="24"/>
              </w:rPr>
              <w:t xml:space="preserve"> </w:t>
            </w:r>
          </w:p>
        </w:tc>
        <w:tc>
          <w:tcPr>
            <w:tcW w:w="2358" w:type="dxa"/>
          </w:tcPr>
          <w:p w14:paraId="06D219B3" w14:textId="20E2E0A3" w:rsidR="00C465D7" w:rsidRPr="009B4C64" w:rsidRDefault="00C465D7" w:rsidP="00C465D7">
            <w:pPr>
              <w:rPr>
                <w:color w:val="000000" w:themeColor="text1"/>
                <w:sz w:val="24"/>
                <w:szCs w:val="24"/>
              </w:rPr>
            </w:pPr>
            <w:r w:rsidRPr="009B4C64">
              <w:rPr>
                <w:color w:val="000000" w:themeColor="text1"/>
                <w:sz w:val="24"/>
                <w:szCs w:val="24"/>
              </w:rPr>
              <w:t xml:space="preserve">Projekta </w:t>
            </w:r>
            <w:r w:rsidR="009B4C64" w:rsidRPr="009B4C64">
              <w:rPr>
                <w:color w:val="000000" w:themeColor="text1"/>
                <w:sz w:val="24"/>
                <w:szCs w:val="24"/>
              </w:rPr>
              <w:t>12</w:t>
            </w:r>
            <w:r w:rsidRPr="009B4C64">
              <w:rPr>
                <w:color w:val="000000" w:themeColor="text1"/>
                <w:sz w:val="24"/>
                <w:szCs w:val="24"/>
              </w:rPr>
              <w:t>. punkts</w:t>
            </w:r>
          </w:p>
        </w:tc>
        <w:tc>
          <w:tcPr>
            <w:tcW w:w="2661" w:type="dxa"/>
          </w:tcPr>
          <w:p w14:paraId="453089D2" w14:textId="72CCCB29" w:rsidR="00C465D7" w:rsidRPr="00C465D7" w:rsidRDefault="00C465D7" w:rsidP="00C465D7">
            <w:pPr>
              <w:rPr>
                <w:color w:val="000000" w:themeColor="text1"/>
                <w:sz w:val="24"/>
                <w:szCs w:val="24"/>
              </w:rPr>
            </w:pPr>
            <w:r w:rsidRPr="00C465D7">
              <w:rPr>
                <w:color w:val="000000" w:themeColor="text1"/>
                <w:sz w:val="24"/>
                <w:szCs w:val="24"/>
              </w:rPr>
              <w:t>Izpilda pilnībā</w:t>
            </w:r>
          </w:p>
        </w:tc>
        <w:tc>
          <w:tcPr>
            <w:tcW w:w="2604" w:type="dxa"/>
          </w:tcPr>
          <w:p w14:paraId="7224140E" w14:textId="359ADEB4" w:rsidR="00C465D7" w:rsidRPr="00C465D7" w:rsidRDefault="00C465D7" w:rsidP="00C465D7">
            <w:pPr>
              <w:rPr>
                <w:color w:val="000000" w:themeColor="text1"/>
                <w:sz w:val="24"/>
                <w:szCs w:val="24"/>
              </w:rPr>
            </w:pPr>
            <w:r w:rsidRPr="00C465D7">
              <w:rPr>
                <w:color w:val="000000" w:themeColor="text1"/>
                <w:sz w:val="24"/>
                <w:szCs w:val="24"/>
              </w:rPr>
              <w:t>Nē</w:t>
            </w:r>
          </w:p>
        </w:tc>
        <w:tc>
          <w:tcPr>
            <w:tcW w:w="2185" w:type="dxa"/>
          </w:tcPr>
          <w:p w14:paraId="6D2243F6" w14:textId="115E6E25" w:rsidR="00C465D7" w:rsidRPr="00C465D7" w:rsidRDefault="00C465D7" w:rsidP="00C465D7">
            <w:pPr>
              <w:rPr>
                <w:color w:val="000000" w:themeColor="text1"/>
                <w:sz w:val="24"/>
                <w:szCs w:val="24"/>
              </w:rPr>
            </w:pPr>
            <w:r w:rsidRPr="00C465D7">
              <w:rPr>
                <w:color w:val="000000" w:themeColor="text1"/>
                <w:sz w:val="24"/>
                <w:szCs w:val="24"/>
              </w:rPr>
              <w:t>Jā</w:t>
            </w:r>
          </w:p>
        </w:tc>
        <w:tc>
          <w:tcPr>
            <w:tcW w:w="2466" w:type="dxa"/>
          </w:tcPr>
          <w:p w14:paraId="56961D57" w14:textId="65545416" w:rsidR="00C465D7" w:rsidRPr="00C465D7" w:rsidRDefault="00C465D7" w:rsidP="00C465D7">
            <w:pPr>
              <w:rPr>
                <w:color w:val="000000" w:themeColor="text1"/>
                <w:sz w:val="24"/>
                <w:szCs w:val="24"/>
              </w:rPr>
            </w:pPr>
          </w:p>
        </w:tc>
      </w:tr>
    </w:tbl>
    <w:p w14:paraId="2E591921" w14:textId="77777777" w:rsidR="00C465D7" w:rsidRDefault="00C465D7" w:rsidP="00454D75">
      <w:pPr>
        <w:spacing w:after="0" w:line="240" w:lineRule="auto"/>
        <w:rPr>
          <w:rFonts w:ascii="Times New Roman" w:hAnsi="Times New Roman" w:cs="Times New Roman"/>
          <w:sz w:val="24"/>
          <w:szCs w:val="24"/>
        </w:rPr>
      </w:pPr>
    </w:p>
    <w:p w14:paraId="4253C8C3" w14:textId="77777777" w:rsidR="00C465D7" w:rsidRDefault="00C465D7" w:rsidP="00454D75">
      <w:pPr>
        <w:spacing w:after="0" w:line="240" w:lineRule="auto"/>
        <w:rPr>
          <w:rFonts w:ascii="Times New Roman" w:hAnsi="Times New Roman" w:cs="Times New Roman"/>
          <w:sz w:val="24"/>
          <w:szCs w:val="24"/>
        </w:rPr>
      </w:pPr>
    </w:p>
    <w:p w14:paraId="71A018F9" w14:textId="77777777" w:rsidR="00C465D7" w:rsidRDefault="00C465D7" w:rsidP="00454D75">
      <w:pPr>
        <w:spacing w:after="0" w:line="240" w:lineRule="auto"/>
        <w:rPr>
          <w:rFonts w:ascii="Times New Roman" w:hAnsi="Times New Roman" w:cs="Times New Roman"/>
          <w:sz w:val="24"/>
          <w:szCs w:val="24"/>
        </w:rPr>
      </w:pPr>
    </w:p>
    <w:p w14:paraId="2EDB25A8" w14:textId="77777777" w:rsidR="00C465D7" w:rsidRDefault="00C465D7" w:rsidP="00454D75">
      <w:pPr>
        <w:spacing w:after="0" w:line="240" w:lineRule="auto"/>
        <w:rPr>
          <w:rFonts w:ascii="Times New Roman" w:hAnsi="Times New Roman" w:cs="Times New Roman"/>
          <w:sz w:val="24"/>
          <w:szCs w:val="24"/>
        </w:rPr>
      </w:pPr>
    </w:p>
    <w:sectPr w:rsidR="00C465D7" w:rsidSect="00D1147D">
      <w:pgSz w:w="16838" w:h="11906" w:orient="landscape"/>
      <w:pgMar w:top="993" w:right="1440" w:bottom="179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F04F1" w14:textId="77777777" w:rsidR="008B1A47" w:rsidRDefault="008B1A47" w:rsidP="009B27BE">
      <w:pPr>
        <w:spacing w:after="0" w:line="240" w:lineRule="auto"/>
      </w:pPr>
      <w:r>
        <w:separator/>
      </w:r>
    </w:p>
  </w:endnote>
  <w:endnote w:type="continuationSeparator" w:id="0">
    <w:p w14:paraId="659F2409" w14:textId="77777777" w:rsidR="008B1A47" w:rsidRDefault="008B1A47"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9567B" w14:textId="77777777" w:rsidR="008B1A47" w:rsidRDefault="008B1A47" w:rsidP="009B27BE">
      <w:pPr>
        <w:spacing w:after="0" w:line="240" w:lineRule="auto"/>
      </w:pPr>
      <w:r>
        <w:separator/>
      </w:r>
    </w:p>
  </w:footnote>
  <w:footnote w:type="continuationSeparator" w:id="0">
    <w:p w14:paraId="247C2ECB" w14:textId="77777777" w:rsidR="008B1A47" w:rsidRDefault="008B1A47"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40B71"/>
    <w:multiLevelType w:val="multilevel"/>
    <w:tmpl w:val="7E807FA8"/>
    <w:lvl w:ilvl="0">
      <w:start w:val="1"/>
      <w:numFmt w:val="decimal"/>
      <w:suff w:val="space"/>
      <w:lvlText w:val="%1."/>
      <w:lvlJc w:val="left"/>
      <w:pPr>
        <w:ind w:left="2313" w:hanging="360"/>
      </w:pPr>
    </w:lvl>
    <w:lvl w:ilvl="1">
      <w:start w:val="1"/>
      <w:numFmt w:val="decimal"/>
      <w:suff w:val="space"/>
      <w:lvlText w:val="%1.%2."/>
      <w:lvlJc w:val="left"/>
      <w:pPr>
        <w:ind w:left="3513" w:firstLine="0"/>
      </w:pPr>
      <w:rPr>
        <w:rFonts w:hint="default"/>
      </w:rPr>
    </w:lvl>
    <w:lvl w:ilvl="2">
      <w:start w:val="1"/>
      <w:numFmt w:val="decimal"/>
      <w:suff w:val="space"/>
      <w:lvlText w:val="%1.%2.%3."/>
      <w:lvlJc w:val="left"/>
      <w:pPr>
        <w:ind w:left="-32" w:firstLine="0"/>
      </w:pPr>
      <w:rPr>
        <w:rFonts w:hint="default"/>
      </w:rPr>
    </w:lvl>
    <w:lvl w:ilvl="3">
      <w:start w:val="1"/>
      <w:numFmt w:val="decimal"/>
      <w:suff w:val="space"/>
      <w:lvlText w:val="%1.%2.%3.%4."/>
      <w:lvlJc w:val="left"/>
      <w:pPr>
        <w:ind w:left="-32" w:firstLine="0"/>
      </w:pPr>
      <w:rPr>
        <w:rFonts w:hint="default"/>
      </w:rPr>
    </w:lvl>
    <w:lvl w:ilvl="4">
      <w:start w:val="1"/>
      <w:numFmt w:val="decimal"/>
      <w:lvlText w:val="%1.%2.%3.%4.%5."/>
      <w:lvlJc w:val="left"/>
      <w:pPr>
        <w:ind w:left="2200" w:hanging="792"/>
      </w:pPr>
      <w:rPr>
        <w:rFonts w:hint="default"/>
      </w:rPr>
    </w:lvl>
    <w:lvl w:ilvl="5">
      <w:start w:val="1"/>
      <w:numFmt w:val="decimal"/>
      <w:lvlText w:val="%1.%2.%3.%4.%5.%6."/>
      <w:lvlJc w:val="left"/>
      <w:pPr>
        <w:ind w:left="2704" w:hanging="936"/>
      </w:pPr>
      <w:rPr>
        <w:rFonts w:hint="default"/>
      </w:rPr>
    </w:lvl>
    <w:lvl w:ilvl="6">
      <w:start w:val="1"/>
      <w:numFmt w:val="decimal"/>
      <w:lvlText w:val="%1.%2.%3.%4.%5.%6.%7."/>
      <w:lvlJc w:val="left"/>
      <w:pPr>
        <w:ind w:left="3208" w:hanging="1080"/>
      </w:pPr>
      <w:rPr>
        <w:rFonts w:hint="default"/>
      </w:rPr>
    </w:lvl>
    <w:lvl w:ilvl="7">
      <w:start w:val="1"/>
      <w:numFmt w:val="decimal"/>
      <w:lvlText w:val="%1.%2.%3.%4.%5.%6.%7.%8."/>
      <w:lvlJc w:val="left"/>
      <w:pPr>
        <w:ind w:left="3712" w:hanging="1224"/>
      </w:pPr>
      <w:rPr>
        <w:rFonts w:hint="default"/>
      </w:rPr>
    </w:lvl>
    <w:lvl w:ilvl="8">
      <w:start w:val="1"/>
      <w:numFmt w:val="decimal"/>
      <w:lvlText w:val="%1.%2.%3.%4.%5.%6.%7.%8.%9."/>
      <w:lvlJc w:val="left"/>
      <w:pPr>
        <w:ind w:left="4288" w:hanging="1440"/>
      </w:pPr>
      <w:rPr>
        <w:rFonts w:hint="default"/>
      </w:rPr>
    </w:lvl>
  </w:abstractNum>
  <w:abstractNum w:abstractNumId="1"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D8C0C82"/>
    <w:multiLevelType w:val="hybridMultilevel"/>
    <w:tmpl w:val="E7F08A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A5B6C9B"/>
    <w:multiLevelType w:val="hybridMultilevel"/>
    <w:tmpl w:val="5A247852"/>
    <w:lvl w:ilvl="0" w:tplc="E786BFFA">
      <w:start w:val="1"/>
      <w:numFmt w:val="decimal"/>
      <w:lvlText w:val="%1."/>
      <w:lvlJc w:val="left"/>
      <w:pPr>
        <w:ind w:left="720" w:hanging="360"/>
      </w:pPr>
      <w:rPr>
        <w:rFonts w:hint="default"/>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6" w15:restartNumberingAfterBreak="0">
    <w:nsid w:val="43DA382F"/>
    <w:multiLevelType w:val="multilevel"/>
    <w:tmpl w:val="41A606DE"/>
    <w:lvl w:ilvl="0">
      <w:start w:val="29"/>
      <w:numFmt w:val="decimal"/>
      <w:lvlText w:val="%1."/>
      <w:lvlJc w:val="left"/>
      <w:pPr>
        <w:ind w:left="480" w:hanging="480"/>
      </w:pPr>
      <w:rPr>
        <w:rFonts w:hint="default"/>
      </w:rPr>
    </w:lvl>
    <w:lvl w:ilvl="1">
      <w:start w:val="1"/>
      <w:numFmt w:val="decimal"/>
      <w:lvlText w:val="%1.%2."/>
      <w:lvlJc w:val="left"/>
      <w:pPr>
        <w:ind w:left="1156" w:hanging="48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7" w15:restartNumberingAfterBreak="0">
    <w:nsid w:val="53BB7D32"/>
    <w:multiLevelType w:val="multilevel"/>
    <w:tmpl w:val="7FF69424"/>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141"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D92486D"/>
    <w:multiLevelType w:val="hybridMultilevel"/>
    <w:tmpl w:val="16E811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12"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45E11E4"/>
    <w:multiLevelType w:val="hybridMultilevel"/>
    <w:tmpl w:val="2D70A8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2"/>
  </w:num>
  <w:num w:numId="2" w16cid:durableId="340552041">
    <w:abstractNumId w:val="7"/>
  </w:num>
  <w:num w:numId="3" w16cid:durableId="16414207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11"/>
  </w:num>
  <w:num w:numId="5" w16cid:durableId="547911365">
    <w:abstractNumId w:val="1"/>
  </w:num>
  <w:num w:numId="6" w16cid:durableId="2097939137">
    <w:abstractNumId w:val="7"/>
  </w:num>
  <w:num w:numId="7" w16cid:durableId="894973746">
    <w:abstractNumId w:val="7"/>
  </w:num>
  <w:num w:numId="8" w16cid:durableId="1412266980">
    <w:abstractNumId w:val="7"/>
  </w:num>
  <w:num w:numId="9" w16cid:durableId="619805593">
    <w:abstractNumId w:val="7"/>
  </w:num>
  <w:num w:numId="10" w16cid:durableId="2023699298">
    <w:abstractNumId w:val="5"/>
  </w:num>
  <w:num w:numId="11" w16cid:durableId="1567491629">
    <w:abstractNumId w:val="7"/>
  </w:num>
  <w:num w:numId="12" w16cid:durableId="574124535">
    <w:abstractNumId w:val="7"/>
  </w:num>
  <w:num w:numId="13" w16cid:durableId="2096902704">
    <w:abstractNumId w:val="7"/>
  </w:num>
  <w:num w:numId="14" w16cid:durableId="2066248062">
    <w:abstractNumId w:val="7"/>
  </w:num>
  <w:num w:numId="15" w16cid:durableId="846797863">
    <w:abstractNumId w:val="7"/>
  </w:num>
  <w:num w:numId="16" w16cid:durableId="1602571117">
    <w:abstractNumId w:val="7"/>
  </w:num>
  <w:num w:numId="17" w16cid:durableId="191579667">
    <w:abstractNumId w:val="7"/>
  </w:num>
  <w:num w:numId="18" w16cid:durableId="2102800079">
    <w:abstractNumId w:val="7"/>
  </w:num>
  <w:num w:numId="19" w16cid:durableId="684483201">
    <w:abstractNumId w:val="7"/>
  </w:num>
  <w:num w:numId="20" w16cid:durableId="1276521248">
    <w:abstractNumId w:val="7"/>
  </w:num>
  <w:num w:numId="21" w16cid:durableId="1474105298">
    <w:abstractNumId w:val="7"/>
  </w:num>
  <w:num w:numId="22" w16cid:durableId="351033322">
    <w:abstractNumId w:val="9"/>
  </w:num>
  <w:num w:numId="23" w16cid:durableId="1747679238">
    <w:abstractNumId w:val="12"/>
  </w:num>
  <w:num w:numId="24" w16cid:durableId="2004814341">
    <w:abstractNumId w:val="7"/>
  </w:num>
  <w:num w:numId="25" w16cid:durableId="1687436816">
    <w:abstractNumId w:val="7"/>
  </w:num>
  <w:num w:numId="26" w16cid:durableId="470097439">
    <w:abstractNumId w:val="8"/>
  </w:num>
  <w:num w:numId="27" w16cid:durableId="170146099">
    <w:abstractNumId w:val="0"/>
  </w:num>
  <w:num w:numId="28" w16cid:durableId="1958638948">
    <w:abstractNumId w:val="6"/>
  </w:num>
  <w:num w:numId="29" w16cid:durableId="14876262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77549298">
    <w:abstractNumId w:val="10"/>
  </w:num>
  <w:num w:numId="31" w16cid:durableId="2028678497">
    <w:abstractNumId w:val="13"/>
  </w:num>
  <w:num w:numId="32" w16cid:durableId="1394541880">
    <w:abstractNumId w:val="4"/>
  </w:num>
  <w:num w:numId="33" w16cid:durableId="1739094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5949"/>
    <w:rsid w:val="00006B2C"/>
    <w:rsid w:val="00006B4D"/>
    <w:rsid w:val="00007431"/>
    <w:rsid w:val="00014BCF"/>
    <w:rsid w:val="000155B3"/>
    <w:rsid w:val="00016DCD"/>
    <w:rsid w:val="00016DEA"/>
    <w:rsid w:val="00017427"/>
    <w:rsid w:val="000203D7"/>
    <w:rsid w:val="00022340"/>
    <w:rsid w:val="000234B0"/>
    <w:rsid w:val="00023B5B"/>
    <w:rsid w:val="0002466B"/>
    <w:rsid w:val="00025D18"/>
    <w:rsid w:val="000263F5"/>
    <w:rsid w:val="00027CAC"/>
    <w:rsid w:val="00033E6A"/>
    <w:rsid w:val="00041DDA"/>
    <w:rsid w:val="00042B2C"/>
    <w:rsid w:val="000444DE"/>
    <w:rsid w:val="00054EF8"/>
    <w:rsid w:val="000563BF"/>
    <w:rsid w:val="00057AFF"/>
    <w:rsid w:val="00061F14"/>
    <w:rsid w:val="00070FE3"/>
    <w:rsid w:val="000716D9"/>
    <w:rsid w:val="000727B1"/>
    <w:rsid w:val="00074425"/>
    <w:rsid w:val="000771CC"/>
    <w:rsid w:val="000813DA"/>
    <w:rsid w:val="0008510E"/>
    <w:rsid w:val="00085B5D"/>
    <w:rsid w:val="000915E7"/>
    <w:rsid w:val="00091C50"/>
    <w:rsid w:val="00092E2F"/>
    <w:rsid w:val="000946D6"/>
    <w:rsid w:val="00095C8A"/>
    <w:rsid w:val="0009616F"/>
    <w:rsid w:val="00097C29"/>
    <w:rsid w:val="000A0440"/>
    <w:rsid w:val="000A2A30"/>
    <w:rsid w:val="000A32AC"/>
    <w:rsid w:val="000A6FB3"/>
    <w:rsid w:val="000A7460"/>
    <w:rsid w:val="000A75B3"/>
    <w:rsid w:val="000B21B5"/>
    <w:rsid w:val="000B4E0A"/>
    <w:rsid w:val="000B7221"/>
    <w:rsid w:val="000C07CC"/>
    <w:rsid w:val="000C1E52"/>
    <w:rsid w:val="000C38BB"/>
    <w:rsid w:val="000C43AB"/>
    <w:rsid w:val="000C5944"/>
    <w:rsid w:val="000C60FF"/>
    <w:rsid w:val="000D1541"/>
    <w:rsid w:val="000D18BD"/>
    <w:rsid w:val="000D1EBD"/>
    <w:rsid w:val="000D601F"/>
    <w:rsid w:val="000E2C35"/>
    <w:rsid w:val="000E502E"/>
    <w:rsid w:val="000E6283"/>
    <w:rsid w:val="000F1D72"/>
    <w:rsid w:val="000F20B9"/>
    <w:rsid w:val="00102FD5"/>
    <w:rsid w:val="00103278"/>
    <w:rsid w:val="00104D13"/>
    <w:rsid w:val="0011032F"/>
    <w:rsid w:val="00114042"/>
    <w:rsid w:val="0012135F"/>
    <w:rsid w:val="00122504"/>
    <w:rsid w:val="001228D2"/>
    <w:rsid w:val="00124986"/>
    <w:rsid w:val="00125026"/>
    <w:rsid w:val="00131765"/>
    <w:rsid w:val="00132070"/>
    <w:rsid w:val="00132948"/>
    <w:rsid w:val="00133F6A"/>
    <w:rsid w:val="001366B1"/>
    <w:rsid w:val="001410CF"/>
    <w:rsid w:val="00141B3C"/>
    <w:rsid w:val="0014295D"/>
    <w:rsid w:val="00143A48"/>
    <w:rsid w:val="00146585"/>
    <w:rsid w:val="001503C0"/>
    <w:rsid w:val="00156E94"/>
    <w:rsid w:val="00162248"/>
    <w:rsid w:val="0016709D"/>
    <w:rsid w:val="001705C8"/>
    <w:rsid w:val="00171A75"/>
    <w:rsid w:val="00191EF1"/>
    <w:rsid w:val="001A1A7C"/>
    <w:rsid w:val="001A44ED"/>
    <w:rsid w:val="001A5171"/>
    <w:rsid w:val="001A5DF1"/>
    <w:rsid w:val="001A5FF2"/>
    <w:rsid w:val="001B0617"/>
    <w:rsid w:val="001B1B3A"/>
    <w:rsid w:val="001B1FC2"/>
    <w:rsid w:val="001B7CDD"/>
    <w:rsid w:val="001C1078"/>
    <w:rsid w:val="001C3D35"/>
    <w:rsid w:val="001C690B"/>
    <w:rsid w:val="001D4D5D"/>
    <w:rsid w:val="001D7793"/>
    <w:rsid w:val="001E3429"/>
    <w:rsid w:val="001E41F2"/>
    <w:rsid w:val="001E46AB"/>
    <w:rsid w:val="001E5E30"/>
    <w:rsid w:val="001E7C07"/>
    <w:rsid w:val="001F1E1F"/>
    <w:rsid w:val="002003FD"/>
    <w:rsid w:val="00204581"/>
    <w:rsid w:val="00205A08"/>
    <w:rsid w:val="00207422"/>
    <w:rsid w:val="002107B5"/>
    <w:rsid w:val="002115ED"/>
    <w:rsid w:val="00211DB8"/>
    <w:rsid w:val="00212325"/>
    <w:rsid w:val="00213BA2"/>
    <w:rsid w:val="00215FD7"/>
    <w:rsid w:val="002278DB"/>
    <w:rsid w:val="00236A95"/>
    <w:rsid w:val="00242B91"/>
    <w:rsid w:val="002431A0"/>
    <w:rsid w:val="00244175"/>
    <w:rsid w:val="002451FF"/>
    <w:rsid w:val="00253A3D"/>
    <w:rsid w:val="00256FBE"/>
    <w:rsid w:val="00257152"/>
    <w:rsid w:val="00260E61"/>
    <w:rsid w:val="00266849"/>
    <w:rsid w:val="00266F01"/>
    <w:rsid w:val="002676FE"/>
    <w:rsid w:val="0027565E"/>
    <w:rsid w:val="0028337B"/>
    <w:rsid w:val="002838A2"/>
    <w:rsid w:val="00284FDF"/>
    <w:rsid w:val="00290125"/>
    <w:rsid w:val="00290656"/>
    <w:rsid w:val="002924B7"/>
    <w:rsid w:val="002969AD"/>
    <w:rsid w:val="002A3EAB"/>
    <w:rsid w:val="002B14F9"/>
    <w:rsid w:val="002B31CD"/>
    <w:rsid w:val="002B4180"/>
    <w:rsid w:val="002B4703"/>
    <w:rsid w:val="002C2EDC"/>
    <w:rsid w:val="002C3179"/>
    <w:rsid w:val="002C576C"/>
    <w:rsid w:val="002D1ED8"/>
    <w:rsid w:val="002D37A4"/>
    <w:rsid w:val="002D64E3"/>
    <w:rsid w:val="002E2194"/>
    <w:rsid w:val="002E2AFA"/>
    <w:rsid w:val="002E638F"/>
    <w:rsid w:val="002E77A9"/>
    <w:rsid w:val="002E7B20"/>
    <w:rsid w:val="002F6625"/>
    <w:rsid w:val="003026B3"/>
    <w:rsid w:val="003042CB"/>
    <w:rsid w:val="00312E54"/>
    <w:rsid w:val="00314059"/>
    <w:rsid w:val="003154FD"/>
    <w:rsid w:val="0032003F"/>
    <w:rsid w:val="00322874"/>
    <w:rsid w:val="00323794"/>
    <w:rsid w:val="00334258"/>
    <w:rsid w:val="003344C2"/>
    <w:rsid w:val="0033570B"/>
    <w:rsid w:val="00337C41"/>
    <w:rsid w:val="00343FA7"/>
    <w:rsid w:val="00344AF1"/>
    <w:rsid w:val="003470BB"/>
    <w:rsid w:val="003475F2"/>
    <w:rsid w:val="0035254C"/>
    <w:rsid w:val="00354C71"/>
    <w:rsid w:val="00357118"/>
    <w:rsid w:val="00357AFB"/>
    <w:rsid w:val="00360437"/>
    <w:rsid w:val="00363E40"/>
    <w:rsid w:val="00366618"/>
    <w:rsid w:val="00366C74"/>
    <w:rsid w:val="0036748D"/>
    <w:rsid w:val="00371BEA"/>
    <w:rsid w:val="0037465F"/>
    <w:rsid w:val="003778A3"/>
    <w:rsid w:val="003822E6"/>
    <w:rsid w:val="00383CD4"/>
    <w:rsid w:val="00384FFD"/>
    <w:rsid w:val="00386CDB"/>
    <w:rsid w:val="00394DA8"/>
    <w:rsid w:val="00395801"/>
    <w:rsid w:val="003A0FEE"/>
    <w:rsid w:val="003A1C6E"/>
    <w:rsid w:val="003A4638"/>
    <w:rsid w:val="003A5CC7"/>
    <w:rsid w:val="003B1A26"/>
    <w:rsid w:val="003B481B"/>
    <w:rsid w:val="003B5143"/>
    <w:rsid w:val="003C1B18"/>
    <w:rsid w:val="003C1F35"/>
    <w:rsid w:val="003C278B"/>
    <w:rsid w:val="003C540A"/>
    <w:rsid w:val="003C6E30"/>
    <w:rsid w:val="003D1F15"/>
    <w:rsid w:val="003D21FC"/>
    <w:rsid w:val="003D274B"/>
    <w:rsid w:val="003D3640"/>
    <w:rsid w:val="003D5869"/>
    <w:rsid w:val="003D7901"/>
    <w:rsid w:val="003E1F41"/>
    <w:rsid w:val="003E32CD"/>
    <w:rsid w:val="003E418D"/>
    <w:rsid w:val="003E535C"/>
    <w:rsid w:val="003E62F3"/>
    <w:rsid w:val="003F07A5"/>
    <w:rsid w:val="003F3859"/>
    <w:rsid w:val="003F6EBB"/>
    <w:rsid w:val="0040253F"/>
    <w:rsid w:val="00407DD5"/>
    <w:rsid w:val="00407E18"/>
    <w:rsid w:val="004136ED"/>
    <w:rsid w:val="004245FD"/>
    <w:rsid w:val="00424EF3"/>
    <w:rsid w:val="0042517C"/>
    <w:rsid w:val="00426AB9"/>
    <w:rsid w:val="004331DA"/>
    <w:rsid w:val="004423FF"/>
    <w:rsid w:val="00443EB6"/>
    <w:rsid w:val="004442A7"/>
    <w:rsid w:val="00445DE8"/>
    <w:rsid w:val="00454D75"/>
    <w:rsid w:val="0045533F"/>
    <w:rsid w:val="004574ED"/>
    <w:rsid w:val="004661C9"/>
    <w:rsid w:val="00474124"/>
    <w:rsid w:val="0047764F"/>
    <w:rsid w:val="004813DF"/>
    <w:rsid w:val="004820E8"/>
    <w:rsid w:val="00484546"/>
    <w:rsid w:val="00486455"/>
    <w:rsid w:val="004864B6"/>
    <w:rsid w:val="00490375"/>
    <w:rsid w:val="0049189C"/>
    <w:rsid w:val="0049248A"/>
    <w:rsid w:val="00492810"/>
    <w:rsid w:val="00493B9B"/>
    <w:rsid w:val="00496C59"/>
    <w:rsid w:val="004A0163"/>
    <w:rsid w:val="004C36FE"/>
    <w:rsid w:val="004C3875"/>
    <w:rsid w:val="004C3B7F"/>
    <w:rsid w:val="004C3D67"/>
    <w:rsid w:val="004D00C8"/>
    <w:rsid w:val="004D05D8"/>
    <w:rsid w:val="004D1C94"/>
    <w:rsid w:val="004D731D"/>
    <w:rsid w:val="004E3F4A"/>
    <w:rsid w:val="004E4CEE"/>
    <w:rsid w:val="004F3A83"/>
    <w:rsid w:val="00515473"/>
    <w:rsid w:val="00521F90"/>
    <w:rsid w:val="005239D1"/>
    <w:rsid w:val="00530927"/>
    <w:rsid w:val="00531628"/>
    <w:rsid w:val="00535526"/>
    <w:rsid w:val="0054050B"/>
    <w:rsid w:val="0054151F"/>
    <w:rsid w:val="00544D79"/>
    <w:rsid w:val="00545D6A"/>
    <w:rsid w:val="0055000C"/>
    <w:rsid w:val="0055210B"/>
    <w:rsid w:val="00554868"/>
    <w:rsid w:val="00554D5F"/>
    <w:rsid w:val="005552E3"/>
    <w:rsid w:val="00556871"/>
    <w:rsid w:val="00563E2C"/>
    <w:rsid w:val="00564637"/>
    <w:rsid w:val="00564F93"/>
    <w:rsid w:val="0056764A"/>
    <w:rsid w:val="00570919"/>
    <w:rsid w:val="0057790E"/>
    <w:rsid w:val="00582ADB"/>
    <w:rsid w:val="00582F70"/>
    <w:rsid w:val="00584131"/>
    <w:rsid w:val="00586021"/>
    <w:rsid w:val="005902F9"/>
    <w:rsid w:val="005943DC"/>
    <w:rsid w:val="005A4367"/>
    <w:rsid w:val="005B3E28"/>
    <w:rsid w:val="005B6648"/>
    <w:rsid w:val="005C43AC"/>
    <w:rsid w:val="005D19D0"/>
    <w:rsid w:val="005D4549"/>
    <w:rsid w:val="005D6BF1"/>
    <w:rsid w:val="005E047F"/>
    <w:rsid w:val="005E0AD5"/>
    <w:rsid w:val="005E368F"/>
    <w:rsid w:val="005E5D9C"/>
    <w:rsid w:val="005F1BB0"/>
    <w:rsid w:val="005F78C9"/>
    <w:rsid w:val="0060016E"/>
    <w:rsid w:val="00601691"/>
    <w:rsid w:val="006115DC"/>
    <w:rsid w:val="0061665D"/>
    <w:rsid w:val="00616BDD"/>
    <w:rsid w:val="00624482"/>
    <w:rsid w:val="00627122"/>
    <w:rsid w:val="0062751E"/>
    <w:rsid w:val="00630855"/>
    <w:rsid w:val="00631E63"/>
    <w:rsid w:val="00632880"/>
    <w:rsid w:val="00632A06"/>
    <w:rsid w:val="00642172"/>
    <w:rsid w:val="006437ED"/>
    <w:rsid w:val="00643813"/>
    <w:rsid w:val="006472F6"/>
    <w:rsid w:val="00660679"/>
    <w:rsid w:val="00663CD1"/>
    <w:rsid w:val="006650A1"/>
    <w:rsid w:val="00674B05"/>
    <w:rsid w:val="006760E3"/>
    <w:rsid w:val="00676CAD"/>
    <w:rsid w:val="00681876"/>
    <w:rsid w:val="00683A81"/>
    <w:rsid w:val="00685BFC"/>
    <w:rsid w:val="00694C2D"/>
    <w:rsid w:val="006A0EF2"/>
    <w:rsid w:val="006A17BC"/>
    <w:rsid w:val="006A27C0"/>
    <w:rsid w:val="006A2B6E"/>
    <w:rsid w:val="006A5228"/>
    <w:rsid w:val="006B3F01"/>
    <w:rsid w:val="006B48CB"/>
    <w:rsid w:val="006B79E6"/>
    <w:rsid w:val="006C04F4"/>
    <w:rsid w:val="006C24BD"/>
    <w:rsid w:val="006C26FB"/>
    <w:rsid w:val="006C281E"/>
    <w:rsid w:val="006C46DD"/>
    <w:rsid w:val="006C69BE"/>
    <w:rsid w:val="006C6EF7"/>
    <w:rsid w:val="006C79A9"/>
    <w:rsid w:val="006D3448"/>
    <w:rsid w:val="006D348E"/>
    <w:rsid w:val="006E14FF"/>
    <w:rsid w:val="006E2CBC"/>
    <w:rsid w:val="006E50B5"/>
    <w:rsid w:val="006E68D0"/>
    <w:rsid w:val="006F258C"/>
    <w:rsid w:val="006F418D"/>
    <w:rsid w:val="00700816"/>
    <w:rsid w:val="00701AFD"/>
    <w:rsid w:val="00701BC6"/>
    <w:rsid w:val="00704F54"/>
    <w:rsid w:val="00706093"/>
    <w:rsid w:val="00711AEA"/>
    <w:rsid w:val="0071260C"/>
    <w:rsid w:val="00716EC8"/>
    <w:rsid w:val="0072092D"/>
    <w:rsid w:val="00721B83"/>
    <w:rsid w:val="007301D7"/>
    <w:rsid w:val="007337AB"/>
    <w:rsid w:val="007377A5"/>
    <w:rsid w:val="00742454"/>
    <w:rsid w:val="007430D0"/>
    <w:rsid w:val="0074376A"/>
    <w:rsid w:val="00743AD8"/>
    <w:rsid w:val="00753334"/>
    <w:rsid w:val="0075605E"/>
    <w:rsid w:val="00756820"/>
    <w:rsid w:val="00761B33"/>
    <w:rsid w:val="00762371"/>
    <w:rsid w:val="00774A60"/>
    <w:rsid w:val="007768C1"/>
    <w:rsid w:val="00782D68"/>
    <w:rsid w:val="007835C9"/>
    <w:rsid w:val="00790CDB"/>
    <w:rsid w:val="00792D9F"/>
    <w:rsid w:val="0079381C"/>
    <w:rsid w:val="00794669"/>
    <w:rsid w:val="0079679B"/>
    <w:rsid w:val="0079759C"/>
    <w:rsid w:val="007A2A66"/>
    <w:rsid w:val="007A4C49"/>
    <w:rsid w:val="007A5AF4"/>
    <w:rsid w:val="007B232D"/>
    <w:rsid w:val="007B3350"/>
    <w:rsid w:val="007B448F"/>
    <w:rsid w:val="007B50F0"/>
    <w:rsid w:val="007C40BC"/>
    <w:rsid w:val="007D1B62"/>
    <w:rsid w:val="007D2C5E"/>
    <w:rsid w:val="007D5307"/>
    <w:rsid w:val="007E313B"/>
    <w:rsid w:val="007E37A8"/>
    <w:rsid w:val="007F033F"/>
    <w:rsid w:val="007F047A"/>
    <w:rsid w:val="007F48B8"/>
    <w:rsid w:val="007F4C88"/>
    <w:rsid w:val="007F77C8"/>
    <w:rsid w:val="007F79B3"/>
    <w:rsid w:val="00800CF2"/>
    <w:rsid w:val="00801DA2"/>
    <w:rsid w:val="0080244A"/>
    <w:rsid w:val="00803E0C"/>
    <w:rsid w:val="0080417D"/>
    <w:rsid w:val="00810715"/>
    <w:rsid w:val="008162BF"/>
    <w:rsid w:val="0082017C"/>
    <w:rsid w:val="00822A04"/>
    <w:rsid w:val="008268D7"/>
    <w:rsid w:val="008343BE"/>
    <w:rsid w:val="008373CD"/>
    <w:rsid w:val="00844993"/>
    <w:rsid w:val="008469F1"/>
    <w:rsid w:val="00850BA2"/>
    <w:rsid w:val="008540E1"/>
    <w:rsid w:val="0085657C"/>
    <w:rsid w:val="00856918"/>
    <w:rsid w:val="00863805"/>
    <w:rsid w:val="00864F1D"/>
    <w:rsid w:val="00867B2F"/>
    <w:rsid w:val="00872FEA"/>
    <w:rsid w:val="00873146"/>
    <w:rsid w:val="008743B4"/>
    <w:rsid w:val="00877B19"/>
    <w:rsid w:val="00880ADF"/>
    <w:rsid w:val="00884C64"/>
    <w:rsid w:val="00887C29"/>
    <w:rsid w:val="00890315"/>
    <w:rsid w:val="00892C0E"/>
    <w:rsid w:val="008A123C"/>
    <w:rsid w:val="008A1BE8"/>
    <w:rsid w:val="008A5653"/>
    <w:rsid w:val="008A7128"/>
    <w:rsid w:val="008B03C4"/>
    <w:rsid w:val="008B1A47"/>
    <w:rsid w:val="008B48CB"/>
    <w:rsid w:val="008B651D"/>
    <w:rsid w:val="008C1421"/>
    <w:rsid w:val="008C611E"/>
    <w:rsid w:val="008C7C24"/>
    <w:rsid w:val="008D0D2F"/>
    <w:rsid w:val="008D12B8"/>
    <w:rsid w:val="008D2CE8"/>
    <w:rsid w:val="008D5368"/>
    <w:rsid w:val="008D5720"/>
    <w:rsid w:val="008E1679"/>
    <w:rsid w:val="008E19B9"/>
    <w:rsid w:val="008E1BE9"/>
    <w:rsid w:val="008E3FF1"/>
    <w:rsid w:val="008E5507"/>
    <w:rsid w:val="008E5BE8"/>
    <w:rsid w:val="008E703B"/>
    <w:rsid w:val="008F4C10"/>
    <w:rsid w:val="008F5B32"/>
    <w:rsid w:val="008F6091"/>
    <w:rsid w:val="008F6F80"/>
    <w:rsid w:val="009031C4"/>
    <w:rsid w:val="0090417E"/>
    <w:rsid w:val="00911AA5"/>
    <w:rsid w:val="00920831"/>
    <w:rsid w:val="00922E1B"/>
    <w:rsid w:val="00924534"/>
    <w:rsid w:val="00925B4D"/>
    <w:rsid w:val="009261A2"/>
    <w:rsid w:val="009265C4"/>
    <w:rsid w:val="00931769"/>
    <w:rsid w:val="00934A44"/>
    <w:rsid w:val="00935BB5"/>
    <w:rsid w:val="0094030E"/>
    <w:rsid w:val="00944E4C"/>
    <w:rsid w:val="00957304"/>
    <w:rsid w:val="009579B0"/>
    <w:rsid w:val="00960636"/>
    <w:rsid w:val="00961643"/>
    <w:rsid w:val="0096222B"/>
    <w:rsid w:val="009659C6"/>
    <w:rsid w:val="00967E52"/>
    <w:rsid w:val="00971317"/>
    <w:rsid w:val="009740E3"/>
    <w:rsid w:val="009748E1"/>
    <w:rsid w:val="00975294"/>
    <w:rsid w:val="00975D9D"/>
    <w:rsid w:val="009803D3"/>
    <w:rsid w:val="00982BAA"/>
    <w:rsid w:val="00995932"/>
    <w:rsid w:val="009A72ED"/>
    <w:rsid w:val="009B1022"/>
    <w:rsid w:val="009B1202"/>
    <w:rsid w:val="009B27BE"/>
    <w:rsid w:val="009B3DB4"/>
    <w:rsid w:val="009B4C64"/>
    <w:rsid w:val="009B4D6C"/>
    <w:rsid w:val="009B705C"/>
    <w:rsid w:val="009C17B2"/>
    <w:rsid w:val="009C34C0"/>
    <w:rsid w:val="009D1FE6"/>
    <w:rsid w:val="009D3455"/>
    <w:rsid w:val="009D69BC"/>
    <w:rsid w:val="009E1A3B"/>
    <w:rsid w:val="009E5751"/>
    <w:rsid w:val="009E58D3"/>
    <w:rsid w:val="009E7470"/>
    <w:rsid w:val="009F2E42"/>
    <w:rsid w:val="009F2F3C"/>
    <w:rsid w:val="009F3E0C"/>
    <w:rsid w:val="009F48C9"/>
    <w:rsid w:val="009F70FC"/>
    <w:rsid w:val="00A03BA5"/>
    <w:rsid w:val="00A03F74"/>
    <w:rsid w:val="00A0418B"/>
    <w:rsid w:val="00A04FA5"/>
    <w:rsid w:val="00A27009"/>
    <w:rsid w:val="00A27394"/>
    <w:rsid w:val="00A335E1"/>
    <w:rsid w:val="00A34928"/>
    <w:rsid w:val="00A35569"/>
    <w:rsid w:val="00A3638A"/>
    <w:rsid w:val="00A376F7"/>
    <w:rsid w:val="00A413D4"/>
    <w:rsid w:val="00A41DB7"/>
    <w:rsid w:val="00A42788"/>
    <w:rsid w:val="00A42F64"/>
    <w:rsid w:val="00A449B6"/>
    <w:rsid w:val="00A44F46"/>
    <w:rsid w:val="00A468D9"/>
    <w:rsid w:val="00A57BBA"/>
    <w:rsid w:val="00A621D0"/>
    <w:rsid w:val="00A637E1"/>
    <w:rsid w:val="00A63EE7"/>
    <w:rsid w:val="00A70D9D"/>
    <w:rsid w:val="00A72A24"/>
    <w:rsid w:val="00A72F81"/>
    <w:rsid w:val="00A75824"/>
    <w:rsid w:val="00A7669C"/>
    <w:rsid w:val="00A7727A"/>
    <w:rsid w:val="00A81648"/>
    <w:rsid w:val="00A82385"/>
    <w:rsid w:val="00A836A0"/>
    <w:rsid w:val="00A85BC6"/>
    <w:rsid w:val="00A9235C"/>
    <w:rsid w:val="00AA220B"/>
    <w:rsid w:val="00AA61BB"/>
    <w:rsid w:val="00AB3E64"/>
    <w:rsid w:val="00AB423A"/>
    <w:rsid w:val="00AB5CF1"/>
    <w:rsid w:val="00AE1B80"/>
    <w:rsid w:val="00AE752F"/>
    <w:rsid w:val="00AE78DD"/>
    <w:rsid w:val="00AF46F1"/>
    <w:rsid w:val="00AF7DBA"/>
    <w:rsid w:val="00B031A3"/>
    <w:rsid w:val="00B03E65"/>
    <w:rsid w:val="00B06EF1"/>
    <w:rsid w:val="00B06FA5"/>
    <w:rsid w:val="00B07F0C"/>
    <w:rsid w:val="00B11D09"/>
    <w:rsid w:val="00B13BF9"/>
    <w:rsid w:val="00B17FA3"/>
    <w:rsid w:val="00B236D2"/>
    <w:rsid w:val="00B239A5"/>
    <w:rsid w:val="00B24472"/>
    <w:rsid w:val="00B24670"/>
    <w:rsid w:val="00B34458"/>
    <w:rsid w:val="00B40642"/>
    <w:rsid w:val="00B4164F"/>
    <w:rsid w:val="00B41939"/>
    <w:rsid w:val="00B449DA"/>
    <w:rsid w:val="00B47848"/>
    <w:rsid w:val="00B47E9E"/>
    <w:rsid w:val="00B51D1E"/>
    <w:rsid w:val="00B62244"/>
    <w:rsid w:val="00B63F3B"/>
    <w:rsid w:val="00B64303"/>
    <w:rsid w:val="00B6543B"/>
    <w:rsid w:val="00B65921"/>
    <w:rsid w:val="00B75C51"/>
    <w:rsid w:val="00B82E74"/>
    <w:rsid w:val="00B82EDE"/>
    <w:rsid w:val="00B901F1"/>
    <w:rsid w:val="00B930D1"/>
    <w:rsid w:val="00B931AA"/>
    <w:rsid w:val="00B94543"/>
    <w:rsid w:val="00B94A3F"/>
    <w:rsid w:val="00B95DAB"/>
    <w:rsid w:val="00BA1841"/>
    <w:rsid w:val="00BA1AEE"/>
    <w:rsid w:val="00BA3446"/>
    <w:rsid w:val="00BA6A89"/>
    <w:rsid w:val="00BB11EB"/>
    <w:rsid w:val="00BB232B"/>
    <w:rsid w:val="00BB3D16"/>
    <w:rsid w:val="00BB44F5"/>
    <w:rsid w:val="00BB71E7"/>
    <w:rsid w:val="00BB747B"/>
    <w:rsid w:val="00BC43FC"/>
    <w:rsid w:val="00BC4C14"/>
    <w:rsid w:val="00BD0273"/>
    <w:rsid w:val="00BD0E99"/>
    <w:rsid w:val="00BD0FB2"/>
    <w:rsid w:val="00BD2CD6"/>
    <w:rsid w:val="00BD314B"/>
    <w:rsid w:val="00BD5EF1"/>
    <w:rsid w:val="00BE63B7"/>
    <w:rsid w:val="00BF1344"/>
    <w:rsid w:val="00BF1839"/>
    <w:rsid w:val="00BF1E01"/>
    <w:rsid w:val="00BF245F"/>
    <w:rsid w:val="00C02E5E"/>
    <w:rsid w:val="00C05CFB"/>
    <w:rsid w:val="00C07D89"/>
    <w:rsid w:val="00C12C49"/>
    <w:rsid w:val="00C14820"/>
    <w:rsid w:val="00C14A12"/>
    <w:rsid w:val="00C2003F"/>
    <w:rsid w:val="00C23BE8"/>
    <w:rsid w:val="00C31269"/>
    <w:rsid w:val="00C320B7"/>
    <w:rsid w:val="00C358AA"/>
    <w:rsid w:val="00C43333"/>
    <w:rsid w:val="00C465D7"/>
    <w:rsid w:val="00C468C8"/>
    <w:rsid w:val="00C52089"/>
    <w:rsid w:val="00C56387"/>
    <w:rsid w:val="00C64C4C"/>
    <w:rsid w:val="00C66460"/>
    <w:rsid w:val="00C664DC"/>
    <w:rsid w:val="00C71327"/>
    <w:rsid w:val="00C72AE2"/>
    <w:rsid w:val="00C72F36"/>
    <w:rsid w:val="00C762C2"/>
    <w:rsid w:val="00C77E8C"/>
    <w:rsid w:val="00C827AA"/>
    <w:rsid w:val="00C85C34"/>
    <w:rsid w:val="00C85DDC"/>
    <w:rsid w:val="00C87E33"/>
    <w:rsid w:val="00C9237F"/>
    <w:rsid w:val="00C92CBE"/>
    <w:rsid w:val="00C95952"/>
    <w:rsid w:val="00CA05B8"/>
    <w:rsid w:val="00CA221C"/>
    <w:rsid w:val="00CA28AB"/>
    <w:rsid w:val="00CA71DE"/>
    <w:rsid w:val="00CB12C0"/>
    <w:rsid w:val="00CB2332"/>
    <w:rsid w:val="00CB23A1"/>
    <w:rsid w:val="00CB25F2"/>
    <w:rsid w:val="00CB5872"/>
    <w:rsid w:val="00CB6CBE"/>
    <w:rsid w:val="00CC1E37"/>
    <w:rsid w:val="00CC4AF5"/>
    <w:rsid w:val="00CD025D"/>
    <w:rsid w:val="00CD1A54"/>
    <w:rsid w:val="00CD36A1"/>
    <w:rsid w:val="00CD5EEE"/>
    <w:rsid w:val="00CD6BC3"/>
    <w:rsid w:val="00CE05F3"/>
    <w:rsid w:val="00CE0DD5"/>
    <w:rsid w:val="00CE1742"/>
    <w:rsid w:val="00CE4E6A"/>
    <w:rsid w:val="00CE50F6"/>
    <w:rsid w:val="00CE58D5"/>
    <w:rsid w:val="00CE71D8"/>
    <w:rsid w:val="00CF1C23"/>
    <w:rsid w:val="00CF1FF7"/>
    <w:rsid w:val="00CF36BA"/>
    <w:rsid w:val="00D00D6E"/>
    <w:rsid w:val="00D11139"/>
    <w:rsid w:val="00D1147D"/>
    <w:rsid w:val="00D123A0"/>
    <w:rsid w:val="00D12847"/>
    <w:rsid w:val="00D15ACA"/>
    <w:rsid w:val="00D16889"/>
    <w:rsid w:val="00D17D5D"/>
    <w:rsid w:val="00D214EC"/>
    <w:rsid w:val="00D26EA4"/>
    <w:rsid w:val="00D27A72"/>
    <w:rsid w:val="00D304A4"/>
    <w:rsid w:val="00D429AA"/>
    <w:rsid w:val="00D44A41"/>
    <w:rsid w:val="00D508D3"/>
    <w:rsid w:val="00D55296"/>
    <w:rsid w:val="00D56676"/>
    <w:rsid w:val="00D6321D"/>
    <w:rsid w:val="00D63861"/>
    <w:rsid w:val="00D65C4C"/>
    <w:rsid w:val="00D66239"/>
    <w:rsid w:val="00D70387"/>
    <w:rsid w:val="00D70BE3"/>
    <w:rsid w:val="00D7237D"/>
    <w:rsid w:val="00D84BE6"/>
    <w:rsid w:val="00D85FA5"/>
    <w:rsid w:val="00D8605C"/>
    <w:rsid w:val="00D8623C"/>
    <w:rsid w:val="00D86A06"/>
    <w:rsid w:val="00D902D5"/>
    <w:rsid w:val="00D947EA"/>
    <w:rsid w:val="00D95D7F"/>
    <w:rsid w:val="00DA3792"/>
    <w:rsid w:val="00DA3E7A"/>
    <w:rsid w:val="00DA3FFB"/>
    <w:rsid w:val="00DA4F60"/>
    <w:rsid w:val="00DB0CF5"/>
    <w:rsid w:val="00DB2F6A"/>
    <w:rsid w:val="00DB5FA1"/>
    <w:rsid w:val="00DB7197"/>
    <w:rsid w:val="00DB7F7B"/>
    <w:rsid w:val="00DB7F9B"/>
    <w:rsid w:val="00DC417D"/>
    <w:rsid w:val="00DC4F79"/>
    <w:rsid w:val="00DD0664"/>
    <w:rsid w:val="00DD2B58"/>
    <w:rsid w:val="00DD4A9A"/>
    <w:rsid w:val="00DE01DF"/>
    <w:rsid w:val="00DE0273"/>
    <w:rsid w:val="00DE1055"/>
    <w:rsid w:val="00DE3790"/>
    <w:rsid w:val="00DE7B54"/>
    <w:rsid w:val="00DF0E6F"/>
    <w:rsid w:val="00DF62B8"/>
    <w:rsid w:val="00DF759D"/>
    <w:rsid w:val="00DF784F"/>
    <w:rsid w:val="00DF7DCF"/>
    <w:rsid w:val="00E04474"/>
    <w:rsid w:val="00E05222"/>
    <w:rsid w:val="00E05B9A"/>
    <w:rsid w:val="00E079C0"/>
    <w:rsid w:val="00E14A0A"/>
    <w:rsid w:val="00E14DAB"/>
    <w:rsid w:val="00E153A6"/>
    <w:rsid w:val="00E16D14"/>
    <w:rsid w:val="00E22667"/>
    <w:rsid w:val="00E233AE"/>
    <w:rsid w:val="00E253DA"/>
    <w:rsid w:val="00E3222F"/>
    <w:rsid w:val="00E32A21"/>
    <w:rsid w:val="00E34677"/>
    <w:rsid w:val="00E35CA8"/>
    <w:rsid w:val="00E371B7"/>
    <w:rsid w:val="00E37C8D"/>
    <w:rsid w:val="00E37D1E"/>
    <w:rsid w:val="00E37EE9"/>
    <w:rsid w:val="00E430C0"/>
    <w:rsid w:val="00E470B2"/>
    <w:rsid w:val="00E5049D"/>
    <w:rsid w:val="00E511E6"/>
    <w:rsid w:val="00E51F71"/>
    <w:rsid w:val="00E53DE9"/>
    <w:rsid w:val="00E553B0"/>
    <w:rsid w:val="00E60064"/>
    <w:rsid w:val="00E630FA"/>
    <w:rsid w:val="00E63174"/>
    <w:rsid w:val="00E63BCA"/>
    <w:rsid w:val="00E64287"/>
    <w:rsid w:val="00E66BE4"/>
    <w:rsid w:val="00E675ED"/>
    <w:rsid w:val="00E72FC6"/>
    <w:rsid w:val="00E761C7"/>
    <w:rsid w:val="00E877AD"/>
    <w:rsid w:val="00E948A2"/>
    <w:rsid w:val="00E970F6"/>
    <w:rsid w:val="00EA52D1"/>
    <w:rsid w:val="00EA75E1"/>
    <w:rsid w:val="00EA7848"/>
    <w:rsid w:val="00EA7F4A"/>
    <w:rsid w:val="00EB261C"/>
    <w:rsid w:val="00EB417B"/>
    <w:rsid w:val="00EB5E49"/>
    <w:rsid w:val="00EB7433"/>
    <w:rsid w:val="00EC1D2A"/>
    <w:rsid w:val="00EC3923"/>
    <w:rsid w:val="00EC3DC6"/>
    <w:rsid w:val="00EC64DD"/>
    <w:rsid w:val="00EC77F9"/>
    <w:rsid w:val="00ED184E"/>
    <w:rsid w:val="00ED6E7A"/>
    <w:rsid w:val="00ED7075"/>
    <w:rsid w:val="00ED73AC"/>
    <w:rsid w:val="00ED75F0"/>
    <w:rsid w:val="00EE18EC"/>
    <w:rsid w:val="00EE5441"/>
    <w:rsid w:val="00EE7558"/>
    <w:rsid w:val="00EF330D"/>
    <w:rsid w:val="00EF46FD"/>
    <w:rsid w:val="00EF62A7"/>
    <w:rsid w:val="00F00B86"/>
    <w:rsid w:val="00F03B3C"/>
    <w:rsid w:val="00F066FD"/>
    <w:rsid w:val="00F108FF"/>
    <w:rsid w:val="00F10BD5"/>
    <w:rsid w:val="00F11CFF"/>
    <w:rsid w:val="00F14016"/>
    <w:rsid w:val="00F228B9"/>
    <w:rsid w:val="00F361AF"/>
    <w:rsid w:val="00F44E68"/>
    <w:rsid w:val="00F50936"/>
    <w:rsid w:val="00F53F44"/>
    <w:rsid w:val="00F54EF3"/>
    <w:rsid w:val="00F57BC8"/>
    <w:rsid w:val="00F61BC1"/>
    <w:rsid w:val="00F620F4"/>
    <w:rsid w:val="00F626A0"/>
    <w:rsid w:val="00F62DE2"/>
    <w:rsid w:val="00F715E2"/>
    <w:rsid w:val="00F72469"/>
    <w:rsid w:val="00F724E3"/>
    <w:rsid w:val="00F74AFD"/>
    <w:rsid w:val="00F765EE"/>
    <w:rsid w:val="00F861A0"/>
    <w:rsid w:val="00F86B39"/>
    <w:rsid w:val="00F9041E"/>
    <w:rsid w:val="00F91DDE"/>
    <w:rsid w:val="00F91FD7"/>
    <w:rsid w:val="00F92BD2"/>
    <w:rsid w:val="00F94C41"/>
    <w:rsid w:val="00F9770A"/>
    <w:rsid w:val="00FA155C"/>
    <w:rsid w:val="00FA4B91"/>
    <w:rsid w:val="00FB3B81"/>
    <w:rsid w:val="00FB585A"/>
    <w:rsid w:val="00FB6D54"/>
    <w:rsid w:val="00FC3A16"/>
    <w:rsid w:val="00FC74A6"/>
    <w:rsid w:val="00FD01E9"/>
    <w:rsid w:val="00FD1B49"/>
    <w:rsid w:val="00FD2BC5"/>
    <w:rsid w:val="00FD76FB"/>
    <w:rsid w:val="00FD7A38"/>
    <w:rsid w:val="00FE0A4D"/>
    <w:rsid w:val="00FE1291"/>
    <w:rsid w:val="00FE3014"/>
    <w:rsid w:val="00FE69C2"/>
    <w:rsid w:val="00FF59AC"/>
    <w:rsid w:val="00FF6584"/>
    <w:rsid w:val="00FF6F1E"/>
    <w:rsid w:val="00FF792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24472"/>
    <w:pPr>
      <w:keepNext/>
      <w:spacing w:after="0" w:line="240" w:lineRule="auto"/>
      <w:ind w:left="-709"/>
      <w:outlineLvl w:val="0"/>
    </w:pPr>
    <w:rPr>
      <w:rFonts w:ascii="Times New Roman" w:eastAsia="Times New Roman" w:hAnsi="Times New Roman" w:cs="Times New Roman"/>
      <w:b/>
      <w:bCs/>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ind w:left="0"/>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paragraph" w:customStyle="1" w:styleId="NApielikums">
    <w:name w:val="NA pielikums"/>
    <w:basedOn w:val="Normal"/>
    <w:link w:val="NApielikumsCharChar"/>
    <w:rsid w:val="00061F14"/>
    <w:pPr>
      <w:spacing w:after="0" w:line="240" w:lineRule="auto"/>
      <w:jc w:val="right"/>
    </w:pPr>
    <w:rPr>
      <w:rFonts w:ascii="Times New Roman" w:eastAsia="Times New Roman" w:hAnsi="Times New Roman" w:cs="Times New Roman"/>
      <w:sz w:val="24"/>
      <w:szCs w:val="24"/>
      <w:lang w:eastAsia="lv-LV"/>
    </w:rPr>
  </w:style>
  <w:style w:type="character" w:customStyle="1" w:styleId="NApielikumsCharChar">
    <w:name w:val="NA pielikums Char Char"/>
    <w:basedOn w:val="DefaultParagraphFont"/>
    <w:link w:val="NApielikums"/>
    <w:rsid w:val="00061F14"/>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061F14"/>
    <w:rPr>
      <w:color w:val="808080"/>
    </w:rPr>
  </w:style>
  <w:style w:type="paragraph" w:customStyle="1" w:styleId="Default">
    <w:name w:val="Default"/>
    <w:rsid w:val="00061F1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B24472"/>
    <w:rPr>
      <w:rFonts w:ascii="Times New Roman" w:eastAsia="Times New Roman" w:hAnsi="Times New Roman" w:cs="Times New Roman"/>
      <w:b/>
      <w:bCs/>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61706068">
      <w:bodyDiv w:val="1"/>
      <w:marLeft w:val="0"/>
      <w:marRight w:val="0"/>
      <w:marTop w:val="0"/>
      <w:marBottom w:val="0"/>
      <w:divBdr>
        <w:top w:val="none" w:sz="0" w:space="0" w:color="auto"/>
        <w:left w:val="none" w:sz="0" w:space="0" w:color="auto"/>
        <w:bottom w:val="none" w:sz="0" w:space="0" w:color="auto"/>
        <w:right w:val="none" w:sz="0" w:space="0" w:color="auto"/>
      </w:divBdr>
    </w:div>
    <w:div w:id="301346336">
      <w:bodyDiv w:val="1"/>
      <w:marLeft w:val="0"/>
      <w:marRight w:val="0"/>
      <w:marTop w:val="0"/>
      <w:marBottom w:val="0"/>
      <w:divBdr>
        <w:top w:val="none" w:sz="0" w:space="0" w:color="auto"/>
        <w:left w:val="none" w:sz="0" w:space="0" w:color="auto"/>
        <w:bottom w:val="none" w:sz="0" w:space="0" w:color="auto"/>
        <w:right w:val="none" w:sz="0" w:space="0" w:color="auto"/>
      </w:divBdr>
    </w:div>
    <w:div w:id="328678448">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 w:id="2011054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06711-apdrosinasanas-un-parapdrosinasanas-izplatisanas-likums" TargetMode="External"/><Relationship Id="rId18" Type="http://schemas.openxmlformats.org/officeDocument/2006/relationships/hyperlink" Target="https://likumi.lv/ta/id/52953-ieguldijumu-parvaldes-sabiedribu-likums"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likumi.lv/ta/id/323799-segto-obligaciju-likums" TargetMode="External"/><Relationship Id="rId7" Type="http://schemas.openxmlformats.org/officeDocument/2006/relationships/settings" Target="settings.xml"/><Relationship Id="rId12" Type="http://schemas.openxmlformats.org/officeDocument/2006/relationships/hyperlink" Target="https://likumi.lv/ta/id/258477-alternativo-ieguldijumu-fondu-un-to-parvaldnieku-likums" TargetMode="External"/><Relationship Id="rId17" Type="http://schemas.openxmlformats.org/officeDocument/2006/relationships/hyperlink" Target="https://likumi.lv/ta/id/52953-ieguldijumu-parvaldes-sabiedribu-likum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ikumi.lv/ta/id/81995-finansu-instrumentu-tirgus-likums" TargetMode="External"/><Relationship Id="rId20" Type="http://schemas.openxmlformats.org/officeDocument/2006/relationships/hyperlink" Target="https://likumi.lv/ta/id/37426-kreditiestazu-liku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58477-alternativo-ieguldijumu-fondu-un-to-parvaldnieku-likum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likumi.lv/ta/id/81995-finansu-instrumentu-tirgus-likums" TargetMode="External"/><Relationship Id="rId23" Type="http://schemas.openxmlformats.org/officeDocument/2006/relationships/hyperlink" Target="http://www.bank.lv" TargetMode="External"/><Relationship Id="rId10" Type="http://schemas.openxmlformats.org/officeDocument/2006/relationships/endnotes" Target="endnotes.xml"/><Relationship Id="rId19" Type="http://schemas.openxmlformats.org/officeDocument/2006/relationships/hyperlink" Target="https://likumi.lv/ta/id/37426-kreditiestazu-likum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06711-apdrosinasanas-un-parapdrosinasanas-izplatisanas-likums" TargetMode="External"/><Relationship Id="rId22" Type="http://schemas.openxmlformats.org/officeDocument/2006/relationships/hyperlink" Target="https://likumi.lv/ta/id/323799-segto-obligaciju-likums"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16DCD"/>
    <w:rsid w:val="00033E6A"/>
    <w:rsid w:val="000F59DE"/>
    <w:rsid w:val="000F6316"/>
    <w:rsid w:val="00135089"/>
    <w:rsid w:val="00162737"/>
    <w:rsid w:val="001B5ECD"/>
    <w:rsid w:val="001D3730"/>
    <w:rsid w:val="00227EEE"/>
    <w:rsid w:val="0024471B"/>
    <w:rsid w:val="00253730"/>
    <w:rsid w:val="00291FA8"/>
    <w:rsid w:val="002A132F"/>
    <w:rsid w:val="002A5D67"/>
    <w:rsid w:val="002A6F5D"/>
    <w:rsid w:val="003154FD"/>
    <w:rsid w:val="00317E24"/>
    <w:rsid w:val="00341D71"/>
    <w:rsid w:val="00383CD4"/>
    <w:rsid w:val="003A682F"/>
    <w:rsid w:val="003E108D"/>
    <w:rsid w:val="00431623"/>
    <w:rsid w:val="004B3386"/>
    <w:rsid w:val="004E1C04"/>
    <w:rsid w:val="004F5A24"/>
    <w:rsid w:val="00572F21"/>
    <w:rsid w:val="005B5A7D"/>
    <w:rsid w:val="005C2CA0"/>
    <w:rsid w:val="005D75C8"/>
    <w:rsid w:val="00606F09"/>
    <w:rsid w:val="006A61AC"/>
    <w:rsid w:val="006F4F95"/>
    <w:rsid w:val="00705C30"/>
    <w:rsid w:val="00753334"/>
    <w:rsid w:val="007624E4"/>
    <w:rsid w:val="0076578A"/>
    <w:rsid w:val="00776766"/>
    <w:rsid w:val="007A2A66"/>
    <w:rsid w:val="007E0AAA"/>
    <w:rsid w:val="00814418"/>
    <w:rsid w:val="00834517"/>
    <w:rsid w:val="00837761"/>
    <w:rsid w:val="008B3080"/>
    <w:rsid w:val="008F4752"/>
    <w:rsid w:val="008F4C10"/>
    <w:rsid w:val="00961643"/>
    <w:rsid w:val="009B1202"/>
    <w:rsid w:val="00A056E1"/>
    <w:rsid w:val="00A27A4D"/>
    <w:rsid w:val="00B308B3"/>
    <w:rsid w:val="00B75230"/>
    <w:rsid w:val="00BA1188"/>
    <w:rsid w:val="00BA1841"/>
    <w:rsid w:val="00C043CE"/>
    <w:rsid w:val="00C358AA"/>
    <w:rsid w:val="00C71327"/>
    <w:rsid w:val="00D35F30"/>
    <w:rsid w:val="00D66239"/>
    <w:rsid w:val="00D85A2F"/>
    <w:rsid w:val="00DD35D1"/>
    <w:rsid w:val="00EE6CA1"/>
    <w:rsid w:val="00F01EF8"/>
    <w:rsid w:val="00F43DC4"/>
    <w:rsid w:val="00F61DFE"/>
    <w:rsid w:val="00F861A0"/>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132F"/>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7856</Words>
  <Characters>4479</Characters>
  <Application>Microsoft Office Word</Application>
  <DocSecurity>0</DocSecurity>
  <Lines>37</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Ilze Grava</cp:lastModifiedBy>
  <cp:revision>5</cp:revision>
  <cp:lastPrinted>2023-07-25T07:30:00Z</cp:lastPrinted>
  <dcterms:created xsi:type="dcterms:W3CDTF">2024-10-22T06:18:00Z</dcterms:created>
  <dcterms:modified xsi:type="dcterms:W3CDTF">2024-10-22T06:31:00Z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