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09AFF3EC" w:rsidR="006C3828" w:rsidRPr="00894D21" w:rsidRDefault="006C3828" w:rsidP="00222826">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bookmarkStart w:id="0" w:name="_Hlk176291154"/>
      <w:r w:rsidRPr="00894D21">
        <w:rPr>
          <w:rFonts w:ascii="Times New Roman" w:hAnsi="Times New Roman" w:cs="Times New Roman"/>
          <w:b/>
          <w:bCs/>
          <w:sz w:val="24"/>
          <w:szCs w:val="24"/>
        </w:rPr>
        <w:t xml:space="preserve">noteikumu projekta </w:t>
      </w:r>
      <w:bookmarkStart w:id="1" w:name="_Hlk179907908"/>
      <w:r w:rsidRPr="00894D21">
        <w:rPr>
          <w:rFonts w:ascii="Times New Roman" w:hAnsi="Times New Roman" w:cs="Times New Roman"/>
          <w:b/>
          <w:bCs/>
          <w:sz w:val="24"/>
          <w:szCs w:val="24"/>
        </w:rPr>
        <w:t>"</w:t>
      </w:r>
      <w:bookmarkEnd w:id="1"/>
      <w:r w:rsidR="00815E81" w:rsidRPr="00815E81">
        <w:rPr>
          <w:rFonts w:ascii="Times New Roman" w:hAnsi="Times New Roman" w:cs="Times New Roman"/>
          <w:b/>
          <w:bCs/>
          <w:sz w:val="24"/>
          <w:szCs w:val="24"/>
        </w:rPr>
        <w:t xml:space="preserve">Apdrošināšanas </w:t>
      </w:r>
      <w:r w:rsidR="00A26F2E">
        <w:rPr>
          <w:rFonts w:ascii="Times New Roman" w:hAnsi="Times New Roman" w:cs="Times New Roman"/>
          <w:b/>
          <w:bCs/>
          <w:sz w:val="24"/>
          <w:szCs w:val="24"/>
        </w:rPr>
        <w:t>un</w:t>
      </w:r>
      <w:r w:rsidR="00815E81" w:rsidRPr="00815E81">
        <w:rPr>
          <w:rFonts w:ascii="Times New Roman" w:hAnsi="Times New Roman" w:cs="Times New Roman"/>
          <w:b/>
          <w:bCs/>
          <w:sz w:val="24"/>
          <w:szCs w:val="24"/>
        </w:rPr>
        <w:t xml:space="preserve"> pārapdrošināšanas sabiedrīb</w:t>
      </w:r>
      <w:r w:rsidR="00A26F2E">
        <w:rPr>
          <w:rFonts w:ascii="Times New Roman" w:hAnsi="Times New Roman" w:cs="Times New Roman"/>
          <w:b/>
          <w:bCs/>
          <w:sz w:val="24"/>
          <w:szCs w:val="24"/>
        </w:rPr>
        <w:t>u</w:t>
      </w:r>
      <w:r w:rsidR="00815E81" w:rsidRPr="00815E81">
        <w:rPr>
          <w:rFonts w:ascii="Times New Roman" w:hAnsi="Times New Roman" w:cs="Times New Roman"/>
          <w:b/>
          <w:bCs/>
          <w:sz w:val="24"/>
          <w:szCs w:val="24"/>
        </w:rPr>
        <w:t xml:space="preserve"> grupas maksātspējas aprēķina noteikumi</w:t>
      </w:r>
      <w:r w:rsidRPr="00894D21">
        <w:rPr>
          <w:rFonts w:ascii="Times New Roman" w:hAnsi="Times New Roman" w:cs="Times New Roman"/>
          <w:b/>
          <w:bCs/>
          <w:sz w:val="24"/>
          <w:szCs w:val="24"/>
        </w:rPr>
        <w:t>"</w:t>
      </w:r>
      <w:bookmarkEnd w:id="0"/>
      <w:r w:rsidRPr="00894D21">
        <w:rPr>
          <w:rFonts w:ascii="Times New Roman" w:hAnsi="Times New Roman" w:cs="Times New Roman"/>
          <w:b/>
          <w:bCs/>
          <w:sz w:val="24"/>
          <w:szCs w:val="24"/>
        </w:rPr>
        <w:t xml:space="preserve"> anotācija</w:t>
      </w:r>
    </w:p>
    <w:p w14:paraId="328163FB" w14:textId="77777777" w:rsidR="006C3828" w:rsidRPr="00894D21" w:rsidRDefault="006C3828" w:rsidP="00222826">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04926FAB" w14:textId="35230EB8"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tc>
        <w:tc>
          <w:tcPr>
            <w:tcW w:w="3834" w:type="pct"/>
            <w:shd w:val="clear" w:color="auto" w:fill="auto"/>
          </w:tcPr>
          <w:p w14:paraId="00D2931F" w14:textId="5FFA0496" w:rsidR="006C3828" w:rsidRPr="00894D21" w:rsidRDefault="00815E81" w:rsidP="00222826">
            <w:pPr>
              <w:spacing w:after="120" w:line="240" w:lineRule="auto"/>
              <w:jc w:val="both"/>
              <w:rPr>
                <w:rFonts w:ascii="Times New Roman" w:eastAsia="Times New Roman" w:hAnsi="Times New Roman" w:cs="Times New Roman"/>
                <w:sz w:val="24"/>
                <w:szCs w:val="24"/>
                <w:lang w:eastAsia="lv-LV"/>
              </w:rPr>
            </w:pPr>
            <w:r w:rsidRPr="00815E81">
              <w:rPr>
                <w:rFonts w:ascii="Times New Roman" w:eastAsia="Times New Roman" w:hAnsi="Times New Roman" w:cs="Times New Roman"/>
                <w:sz w:val="24"/>
                <w:szCs w:val="24"/>
                <w:lang w:eastAsia="lv-LV"/>
              </w:rPr>
              <w:t xml:space="preserve">Apdrošināšanas </w:t>
            </w:r>
            <w:r w:rsidR="00A26F2E">
              <w:rPr>
                <w:rFonts w:ascii="Times New Roman" w:eastAsia="Times New Roman" w:hAnsi="Times New Roman" w:cs="Times New Roman"/>
                <w:sz w:val="24"/>
                <w:szCs w:val="24"/>
                <w:lang w:eastAsia="lv-LV"/>
              </w:rPr>
              <w:t>un</w:t>
            </w:r>
            <w:r w:rsidRPr="00815E81">
              <w:rPr>
                <w:rFonts w:ascii="Times New Roman" w:eastAsia="Times New Roman" w:hAnsi="Times New Roman" w:cs="Times New Roman"/>
                <w:sz w:val="24"/>
                <w:szCs w:val="24"/>
                <w:lang w:eastAsia="lv-LV"/>
              </w:rPr>
              <w:t xml:space="preserve"> pārapdrošināšanas sabiedrīb</w:t>
            </w:r>
            <w:r w:rsidR="00A26F2E">
              <w:rPr>
                <w:rFonts w:ascii="Times New Roman" w:eastAsia="Times New Roman" w:hAnsi="Times New Roman" w:cs="Times New Roman"/>
                <w:sz w:val="24"/>
                <w:szCs w:val="24"/>
                <w:lang w:eastAsia="lv-LV"/>
              </w:rPr>
              <w:t>u</w:t>
            </w:r>
            <w:r w:rsidRPr="00815E81">
              <w:rPr>
                <w:rFonts w:ascii="Times New Roman" w:eastAsia="Times New Roman" w:hAnsi="Times New Roman" w:cs="Times New Roman"/>
                <w:sz w:val="24"/>
                <w:szCs w:val="24"/>
                <w:lang w:eastAsia="lv-LV"/>
              </w:rPr>
              <w:t xml:space="preserve"> grupas maksātspējas aprēķina noteikumi</w:t>
            </w:r>
          </w:p>
        </w:tc>
      </w:tr>
      <w:tr w:rsidR="006C3828" w:rsidRPr="00894D21" w14:paraId="7F11A741" w14:textId="77777777" w:rsidTr="00780E7D">
        <w:trPr>
          <w:trHeight w:val="395"/>
        </w:trPr>
        <w:tc>
          <w:tcPr>
            <w:tcW w:w="1166" w:type="pct"/>
            <w:shd w:val="clear" w:color="auto" w:fill="auto"/>
            <w:hideMark/>
          </w:tcPr>
          <w:p w14:paraId="0F0B9B60" w14:textId="1CF8781F"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tc>
        <w:tc>
          <w:tcPr>
            <w:tcW w:w="3834" w:type="pct"/>
            <w:shd w:val="clear" w:color="auto" w:fill="auto"/>
          </w:tcPr>
          <w:p w14:paraId="4B5460C8" w14:textId="77777777"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360069FD" w14:textId="3C3708B1"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Izdošanas pamatojums</w:t>
            </w:r>
          </w:p>
        </w:tc>
        <w:tc>
          <w:tcPr>
            <w:tcW w:w="3834" w:type="pct"/>
            <w:shd w:val="clear" w:color="auto" w:fill="auto"/>
          </w:tcPr>
          <w:p w14:paraId="48EEF1AA" w14:textId="1BC159A8" w:rsidR="006C3828" w:rsidRPr="00894D21" w:rsidRDefault="009E52A2" w:rsidP="00222826">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004C6684" w:rsidRPr="004C6684">
              <w:rPr>
                <w:rFonts w:ascii="Times New Roman" w:eastAsia="Times New Roman" w:hAnsi="Times New Roman" w:cs="Times New Roman"/>
                <w:sz w:val="24"/>
                <w:szCs w:val="24"/>
                <w:lang w:eastAsia="lv-LV"/>
              </w:rPr>
              <w:t>40.</w:t>
            </w:r>
            <w:r w:rsidR="006D1EBD">
              <w:rPr>
                <w:rFonts w:ascii="Times New Roman" w:eastAsia="Times New Roman" w:hAnsi="Times New Roman" w:cs="Times New Roman"/>
                <w:sz w:val="24"/>
                <w:szCs w:val="24"/>
                <w:lang w:eastAsia="lv-LV"/>
              </w:rPr>
              <w:t> </w:t>
            </w:r>
            <w:r w:rsidR="004C6684" w:rsidRPr="004C6684">
              <w:rPr>
                <w:rFonts w:ascii="Times New Roman" w:eastAsia="Times New Roman" w:hAnsi="Times New Roman" w:cs="Times New Roman"/>
                <w:sz w:val="24"/>
                <w:szCs w:val="24"/>
                <w:lang w:eastAsia="lv-LV"/>
              </w:rPr>
              <w:t>panta sest</w:t>
            </w:r>
            <w:r w:rsidR="004C6684">
              <w:rPr>
                <w:rFonts w:ascii="Times New Roman" w:eastAsia="Times New Roman" w:hAnsi="Times New Roman" w:cs="Times New Roman"/>
                <w:sz w:val="24"/>
                <w:szCs w:val="24"/>
                <w:lang w:eastAsia="lv-LV"/>
              </w:rPr>
              <w:t>ā</w:t>
            </w:r>
            <w:r w:rsidR="004C6684" w:rsidRPr="004C6684">
              <w:rPr>
                <w:rFonts w:ascii="Times New Roman" w:eastAsia="Times New Roman" w:hAnsi="Times New Roman" w:cs="Times New Roman"/>
                <w:sz w:val="24"/>
                <w:szCs w:val="24"/>
                <w:lang w:eastAsia="lv-LV"/>
              </w:rPr>
              <w:t xml:space="preserve"> daļ</w:t>
            </w:r>
            <w:r w:rsidR="004C6684">
              <w:rPr>
                <w:rFonts w:ascii="Times New Roman" w:eastAsia="Times New Roman" w:hAnsi="Times New Roman" w:cs="Times New Roman"/>
                <w:sz w:val="24"/>
                <w:szCs w:val="24"/>
                <w:lang w:eastAsia="lv-LV"/>
              </w:rPr>
              <w:t>a</w:t>
            </w:r>
            <w:r w:rsidR="004C6684" w:rsidRPr="004C6684">
              <w:rPr>
                <w:rFonts w:ascii="Times New Roman" w:eastAsia="Times New Roman" w:hAnsi="Times New Roman" w:cs="Times New Roman"/>
                <w:sz w:val="24"/>
                <w:szCs w:val="24"/>
                <w:lang w:eastAsia="lv-LV"/>
              </w:rPr>
              <w:t>,</w:t>
            </w:r>
            <w:r w:rsidR="00107F9D">
              <w:rPr>
                <w:rFonts w:ascii="Times New Roman" w:eastAsia="Times New Roman" w:hAnsi="Times New Roman" w:cs="Times New Roman"/>
                <w:sz w:val="24"/>
                <w:szCs w:val="24"/>
                <w:lang w:eastAsia="lv-LV"/>
              </w:rPr>
              <w:t xml:space="preserve"> 204. panta pirmā daļa</w:t>
            </w:r>
            <w:r w:rsidR="004C6684" w:rsidRPr="004C6684">
              <w:rPr>
                <w:rFonts w:ascii="Times New Roman" w:eastAsia="Times New Roman" w:hAnsi="Times New Roman" w:cs="Times New Roman"/>
                <w:sz w:val="24"/>
                <w:szCs w:val="24"/>
                <w:lang w:eastAsia="lv-LV"/>
              </w:rPr>
              <w:t xml:space="preserve"> </w:t>
            </w:r>
            <w:r w:rsidR="00815E81" w:rsidRPr="00815E81">
              <w:rPr>
                <w:rFonts w:ascii="Times New Roman" w:eastAsia="Times New Roman" w:hAnsi="Times New Roman" w:cs="Times New Roman"/>
                <w:sz w:val="24"/>
                <w:szCs w:val="24"/>
                <w:lang w:eastAsia="lv-LV"/>
              </w:rPr>
              <w:t>un 205.</w:t>
            </w:r>
            <w:r w:rsidR="006D1EBD">
              <w:rPr>
                <w:rFonts w:ascii="Times New Roman" w:eastAsia="Times New Roman" w:hAnsi="Times New Roman" w:cs="Times New Roman"/>
                <w:sz w:val="24"/>
                <w:szCs w:val="24"/>
                <w:lang w:eastAsia="lv-LV"/>
              </w:rPr>
              <w:t> </w:t>
            </w:r>
            <w:r w:rsidR="00815E81" w:rsidRPr="00815E81">
              <w:rPr>
                <w:rFonts w:ascii="Times New Roman" w:eastAsia="Times New Roman" w:hAnsi="Times New Roman" w:cs="Times New Roman"/>
                <w:sz w:val="24"/>
                <w:szCs w:val="24"/>
                <w:lang w:eastAsia="lv-LV"/>
              </w:rPr>
              <w:t>panta ceturt</w:t>
            </w:r>
            <w:r w:rsidR="00815E81">
              <w:rPr>
                <w:rFonts w:ascii="Times New Roman" w:eastAsia="Times New Roman" w:hAnsi="Times New Roman" w:cs="Times New Roman"/>
                <w:sz w:val="24"/>
                <w:szCs w:val="24"/>
                <w:lang w:eastAsia="lv-LV"/>
              </w:rPr>
              <w:t>ā</w:t>
            </w:r>
            <w:r w:rsidR="00815E81" w:rsidRPr="00815E81">
              <w:rPr>
                <w:rFonts w:ascii="Times New Roman" w:eastAsia="Times New Roman" w:hAnsi="Times New Roman" w:cs="Times New Roman"/>
                <w:sz w:val="24"/>
                <w:szCs w:val="24"/>
                <w:lang w:eastAsia="lv-LV"/>
              </w:rPr>
              <w:t xml:space="preserve"> daļ</w:t>
            </w:r>
            <w:r w:rsidR="00815E81">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57C9B05B" w14:textId="3294E08B"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tc>
        <w:tc>
          <w:tcPr>
            <w:tcW w:w="3834" w:type="pct"/>
            <w:shd w:val="clear" w:color="auto" w:fill="auto"/>
          </w:tcPr>
          <w:p w14:paraId="1470A3BB" w14:textId="605B2DFE" w:rsidR="00896DBD" w:rsidRPr="00E775DB" w:rsidRDefault="00896DBD" w:rsidP="00222826">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2609441E" w:rsidR="00BF3F58" w:rsidRPr="00E775DB" w:rsidRDefault="00896DBD" w:rsidP="00222826">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CE123F" w:rsidRPr="00815E81">
              <w:rPr>
                <w:rFonts w:ascii="Times New Roman" w:eastAsia="Times New Roman" w:hAnsi="Times New Roman" w:cs="Times New Roman"/>
                <w:sz w:val="24"/>
                <w:szCs w:val="24"/>
                <w:lang w:eastAsia="lv-LV"/>
              </w:rPr>
              <w:t xml:space="preserve">Apdrošināšanas </w:t>
            </w:r>
            <w:r w:rsidR="00A26F2E">
              <w:rPr>
                <w:rFonts w:ascii="Times New Roman" w:eastAsia="Times New Roman" w:hAnsi="Times New Roman" w:cs="Times New Roman"/>
                <w:sz w:val="24"/>
                <w:szCs w:val="24"/>
                <w:lang w:eastAsia="lv-LV"/>
              </w:rPr>
              <w:t>un</w:t>
            </w:r>
            <w:r w:rsidR="00CE123F" w:rsidRPr="00815E81">
              <w:rPr>
                <w:rFonts w:ascii="Times New Roman" w:eastAsia="Times New Roman" w:hAnsi="Times New Roman" w:cs="Times New Roman"/>
                <w:sz w:val="24"/>
                <w:szCs w:val="24"/>
                <w:lang w:eastAsia="lv-LV"/>
              </w:rPr>
              <w:t xml:space="preserve"> pārapdrošināšanas sabiedrīb</w:t>
            </w:r>
            <w:r w:rsidR="00A26F2E">
              <w:rPr>
                <w:rFonts w:ascii="Times New Roman" w:eastAsia="Times New Roman" w:hAnsi="Times New Roman" w:cs="Times New Roman"/>
                <w:sz w:val="24"/>
                <w:szCs w:val="24"/>
                <w:lang w:eastAsia="lv-LV"/>
              </w:rPr>
              <w:t>u</w:t>
            </w:r>
            <w:r w:rsidR="00CE123F" w:rsidRPr="00815E81">
              <w:rPr>
                <w:rFonts w:ascii="Times New Roman" w:eastAsia="Times New Roman" w:hAnsi="Times New Roman" w:cs="Times New Roman"/>
                <w:sz w:val="24"/>
                <w:szCs w:val="24"/>
                <w:lang w:eastAsia="lv-LV"/>
              </w:rPr>
              <w:t xml:space="preserve"> grupas maksātspējas aprēķina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2"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Finanšu un kapitāla tirgus komisijas </w:t>
            </w:r>
            <w:r w:rsidR="009E52A2" w:rsidRPr="00E775DB">
              <w:rPr>
                <w:rFonts w:ascii="Times New Roman" w:eastAsia="Times New Roman" w:hAnsi="Times New Roman" w:cs="Times New Roman"/>
                <w:color w:val="000000"/>
                <w:sz w:val="24"/>
                <w:szCs w:val="24"/>
                <w:lang w:eastAsia="lv-LV"/>
              </w:rPr>
              <w:t>2020.</w:t>
            </w:r>
            <w:r w:rsidR="004653D7" w:rsidRPr="00E775DB">
              <w:rPr>
                <w:rFonts w:ascii="Times New Roman" w:eastAsia="Times New Roman" w:hAnsi="Times New Roman" w:cs="Times New Roman"/>
                <w:color w:val="000000"/>
                <w:sz w:val="24"/>
                <w:szCs w:val="24"/>
                <w:lang w:eastAsia="lv-LV"/>
              </w:rPr>
              <w:t> </w:t>
            </w:r>
            <w:r w:rsidR="009E52A2" w:rsidRPr="00E775DB">
              <w:rPr>
                <w:rFonts w:ascii="Times New Roman" w:eastAsia="Times New Roman" w:hAnsi="Times New Roman" w:cs="Times New Roman"/>
                <w:color w:val="000000"/>
                <w:sz w:val="24"/>
                <w:szCs w:val="24"/>
                <w:lang w:eastAsia="lv-LV"/>
              </w:rPr>
              <w:t xml:space="preserve">gada </w:t>
            </w:r>
            <w:r w:rsidR="004C6684" w:rsidRPr="00E775DB">
              <w:rPr>
                <w:rFonts w:ascii="Times New Roman" w:eastAsia="Times New Roman" w:hAnsi="Times New Roman" w:cs="Times New Roman"/>
                <w:color w:val="000000"/>
                <w:sz w:val="24"/>
                <w:szCs w:val="24"/>
                <w:lang w:eastAsia="lv-LV"/>
              </w:rPr>
              <w:t>22</w:t>
            </w:r>
            <w:r w:rsidR="009E52A2" w:rsidRPr="00E775DB">
              <w:rPr>
                <w:rFonts w:ascii="Times New Roman" w:eastAsia="Times New Roman" w:hAnsi="Times New Roman" w:cs="Times New Roman"/>
                <w:color w:val="000000"/>
                <w:sz w:val="24"/>
                <w:szCs w:val="24"/>
                <w:lang w:eastAsia="lv-LV"/>
              </w:rPr>
              <w:t>.</w:t>
            </w:r>
            <w:r w:rsidR="004653D7"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decembra</w:t>
            </w:r>
            <w:r w:rsidR="009E52A2" w:rsidRPr="00E775DB">
              <w:rPr>
                <w:rFonts w:ascii="Times New Roman" w:eastAsia="Times New Roman" w:hAnsi="Times New Roman" w:cs="Times New Roman"/>
                <w:color w:val="000000"/>
                <w:sz w:val="24"/>
                <w:szCs w:val="24"/>
                <w:lang w:eastAsia="lv-LV"/>
              </w:rPr>
              <w:t xml:space="preserve"> normatīvos noteikumus Nr.</w:t>
            </w:r>
            <w:r w:rsidR="004653D7"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2</w:t>
            </w:r>
            <w:r w:rsidR="00CE123F">
              <w:rPr>
                <w:rFonts w:ascii="Times New Roman" w:eastAsia="Times New Roman" w:hAnsi="Times New Roman" w:cs="Times New Roman"/>
                <w:color w:val="000000"/>
                <w:sz w:val="24"/>
                <w:szCs w:val="24"/>
                <w:lang w:eastAsia="lv-LV"/>
              </w:rPr>
              <w:t>50</w:t>
            </w:r>
            <w:r w:rsidR="009E52A2" w:rsidRPr="00E775DB">
              <w:rPr>
                <w:rFonts w:ascii="Times New Roman" w:eastAsia="Times New Roman" w:hAnsi="Times New Roman" w:cs="Times New Roman"/>
                <w:color w:val="000000"/>
                <w:sz w:val="24"/>
                <w:szCs w:val="24"/>
                <w:lang w:eastAsia="lv-LV"/>
              </w:rPr>
              <w:t xml:space="preserve"> "</w:t>
            </w:r>
            <w:r w:rsidR="00CE123F" w:rsidRPr="00CE123F">
              <w:rPr>
                <w:rFonts w:ascii="Times New Roman" w:eastAsia="Times New Roman" w:hAnsi="Times New Roman" w:cs="Times New Roman"/>
                <w:color w:val="000000"/>
                <w:sz w:val="24"/>
                <w:szCs w:val="24"/>
                <w:lang w:eastAsia="lv-LV"/>
              </w:rPr>
              <w:t>Apdrošināšanas vai pārapdrošināšanas sabiedrības grupas maksātspējas aprēķina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2</w:t>
            </w:r>
            <w:r w:rsidR="00CE123F">
              <w:rPr>
                <w:rFonts w:ascii="Times New Roman" w:eastAsia="Times New Roman" w:hAnsi="Times New Roman" w:cs="Times New Roman"/>
                <w:color w:val="000000"/>
                <w:sz w:val="24"/>
                <w:szCs w:val="24"/>
                <w:lang w:eastAsia="lv-LV"/>
              </w:rPr>
              <w:t>50</w:t>
            </w:r>
            <w:r w:rsidR="00751877" w:rsidRPr="00E775DB">
              <w:rPr>
                <w:rFonts w:ascii="Times New Roman" w:eastAsia="Times New Roman" w:hAnsi="Times New Roman" w:cs="Times New Roman"/>
                <w:color w:val="000000"/>
                <w:sz w:val="24"/>
                <w:szCs w:val="24"/>
                <w:lang w:eastAsia="lv-LV"/>
              </w:rPr>
              <w:t>)</w:t>
            </w:r>
            <w:bookmarkEnd w:id="2"/>
            <w:r w:rsidR="00BF3F58" w:rsidRPr="00E775DB">
              <w:rPr>
                <w:rFonts w:ascii="Times New Roman" w:eastAsia="Times New Roman" w:hAnsi="Times New Roman" w:cs="Times New Roman"/>
                <w:color w:val="000000"/>
                <w:sz w:val="24"/>
                <w:szCs w:val="24"/>
                <w:lang w:eastAsia="lv-LV"/>
              </w:rPr>
              <w:t>.</w:t>
            </w:r>
          </w:p>
          <w:p w14:paraId="00DAE1EC" w14:textId="46167844" w:rsidR="00030E93" w:rsidRPr="00030E93" w:rsidRDefault="00030E93" w:rsidP="00222826">
            <w:pPr>
              <w:spacing w:after="120" w:line="240" w:lineRule="auto"/>
              <w:jc w:val="both"/>
              <w:rPr>
                <w:rFonts w:ascii="Times New Roman" w:eastAsia="Times New Roman" w:hAnsi="Times New Roman" w:cs="Times New Roman"/>
                <w:color w:val="000000"/>
                <w:sz w:val="24"/>
                <w:szCs w:val="24"/>
                <w:lang w:eastAsia="lv-LV"/>
              </w:rPr>
            </w:pPr>
            <w:bookmarkStart w:id="3" w:name="_Hlk165369027"/>
            <w:r w:rsidRPr="00030E93">
              <w:rPr>
                <w:rFonts w:ascii="Times New Roman" w:eastAsia="Times New Roman" w:hAnsi="Times New Roman" w:cs="Times New Roman"/>
                <w:color w:val="000000"/>
                <w:sz w:val="24"/>
                <w:szCs w:val="24"/>
                <w:lang w:eastAsia="lv-LV"/>
              </w:rPr>
              <w:t>Grupas maksātspējas aprēķinu grupas uzraudzības iestādei iesniedz šādas grupas uzraudzībai pakļautās sabiedrības:</w:t>
            </w:r>
          </w:p>
          <w:p w14:paraId="6819B927" w14:textId="24204AFA" w:rsidR="00030E93" w:rsidRPr="00030E93" w:rsidRDefault="00030E93" w:rsidP="0022282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 </w:t>
            </w:r>
            <w:r w:rsidRPr="00030E93">
              <w:rPr>
                <w:rFonts w:ascii="Times New Roman" w:eastAsia="Times New Roman" w:hAnsi="Times New Roman" w:cs="Times New Roman"/>
                <w:color w:val="000000"/>
                <w:sz w:val="24"/>
                <w:szCs w:val="24"/>
                <w:lang w:eastAsia="lv-LV"/>
              </w:rPr>
              <w:t xml:space="preserve">apdrošināšanas vai pārapdrošināšanas dalības sabiedrības, apdrošināšanas </w:t>
            </w:r>
            <w:proofErr w:type="spellStart"/>
            <w:r w:rsidRPr="00030E93">
              <w:rPr>
                <w:rFonts w:ascii="Times New Roman" w:eastAsia="Times New Roman" w:hAnsi="Times New Roman" w:cs="Times New Roman"/>
                <w:color w:val="000000"/>
                <w:sz w:val="24"/>
                <w:szCs w:val="24"/>
                <w:lang w:eastAsia="lv-LV"/>
              </w:rPr>
              <w:t>pārvaldītājsabiedrības</w:t>
            </w:r>
            <w:proofErr w:type="spellEnd"/>
            <w:r w:rsidRPr="00030E93">
              <w:rPr>
                <w:rFonts w:ascii="Times New Roman" w:eastAsia="Times New Roman" w:hAnsi="Times New Roman" w:cs="Times New Roman"/>
                <w:color w:val="000000"/>
                <w:sz w:val="24"/>
                <w:szCs w:val="24"/>
                <w:lang w:eastAsia="lv-LV"/>
              </w:rPr>
              <w:t xml:space="preserve"> vai jauktas finanšu </w:t>
            </w:r>
            <w:proofErr w:type="spellStart"/>
            <w:r w:rsidRPr="00030E93">
              <w:rPr>
                <w:rFonts w:ascii="Times New Roman" w:eastAsia="Times New Roman" w:hAnsi="Times New Roman" w:cs="Times New Roman"/>
                <w:color w:val="000000"/>
                <w:sz w:val="24"/>
                <w:szCs w:val="24"/>
                <w:lang w:eastAsia="lv-LV"/>
              </w:rPr>
              <w:t>pārvaldītājsabiedrības</w:t>
            </w:r>
            <w:proofErr w:type="spellEnd"/>
            <w:r w:rsidRPr="00030E93">
              <w:rPr>
                <w:rFonts w:ascii="Times New Roman" w:eastAsia="Times New Roman" w:hAnsi="Times New Roman" w:cs="Times New Roman"/>
                <w:color w:val="000000"/>
                <w:sz w:val="24"/>
                <w:szCs w:val="24"/>
                <w:lang w:eastAsia="lv-LV"/>
              </w:rPr>
              <w:t>, kuras ir grupas mātes sabiedrības saskaņā ar Apdrošināšanas un pārapdrošināšanas likuma 197.</w:t>
            </w:r>
            <w:r w:rsidR="00454F31">
              <w:rPr>
                <w:rFonts w:ascii="Times New Roman" w:eastAsia="Times New Roman" w:hAnsi="Times New Roman" w:cs="Times New Roman"/>
                <w:color w:val="000000"/>
                <w:sz w:val="24"/>
                <w:szCs w:val="24"/>
                <w:lang w:eastAsia="lv-LV"/>
              </w:rPr>
              <w:t> </w:t>
            </w:r>
            <w:r w:rsidRPr="00030E93">
              <w:rPr>
                <w:rFonts w:ascii="Times New Roman" w:eastAsia="Times New Roman" w:hAnsi="Times New Roman" w:cs="Times New Roman"/>
                <w:color w:val="000000"/>
                <w:sz w:val="24"/>
                <w:szCs w:val="24"/>
                <w:lang w:eastAsia="lv-LV"/>
              </w:rPr>
              <w:t>panta un XXVIII</w:t>
            </w:r>
            <w:r w:rsidR="00454F31">
              <w:rPr>
                <w:rFonts w:ascii="Times New Roman" w:eastAsia="Times New Roman" w:hAnsi="Times New Roman" w:cs="Times New Roman"/>
                <w:color w:val="000000"/>
                <w:sz w:val="24"/>
                <w:szCs w:val="24"/>
                <w:lang w:eastAsia="lv-LV"/>
              </w:rPr>
              <w:t> </w:t>
            </w:r>
            <w:r w:rsidRPr="00030E93">
              <w:rPr>
                <w:rFonts w:ascii="Times New Roman" w:eastAsia="Times New Roman" w:hAnsi="Times New Roman" w:cs="Times New Roman"/>
                <w:color w:val="000000"/>
                <w:sz w:val="24"/>
                <w:szCs w:val="24"/>
                <w:lang w:eastAsia="lv-LV"/>
              </w:rPr>
              <w:t>nodaļas prasībām;</w:t>
            </w:r>
          </w:p>
          <w:p w14:paraId="340FED56" w14:textId="70CD5A8A" w:rsidR="00030E93" w:rsidRDefault="00030E93" w:rsidP="0022282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w:t>
            </w:r>
            <w:r w:rsidRPr="00030E93">
              <w:rPr>
                <w:rFonts w:ascii="Times New Roman" w:eastAsia="Times New Roman" w:hAnsi="Times New Roman" w:cs="Times New Roman"/>
                <w:color w:val="000000"/>
                <w:sz w:val="24"/>
                <w:szCs w:val="24"/>
                <w:lang w:eastAsia="lv-LV"/>
              </w:rPr>
              <w:t xml:space="preserve"> sabiedrības, kuru mātes sabiedrība ir ārvalstī reģistrēta apdrošināšanas </w:t>
            </w:r>
            <w:proofErr w:type="spellStart"/>
            <w:r w:rsidRPr="00030E93">
              <w:rPr>
                <w:rFonts w:ascii="Times New Roman" w:eastAsia="Times New Roman" w:hAnsi="Times New Roman" w:cs="Times New Roman"/>
                <w:color w:val="000000"/>
                <w:sz w:val="24"/>
                <w:szCs w:val="24"/>
                <w:lang w:eastAsia="lv-LV"/>
              </w:rPr>
              <w:t>pārvaldītājsabiedrība</w:t>
            </w:r>
            <w:proofErr w:type="spellEnd"/>
            <w:r w:rsidRPr="00030E93">
              <w:rPr>
                <w:rFonts w:ascii="Times New Roman" w:eastAsia="Times New Roman" w:hAnsi="Times New Roman" w:cs="Times New Roman"/>
                <w:color w:val="000000"/>
                <w:sz w:val="24"/>
                <w:szCs w:val="24"/>
                <w:lang w:eastAsia="lv-LV"/>
              </w:rPr>
              <w:t xml:space="preserve"> vai jaukta finanšu </w:t>
            </w:r>
            <w:proofErr w:type="spellStart"/>
            <w:r w:rsidRPr="00030E93">
              <w:rPr>
                <w:rFonts w:ascii="Times New Roman" w:eastAsia="Times New Roman" w:hAnsi="Times New Roman" w:cs="Times New Roman"/>
                <w:color w:val="000000"/>
                <w:sz w:val="24"/>
                <w:szCs w:val="24"/>
                <w:lang w:eastAsia="lv-LV"/>
              </w:rPr>
              <w:t>pārvaldītājsabiedrība</w:t>
            </w:r>
            <w:proofErr w:type="spellEnd"/>
            <w:r w:rsidRPr="00030E93">
              <w:rPr>
                <w:rFonts w:ascii="Times New Roman" w:eastAsia="Times New Roman" w:hAnsi="Times New Roman" w:cs="Times New Roman"/>
                <w:color w:val="000000"/>
                <w:sz w:val="24"/>
                <w:szCs w:val="24"/>
                <w:lang w:eastAsia="lv-LV"/>
              </w:rPr>
              <w:t xml:space="preserve">, ārvalsts apdrošinātājs vai ārvalsts </w:t>
            </w:r>
            <w:proofErr w:type="spellStart"/>
            <w:r w:rsidRPr="00030E93">
              <w:rPr>
                <w:rFonts w:ascii="Times New Roman" w:eastAsia="Times New Roman" w:hAnsi="Times New Roman" w:cs="Times New Roman"/>
                <w:color w:val="000000"/>
                <w:sz w:val="24"/>
                <w:szCs w:val="24"/>
                <w:lang w:eastAsia="lv-LV"/>
              </w:rPr>
              <w:t>pārapdrošinātājs</w:t>
            </w:r>
            <w:proofErr w:type="spellEnd"/>
            <w:r w:rsidRPr="00030E93">
              <w:rPr>
                <w:rFonts w:ascii="Times New Roman" w:eastAsia="Times New Roman" w:hAnsi="Times New Roman" w:cs="Times New Roman"/>
                <w:color w:val="000000"/>
                <w:sz w:val="24"/>
                <w:szCs w:val="24"/>
                <w:lang w:eastAsia="lv-LV"/>
              </w:rPr>
              <w:t xml:space="preserve"> ar nosacījumu, ka</w:t>
            </w:r>
            <w:r>
              <w:rPr>
                <w:rFonts w:ascii="Times New Roman" w:eastAsia="Times New Roman" w:hAnsi="Times New Roman" w:cs="Times New Roman"/>
                <w:color w:val="000000"/>
                <w:sz w:val="24"/>
                <w:szCs w:val="24"/>
                <w:lang w:eastAsia="lv-LV"/>
              </w:rPr>
              <w:t xml:space="preserve"> </w:t>
            </w:r>
            <w:r w:rsidRPr="00030E93">
              <w:rPr>
                <w:rFonts w:ascii="Times New Roman" w:eastAsia="Times New Roman" w:hAnsi="Times New Roman" w:cs="Times New Roman"/>
                <w:color w:val="000000"/>
                <w:sz w:val="24"/>
                <w:szCs w:val="24"/>
                <w:lang w:eastAsia="lv-LV"/>
              </w:rPr>
              <w:t xml:space="preserve">Eiropas Komisija </w:t>
            </w:r>
            <w:r>
              <w:rPr>
                <w:rFonts w:ascii="Times New Roman" w:eastAsia="Times New Roman" w:hAnsi="Times New Roman" w:cs="Times New Roman"/>
                <w:color w:val="000000"/>
                <w:sz w:val="24"/>
                <w:szCs w:val="24"/>
                <w:lang w:eastAsia="lv-LV"/>
              </w:rPr>
              <w:t xml:space="preserve">vai </w:t>
            </w:r>
            <w:r w:rsidRPr="00030E93">
              <w:rPr>
                <w:rFonts w:ascii="Times New Roman" w:eastAsia="Times New Roman" w:hAnsi="Times New Roman" w:cs="Times New Roman"/>
                <w:color w:val="000000"/>
                <w:sz w:val="24"/>
                <w:szCs w:val="24"/>
                <w:lang w:eastAsia="lv-LV"/>
              </w:rPr>
              <w:t>grupas uzraudzības iestāde grupas uzraudzības piemērošanas vajadzībām nav atzinusi ārvalstī reģistrētas mātes sabiedrības uzraudzības režīma līdzvērtību vai pagaidu līdzvērtību Eiropas Savienības prasībām</w:t>
            </w:r>
            <w:r>
              <w:rPr>
                <w:rFonts w:ascii="Times New Roman" w:eastAsia="Times New Roman" w:hAnsi="Times New Roman" w:cs="Times New Roman"/>
                <w:color w:val="000000"/>
                <w:sz w:val="24"/>
                <w:szCs w:val="24"/>
                <w:lang w:eastAsia="lv-LV"/>
              </w:rPr>
              <w:t xml:space="preserve"> vai </w:t>
            </w:r>
            <w:r w:rsidRPr="00030E93">
              <w:rPr>
                <w:rFonts w:ascii="Times New Roman" w:eastAsia="Times New Roman" w:hAnsi="Times New Roman" w:cs="Times New Roman"/>
                <w:color w:val="000000"/>
                <w:sz w:val="24"/>
                <w:szCs w:val="24"/>
                <w:lang w:eastAsia="lv-LV"/>
              </w:rPr>
              <w:t>Eiropas Komisija ir pieņēmusi lēmumu par ārvalsts uzraudzības režīma pagaidu līdzvērtību Eiropas Savienības prasībām, bet Latvijas Republikā reģistrētas sabiedrības bilances summa pārsniedz ārvalstī reģistrētas mātes sabiedrības bilances summu.</w:t>
            </w:r>
          </w:p>
          <w:p w14:paraId="5BF24571" w14:textId="5C5E9891" w:rsidR="00BF3F58" w:rsidRPr="00E775DB" w:rsidRDefault="00D33B79" w:rsidP="00222826">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Saskaņā ar </w:t>
            </w:r>
            <w:r w:rsidR="00BF3F58" w:rsidRPr="00E775DB">
              <w:rPr>
                <w:rFonts w:ascii="Times New Roman" w:eastAsia="Times New Roman" w:hAnsi="Times New Roman" w:cs="Times New Roman"/>
                <w:color w:val="000000"/>
                <w:sz w:val="24"/>
                <w:szCs w:val="24"/>
                <w:lang w:eastAsia="lv-LV"/>
              </w:rPr>
              <w:t>Apdrošināšanas un pārapdrošināšanas likuma 4</w:t>
            </w:r>
            <w:r w:rsidR="0061416F" w:rsidRPr="00E775DB">
              <w:rPr>
                <w:rFonts w:ascii="Times New Roman" w:eastAsia="Times New Roman" w:hAnsi="Times New Roman" w:cs="Times New Roman"/>
                <w:color w:val="000000"/>
                <w:sz w:val="24"/>
                <w:szCs w:val="24"/>
                <w:lang w:eastAsia="lv-LV"/>
              </w:rPr>
              <w:t>0</w:t>
            </w:r>
            <w:r w:rsidR="00BF3F58" w:rsidRPr="00E775DB">
              <w:rPr>
                <w:rFonts w:ascii="Times New Roman" w:eastAsia="Times New Roman" w:hAnsi="Times New Roman" w:cs="Times New Roman"/>
                <w:color w:val="000000"/>
                <w:sz w:val="24"/>
                <w:szCs w:val="24"/>
                <w:lang w:eastAsia="lv-LV"/>
              </w:rPr>
              <w:t>.</w:t>
            </w:r>
            <w:r w:rsidR="00B917A7" w:rsidRPr="00E775DB">
              <w:rPr>
                <w:rFonts w:ascii="Times New Roman" w:eastAsia="Times New Roman" w:hAnsi="Times New Roman" w:cs="Times New Roman"/>
                <w:color w:val="000000"/>
                <w:sz w:val="24"/>
                <w:szCs w:val="24"/>
                <w:lang w:eastAsia="lv-LV"/>
              </w:rPr>
              <w:t> </w:t>
            </w:r>
            <w:r w:rsidR="00BF3F58" w:rsidRPr="00E775DB">
              <w:rPr>
                <w:rFonts w:ascii="Times New Roman" w:eastAsia="Times New Roman" w:hAnsi="Times New Roman" w:cs="Times New Roman"/>
                <w:color w:val="000000"/>
                <w:sz w:val="24"/>
                <w:szCs w:val="24"/>
                <w:lang w:eastAsia="lv-LV"/>
              </w:rPr>
              <w:t xml:space="preserve">panta </w:t>
            </w:r>
            <w:r w:rsidR="0061416F" w:rsidRPr="00E775DB">
              <w:rPr>
                <w:rFonts w:ascii="Times New Roman" w:eastAsia="Times New Roman" w:hAnsi="Times New Roman" w:cs="Times New Roman"/>
                <w:color w:val="000000"/>
                <w:sz w:val="24"/>
                <w:szCs w:val="24"/>
                <w:lang w:eastAsia="lv-LV"/>
              </w:rPr>
              <w:t>sest</w:t>
            </w:r>
            <w:r w:rsidRPr="00E775DB">
              <w:rPr>
                <w:rFonts w:ascii="Times New Roman" w:eastAsia="Times New Roman" w:hAnsi="Times New Roman" w:cs="Times New Roman"/>
                <w:color w:val="000000"/>
                <w:sz w:val="24"/>
                <w:szCs w:val="24"/>
                <w:lang w:eastAsia="lv-LV"/>
              </w:rPr>
              <w:t>o</w:t>
            </w:r>
            <w:r w:rsidR="00BF3F58" w:rsidRPr="00E775DB">
              <w:rPr>
                <w:rFonts w:ascii="Times New Roman" w:eastAsia="Times New Roman" w:hAnsi="Times New Roman" w:cs="Times New Roman"/>
                <w:color w:val="000000"/>
                <w:sz w:val="24"/>
                <w:szCs w:val="24"/>
                <w:lang w:eastAsia="lv-LV"/>
              </w:rPr>
              <w:t xml:space="preserve"> daļ</w:t>
            </w:r>
            <w:r w:rsidRPr="00E775DB">
              <w:rPr>
                <w:rFonts w:ascii="Times New Roman" w:eastAsia="Times New Roman" w:hAnsi="Times New Roman" w:cs="Times New Roman"/>
                <w:color w:val="000000"/>
                <w:sz w:val="24"/>
                <w:szCs w:val="24"/>
                <w:lang w:eastAsia="lv-LV"/>
              </w:rPr>
              <w:t>u</w:t>
            </w:r>
            <w:r w:rsidR="00646AD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lai nodrošinātu dalībvalstīs vienotu, efektīvu un konstruktīvu uzraudzības praksi un vienveidīgu un konsekventu tieši piemērojamo Eiropas Savienības tiesību aktu piemērošanu, </w:t>
            </w:r>
            <w:r w:rsidR="00646AD1" w:rsidRPr="00E775DB">
              <w:rPr>
                <w:rFonts w:ascii="Times New Roman" w:eastAsia="Times New Roman" w:hAnsi="Times New Roman" w:cs="Times New Roman"/>
                <w:color w:val="000000"/>
                <w:sz w:val="24"/>
                <w:szCs w:val="24"/>
                <w:lang w:eastAsia="lv-LV"/>
              </w:rPr>
              <w:t>Latvijas Banka</w:t>
            </w:r>
            <w:r w:rsidR="0002646F" w:rsidRPr="00E775DB">
              <w:rPr>
                <w:rFonts w:ascii="Times New Roman" w:eastAsia="Times New Roman" w:hAnsi="Times New Roman" w:cs="Times New Roman"/>
                <w:color w:val="000000"/>
                <w:sz w:val="24"/>
                <w:szCs w:val="24"/>
                <w:lang w:eastAsia="lv-LV"/>
              </w:rPr>
              <w:t>i</w:t>
            </w:r>
            <w:r w:rsidR="00646AD1" w:rsidRPr="00E775DB">
              <w:rPr>
                <w:rFonts w:ascii="Times New Roman" w:eastAsia="Times New Roman" w:hAnsi="Times New Roman" w:cs="Times New Roman"/>
                <w:color w:val="000000"/>
                <w:sz w:val="24"/>
                <w:szCs w:val="24"/>
                <w:lang w:eastAsia="lv-LV"/>
              </w:rPr>
              <w:t xml:space="preserve"> ir</w:t>
            </w:r>
            <w:r w:rsidR="0061416F" w:rsidRPr="00E775DB">
              <w:rPr>
                <w:rFonts w:ascii="Times New Roman" w:eastAsia="Times New Roman" w:hAnsi="Times New Roman" w:cs="Times New Roman"/>
                <w:color w:val="000000"/>
                <w:sz w:val="24"/>
                <w:szCs w:val="24"/>
                <w:lang w:eastAsia="lv-LV"/>
              </w:rPr>
              <w:t xml:space="preserve"> tiesības noteikt apdrošināšanas un pārapdrošināšanas jomu regulējošās prasības, kas izriet no Eiropas </w:t>
            </w:r>
            <w:r w:rsidR="0061416F" w:rsidRPr="00E775DB">
              <w:rPr>
                <w:rFonts w:ascii="Times New Roman" w:eastAsia="Times New Roman" w:hAnsi="Times New Roman" w:cs="Times New Roman"/>
                <w:color w:val="000000"/>
                <w:sz w:val="24"/>
                <w:szCs w:val="24"/>
                <w:lang w:eastAsia="lv-LV"/>
              </w:rPr>
              <w:lastRenderedPageBreak/>
              <w:t>Apdrošināšanas un aroda pensiju iestādes (turpmāk – EAAPI) pieņemtajām pamatnostādnēm</w:t>
            </w:r>
            <w:r w:rsidR="00BF3F58" w:rsidRPr="00E775DB">
              <w:rPr>
                <w:rFonts w:ascii="Times New Roman" w:eastAsia="Times New Roman" w:hAnsi="Times New Roman" w:cs="Times New Roman"/>
                <w:color w:val="000000"/>
                <w:sz w:val="24"/>
                <w:szCs w:val="24"/>
                <w:lang w:eastAsia="lv-LV"/>
              </w:rPr>
              <w:t>.</w:t>
            </w:r>
          </w:p>
          <w:p w14:paraId="341892F1" w14:textId="7851761A" w:rsidR="0003113C" w:rsidRDefault="00BF3F58" w:rsidP="00222826">
            <w:pPr>
              <w:pStyle w:val="Heading2"/>
              <w:tabs>
                <w:tab w:val="clear" w:pos="576"/>
                <w:tab w:val="num" w:pos="0"/>
              </w:tabs>
              <w:spacing w:after="120"/>
              <w:ind w:left="0" w:firstLine="0"/>
              <w:rPr>
                <w:rFonts w:eastAsia="Times New Roman"/>
                <w:lang w:val="lv-LV" w:eastAsia="lv-LV"/>
              </w:rPr>
            </w:pPr>
            <w:r w:rsidRPr="00BF3F58">
              <w:rPr>
                <w:rFonts w:eastAsia="Times New Roman"/>
                <w:lang w:val="lv-LV" w:eastAsia="lv-LV"/>
              </w:rPr>
              <w:t>Apdrošināšanas un pārapdrošināšanas likuma</w:t>
            </w:r>
            <w:r w:rsidR="006C3828" w:rsidRPr="00894D21">
              <w:rPr>
                <w:rFonts w:eastAsia="Times New Roman"/>
                <w:lang w:val="lv-LV" w:eastAsia="lv-LV"/>
              </w:rPr>
              <w:t xml:space="preserve"> </w:t>
            </w:r>
            <w:r w:rsidR="00CE123F">
              <w:rPr>
                <w:rFonts w:eastAsia="Times New Roman"/>
                <w:lang w:val="lv-LV" w:eastAsia="lv-LV"/>
              </w:rPr>
              <w:t>205</w:t>
            </w:r>
            <w:r w:rsidRPr="00BF3F58">
              <w:rPr>
                <w:rFonts w:eastAsia="Times New Roman"/>
                <w:lang w:val="lv-LV" w:eastAsia="lv-LV"/>
              </w:rPr>
              <w:t>.</w:t>
            </w:r>
            <w:r w:rsidR="00B917A7">
              <w:rPr>
                <w:rFonts w:eastAsia="Times New Roman"/>
                <w:lang w:val="lv-LV" w:eastAsia="lv-LV"/>
              </w:rPr>
              <w:t> </w:t>
            </w:r>
            <w:r w:rsidRPr="00BF3F58">
              <w:rPr>
                <w:rFonts w:eastAsia="Times New Roman"/>
                <w:lang w:val="lv-LV" w:eastAsia="lv-LV"/>
              </w:rPr>
              <w:t>pant</w:t>
            </w:r>
            <w:r w:rsidR="00CE123F">
              <w:rPr>
                <w:rFonts w:eastAsia="Times New Roman"/>
                <w:lang w:val="lv-LV" w:eastAsia="lv-LV"/>
              </w:rPr>
              <w:t>a ceturtā daļa</w:t>
            </w:r>
            <w:r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FA0E62">
              <w:rPr>
                <w:rFonts w:eastAsia="Times New Roman"/>
                <w:lang w:val="lv-LV" w:eastAsia="lv-LV"/>
              </w:rPr>
              <w:t>grupas uzraudzībai pakļautām sabiedrībām</w:t>
            </w:r>
            <w:r w:rsidR="002866A5">
              <w:rPr>
                <w:rFonts w:eastAsia="Times New Roman"/>
                <w:lang w:val="lv-LV" w:eastAsia="lv-LV"/>
              </w:rPr>
              <w:t xml:space="preserve"> </w:t>
            </w:r>
            <w:r w:rsidR="00FA0E62">
              <w:rPr>
                <w:rFonts w:eastAsia="Times New Roman"/>
                <w:lang w:val="lv-LV" w:eastAsia="lv-LV"/>
              </w:rPr>
              <w:t>g</w:t>
            </w:r>
            <w:r w:rsidR="00CE123F" w:rsidRPr="00CE123F">
              <w:rPr>
                <w:rFonts w:eastAsia="Times New Roman"/>
                <w:lang w:val="lv-LV" w:eastAsia="lv-LV"/>
              </w:rPr>
              <w:t>rupas maksātspējas aprēķina metodes, to izvēli, vispārīgos principus un aprēķina metožu piemērošanu</w:t>
            </w:r>
            <w:r w:rsidR="00FA0E62">
              <w:rPr>
                <w:rFonts w:eastAsia="Times New Roman"/>
                <w:lang w:val="lv-LV" w:eastAsia="lv-LV"/>
              </w:rPr>
              <w:t>.</w:t>
            </w:r>
            <w:r w:rsidR="00FD0353">
              <w:rPr>
                <w:rFonts w:eastAsia="Times New Roman"/>
                <w:lang w:val="lv-LV" w:eastAsia="lv-LV"/>
              </w:rPr>
              <w:t xml:space="preserve"> Savukārt </w:t>
            </w:r>
            <w:r w:rsidR="00FD0353" w:rsidRPr="00BF3F58">
              <w:rPr>
                <w:rFonts w:eastAsia="Times New Roman"/>
                <w:lang w:val="lv-LV" w:eastAsia="lv-LV"/>
              </w:rPr>
              <w:t>Apdrošināšanas un pārapdrošināšanas likuma</w:t>
            </w:r>
            <w:r w:rsidR="00FD0353" w:rsidRPr="00894D21">
              <w:rPr>
                <w:rFonts w:eastAsia="Times New Roman"/>
                <w:lang w:val="lv-LV" w:eastAsia="lv-LV"/>
              </w:rPr>
              <w:t xml:space="preserve"> </w:t>
            </w:r>
            <w:r w:rsidR="00FD0353">
              <w:rPr>
                <w:rFonts w:eastAsia="Times New Roman"/>
                <w:lang w:val="lv-LV" w:eastAsia="lv-LV"/>
              </w:rPr>
              <w:t>204</w:t>
            </w:r>
            <w:r w:rsidR="00FD0353" w:rsidRPr="00BF3F58">
              <w:rPr>
                <w:rFonts w:eastAsia="Times New Roman"/>
                <w:lang w:val="lv-LV" w:eastAsia="lv-LV"/>
              </w:rPr>
              <w:t>.</w:t>
            </w:r>
            <w:r w:rsidR="00FD0353">
              <w:rPr>
                <w:rFonts w:eastAsia="Times New Roman"/>
                <w:lang w:val="lv-LV" w:eastAsia="lv-LV"/>
              </w:rPr>
              <w:t> </w:t>
            </w:r>
            <w:r w:rsidR="00FD0353" w:rsidRPr="00BF3F58">
              <w:rPr>
                <w:rFonts w:eastAsia="Times New Roman"/>
                <w:lang w:val="lv-LV" w:eastAsia="lv-LV"/>
              </w:rPr>
              <w:t>pant</w:t>
            </w:r>
            <w:r w:rsidR="00FD0353">
              <w:rPr>
                <w:rFonts w:eastAsia="Times New Roman"/>
                <w:lang w:val="lv-LV" w:eastAsia="lv-LV"/>
              </w:rPr>
              <w:t>a pirmā daļa</w:t>
            </w:r>
            <w:r w:rsidR="00FD0353" w:rsidRPr="00BF3F58">
              <w:rPr>
                <w:rFonts w:eastAsia="Times New Roman"/>
                <w:lang w:val="lv-LV" w:eastAsia="lv-LV"/>
              </w:rPr>
              <w:t xml:space="preserve"> </w:t>
            </w:r>
            <w:r w:rsidR="00FD0353">
              <w:rPr>
                <w:rFonts w:eastAsia="Times New Roman"/>
                <w:lang w:val="lv-LV" w:eastAsia="lv-LV"/>
              </w:rPr>
              <w:t>paredz</w:t>
            </w:r>
            <w:r w:rsidR="00FD0353" w:rsidRPr="00894D21">
              <w:rPr>
                <w:rFonts w:eastAsia="Times New Roman"/>
                <w:lang w:val="lv-LV" w:eastAsia="lv-LV"/>
              </w:rPr>
              <w:t xml:space="preserve"> Latvijas Bankai </w:t>
            </w:r>
            <w:r w:rsidR="00FD0353">
              <w:rPr>
                <w:rFonts w:eastAsia="Times New Roman"/>
                <w:lang w:val="lv-LV" w:eastAsia="lv-LV"/>
              </w:rPr>
              <w:t>pienākumu</w:t>
            </w:r>
            <w:r w:rsidR="00FD0353" w:rsidRPr="00894D21">
              <w:rPr>
                <w:rFonts w:eastAsia="Times New Roman"/>
                <w:lang w:val="lv-LV" w:eastAsia="lv-LV"/>
              </w:rPr>
              <w:t xml:space="preserve"> noteikt </w:t>
            </w:r>
            <w:r w:rsidR="00FD0353" w:rsidRPr="00FD0353">
              <w:rPr>
                <w:rFonts w:eastAsia="Times New Roman"/>
                <w:lang w:val="lv-LV" w:eastAsia="lv-LV"/>
              </w:rPr>
              <w:t>grupas maksātspējas aprēķina biežumu un kārtību</w:t>
            </w:r>
            <w:r w:rsidR="00FD0353">
              <w:rPr>
                <w:rFonts w:eastAsia="Times New Roman"/>
                <w:lang w:val="lv-LV" w:eastAsia="lv-LV"/>
              </w:rPr>
              <w:t>.</w:t>
            </w:r>
          </w:p>
          <w:bookmarkEnd w:id="3"/>
          <w:p w14:paraId="535A35DB" w14:textId="58D9C3DE" w:rsidR="00F72657" w:rsidRDefault="00FE78D9" w:rsidP="000E1BB4">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lai nodrošinātu </w:t>
            </w:r>
            <w:r w:rsidR="00FC2085">
              <w:rPr>
                <w:rFonts w:ascii="Times New Roman" w:eastAsia="Times New Roman" w:hAnsi="Times New Roman" w:cs="Times New Roman"/>
                <w:color w:val="000000"/>
                <w:sz w:val="24"/>
                <w:szCs w:val="24"/>
                <w:lang w:eastAsia="lv-LV"/>
              </w:rPr>
              <w:t xml:space="preserve">finanšu </w:t>
            </w:r>
            <w:r w:rsidRPr="00FE78D9">
              <w:rPr>
                <w:rFonts w:ascii="Times New Roman" w:eastAsia="Times New Roman" w:hAnsi="Times New Roman" w:cs="Times New Roman"/>
                <w:color w:val="000000"/>
                <w:sz w:val="24"/>
                <w:szCs w:val="24"/>
                <w:lang w:eastAsia="lv-LV"/>
              </w:rPr>
              <w:t xml:space="preserve">tirgus dalībnieku vienotu izpratni par </w:t>
            </w:r>
            <w:r w:rsidR="00FA0E62" w:rsidRPr="00FA0E62">
              <w:rPr>
                <w:rFonts w:ascii="Times New Roman" w:eastAsia="Times New Roman" w:hAnsi="Times New Roman" w:cs="Times New Roman"/>
                <w:color w:val="000000"/>
                <w:sz w:val="24"/>
                <w:szCs w:val="24"/>
                <w:lang w:eastAsia="lv-LV"/>
              </w:rPr>
              <w:t>grupas uzraudzībai pakļautu sabiedrību</w:t>
            </w:r>
            <w:r w:rsidRPr="00FE78D9">
              <w:rPr>
                <w:rFonts w:ascii="Times New Roman" w:eastAsia="Times New Roman" w:hAnsi="Times New Roman" w:cs="Times New Roman"/>
                <w:color w:val="000000"/>
                <w:sz w:val="24"/>
                <w:szCs w:val="24"/>
                <w:lang w:eastAsia="lv-LV"/>
              </w:rPr>
              <w:t xml:space="preserve"> </w:t>
            </w:r>
            <w:r w:rsidR="00FA0E62">
              <w:rPr>
                <w:rFonts w:ascii="Times New Roman" w:eastAsia="Times New Roman" w:hAnsi="Times New Roman" w:cs="Times New Roman"/>
                <w:color w:val="000000"/>
                <w:sz w:val="24"/>
                <w:szCs w:val="24"/>
                <w:lang w:eastAsia="lv-LV"/>
              </w:rPr>
              <w:t xml:space="preserve">grupas </w:t>
            </w:r>
            <w:r w:rsidRPr="00FE78D9">
              <w:rPr>
                <w:rFonts w:ascii="Times New Roman" w:eastAsia="Times New Roman" w:hAnsi="Times New Roman" w:cs="Times New Roman"/>
                <w:color w:val="000000"/>
                <w:sz w:val="24"/>
                <w:szCs w:val="24"/>
                <w:lang w:eastAsia="lv-LV"/>
              </w:rPr>
              <w:t xml:space="preserve">maksātspējas kapitāla prasības un </w:t>
            </w:r>
            <w:r w:rsidR="00FA0E62">
              <w:rPr>
                <w:rFonts w:ascii="Times New Roman" w:eastAsia="Times New Roman" w:hAnsi="Times New Roman" w:cs="Times New Roman"/>
                <w:color w:val="000000"/>
                <w:sz w:val="24"/>
                <w:szCs w:val="24"/>
                <w:lang w:eastAsia="lv-LV"/>
              </w:rPr>
              <w:t xml:space="preserve">grupas </w:t>
            </w:r>
            <w:r w:rsidRPr="00FE78D9">
              <w:rPr>
                <w:rFonts w:ascii="Times New Roman" w:eastAsia="Times New Roman" w:hAnsi="Times New Roman" w:cs="Times New Roman"/>
                <w:color w:val="000000"/>
                <w:sz w:val="24"/>
                <w:szCs w:val="24"/>
                <w:lang w:eastAsia="lv-LV"/>
              </w:rPr>
              <w:t>pašu kapitāla aprēķina kārtību, tādējādi veicinot apdrošinājuma ņēmēju aizsardzību.</w:t>
            </w:r>
          </w:p>
          <w:p w14:paraId="314AC629" w14:textId="585D00F3" w:rsidR="006B66F5" w:rsidRDefault="00F72657" w:rsidP="000E1BB4">
            <w:pPr>
              <w:spacing w:line="240" w:lineRule="auto"/>
              <w:jc w:val="both"/>
              <w:rPr>
                <w:rFonts w:ascii="Times New Roman" w:eastAsia="Times New Roman" w:hAnsi="Times New Roman" w:cs="Times New Roman"/>
                <w:color w:val="000000"/>
                <w:sz w:val="24"/>
                <w:szCs w:val="24"/>
                <w:lang w:eastAsia="lv-LV"/>
              </w:rPr>
            </w:pPr>
            <w:r w:rsidRPr="00F72657">
              <w:rPr>
                <w:rFonts w:ascii="Times New Roman" w:eastAsia="Times New Roman" w:hAnsi="Times New Roman" w:cs="Times New Roman"/>
                <w:color w:val="000000"/>
                <w:sz w:val="24"/>
                <w:szCs w:val="24"/>
                <w:lang w:eastAsia="lv-LV"/>
              </w:rPr>
              <w:t xml:space="preserve">Noteikumu projekts izstrādāts ar mērķi noteikt </w:t>
            </w:r>
            <w:r w:rsidR="00FA0E62" w:rsidRPr="00FA0E62">
              <w:rPr>
                <w:rFonts w:ascii="Times New Roman" w:eastAsia="Times New Roman" w:hAnsi="Times New Roman" w:cs="Times New Roman"/>
                <w:color w:val="000000"/>
                <w:sz w:val="24"/>
                <w:szCs w:val="24"/>
                <w:lang w:eastAsia="lv-LV"/>
              </w:rPr>
              <w:t>grupas uzraudzībai pakļautu sabiedrību</w:t>
            </w:r>
            <w:r w:rsidRPr="00F72657">
              <w:rPr>
                <w:rFonts w:ascii="Times New Roman" w:eastAsia="Times New Roman" w:hAnsi="Times New Roman" w:cs="Times New Roman"/>
                <w:color w:val="000000"/>
                <w:sz w:val="24"/>
                <w:szCs w:val="24"/>
                <w:lang w:eastAsia="lv-LV"/>
              </w:rPr>
              <w:t xml:space="preserve"> </w:t>
            </w:r>
            <w:r w:rsidR="00FA0E62">
              <w:rPr>
                <w:rFonts w:ascii="Times New Roman" w:eastAsia="Times New Roman" w:hAnsi="Times New Roman" w:cs="Times New Roman"/>
                <w:color w:val="000000"/>
                <w:sz w:val="24"/>
                <w:szCs w:val="24"/>
                <w:lang w:eastAsia="lv-LV"/>
              </w:rPr>
              <w:t xml:space="preserve">grupas </w:t>
            </w:r>
            <w:r w:rsidRPr="00F72657">
              <w:rPr>
                <w:rFonts w:ascii="Times New Roman" w:eastAsia="Times New Roman" w:hAnsi="Times New Roman" w:cs="Times New Roman"/>
                <w:color w:val="000000"/>
                <w:sz w:val="24"/>
                <w:szCs w:val="24"/>
                <w:lang w:eastAsia="lv-LV"/>
              </w:rPr>
              <w:t xml:space="preserve">kapitāla pietiekamības aprēķināšanas kārtību, tādējādi nodrošinot </w:t>
            </w:r>
            <w:r w:rsidR="00A82745" w:rsidRPr="00A82745">
              <w:rPr>
                <w:rFonts w:ascii="Times New Roman" w:eastAsia="Times New Roman" w:hAnsi="Times New Roman" w:cs="Times New Roman"/>
                <w:color w:val="000000"/>
                <w:sz w:val="24"/>
                <w:szCs w:val="24"/>
                <w:lang w:eastAsia="lv-LV"/>
              </w:rPr>
              <w:t>Eiropas Parlamenta un Padomes 2009.</w:t>
            </w:r>
            <w:r w:rsidR="00A82745">
              <w:rPr>
                <w:rFonts w:ascii="Times New Roman" w:eastAsia="Times New Roman" w:hAnsi="Times New Roman" w:cs="Times New Roman"/>
                <w:color w:val="000000"/>
                <w:sz w:val="24"/>
                <w:szCs w:val="24"/>
                <w:lang w:eastAsia="lv-LV"/>
              </w:rPr>
              <w:t> </w:t>
            </w:r>
            <w:r w:rsidR="00A82745" w:rsidRPr="00A82745">
              <w:rPr>
                <w:rFonts w:ascii="Times New Roman" w:eastAsia="Times New Roman" w:hAnsi="Times New Roman" w:cs="Times New Roman"/>
                <w:color w:val="000000"/>
                <w:sz w:val="24"/>
                <w:szCs w:val="24"/>
                <w:lang w:eastAsia="lv-LV"/>
              </w:rPr>
              <w:t>gada 25.</w:t>
            </w:r>
            <w:r w:rsidR="00A82745">
              <w:rPr>
                <w:rFonts w:ascii="Times New Roman" w:eastAsia="Times New Roman" w:hAnsi="Times New Roman" w:cs="Times New Roman"/>
                <w:color w:val="000000"/>
                <w:sz w:val="24"/>
                <w:szCs w:val="24"/>
                <w:lang w:eastAsia="lv-LV"/>
              </w:rPr>
              <w:t> </w:t>
            </w:r>
            <w:r w:rsidR="00A82745" w:rsidRPr="00A82745">
              <w:rPr>
                <w:rFonts w:ascii="Times New Roman" w:eastAsia="Times New Roman" w:hAnsi="Times New Roman" w:cs="Times New Roman"/>
                <w:color w:val="000000"/>
                <w:sz w:val="24"/>
                <w:szCs w:val="24"/>
                <w:lang w:eastAsia="lv-LV"/>
              </w:rPr>
              <w:t>novembr</w:t>
            </w:r>
            <w:r w:rsidR="00A82745">
              <w:rPr>
                <w:rFonts w:ascii="Times New Roman" w:eastAsia="Times New Roman" w:hAnsi="Times New Roman" w:cs="Times New Roman"/>
                <w:color w:val="000000"/>
                <w:sz w:val="24"/>
                <w:szCs w:val="24"/>
                <w:lang w:eastAsia="lv-LV"/>
              </w:rPr>
              <w:t>a</w:t>
            </w:r>
            <w:r w:rsidR="00A82745" w:rsidRPr="00A82745">
              <w:rPr>
                <w:rFonts w:ascii="Times New Roman" w:eastAsia="Times New Roman" w:hAnsi="Times New Roman" w:cs="Times New Roman"/>
                <w:color w:val="000000"/>
                <w:sz w:val="24"/>
                <w:szCs w:val="24"/>
                <w:lang w:eastAsia="lv-LV"/>
              </w:rPr>
              <w:t xml:space="preserve"> </w:t>
            </w:r>
            <w:r w:rsidR="006B66F5" w:rsidRPr="00FE78D9">
              <w:rPr>
                <w:rFonts w:ascii="Times New Roman" w:eastAsia="Times New Roman" w:hAnsi="Times New Roman" w:cs="Times New Roman"/>
                <w:color w:val="000000"/>
                <w:sz w:val="24"/>
                <w:szCs w:val="24"/>
                <w:lang w:eastAsia="lv-LV"/>
              </w:rPr>
              <w:t>direktīv</w:t>
            </w:r>
            <w:r w:rsidR="006B66F5">
              <w:rPr>
                <w:rFonts w:ascii="Times New Roman" w:eastAsia="Times New Roman" w:hAnsi="Times New Roman" w:cs="Times New Roman"/>
                <w:color w:val="000000"/>
                <w:sz w:val="24"/>
                <w:szCs w:val="24"/>
                <w:lang w:eastAsia="lv-LV"/>
              </w:rPr>
              <w:t>ā</w:t>
            </w:r>
            <w:r w:rsidR="00A82745">
              <w:rPr>
                <w:rFonts w:ascii="Times New Roman" w:eastAsia="Times New Roman" w:hAnsi="Times New Roman" w:cs="Times New Roman"/>
                <w:color w:val="000000"/>
                <w:sz w:val="24"/>
                <w:szCs w:val="24"/>
                <w:lang w:eastAsia="lv-LV"/>
              </w:rPr>
              <w:t xml:space="preserve"> </w:t>
            </w:r>
            <w:r w:rsidR="006B66F5" w:rsidRPr="00FE78D9">
              <w:rPr>
                <w:rFonts w:ascii="Times New Roman" w:eastAsia="Times New Roman" w:hAnsi="Times New Roman" w:cs="Times New Roman"/>
                <w:color w:val="000000"/>
                <w:sz w:val="24"/>
                <w:szCs w:val="24"/>
                <w:lang w:eastAsia="lv-LV"/>
              </w:rPr>
              <w:t xml:space="preserve">2009/138/EK </w:t>
            </w:r>
            <w:r w:rsidR="00A82745">
              <w:rPr>
                <w:rFonts w:ascii="Times New Roman" w:eastAsia="Times New Roman" w:hAnsi="Times New Roman" w:cs="Times New Roman"/>
                <w:color w:val="000000"/>
                <w:sz w:val="24"/>
                <w:szCs w:val="24"/>
                <w:lang w:eastAsia="lv-LV"/>
              </w:rPr>
              <w:t>p</w:t>
            </w:r>
            <w:r w:rsidR="006B66F5" w:rsidRPr="00FE78D9">
              <w:rPr>
                <w:rFonts w:ascii="Times New Roman" w:eastAsia="Times New Roman" w:hAnsi="Times New Roman" w:cs="Times New Roman"/>
                <w:color w:val="000000"/>
                <w:sz w:val="24"/>
                <w:szCs w:val="24"/>
                <w:lang w:eastAsia="lv-LV"/>
              </w:rPr>
              <w:t>ar uzņēmējdarbības uzsākšanu un veikšanu apdrošināšanas un pārapdrošināšanas jomā (Maksātspēja</w:t>
            </w:r>
            <w:r w:rsidR="00B73F56">
              <w:rPr>
                <w:rFonts w:ascii="Times New Roman" w:eastAsia="Times New Roman" w:hAnsi="Times New Roman" w:cs="Times New Roman"/>
                <w:color w:val="000000"/>
                <w:sz w:val="24"/>
                <w:szCs w:val="24"/>
                <w:lang w:eastAsia="lv-LV"/>
              </w:rPr>
              <w:t> </w:t>
            </w:r>
            <w:r w:rsidR="006B66F5" w:rsidRPr="00FE78D9">
              <w:rPr>
                <w:rFonts w:ascii="Times New Roman" w:eastAsia="Times New Roman" w:hAnsi="Times New Roman" w:cs="Times New Roman"/>
                <w:color w:val="000000"/>
                <w:sz w:val="24"/>
                <w:szCs w:val="24"/>
                <w:lang w:eastAsia="lv-LV"/>
              </w:rPr>
              <w:t xml:space="preserve">II) </w:t>
            </w:r>
            <w:r w:rsidR="006B66F5">
              <w:rPr>
                <w:rFonts w:ascii="Times New Roman" w:eastAsia="Times New Roman" w:hAnsi="Times New Roman" w:cs="Times New Roman"/>
                <w:color w:val="000000"/>
                <w:sz w:val="24"/>
                <w:szCs w:val="24"/>
                <w:lang w:eastAsia="lv-LV"/>
              </w:rPr>
              <w:t>(</w:t>
            </w:r>
            <w:r w:rsidR="006B66F5" w:rsidRPr="002C1202">
              <w:rPr>
                <w:rFonts w:ascii="Times New Roman" w:eastAsia="Times New Roman" w:hAnsi="Times New Roman" w:cs="Times New Roman"/>
                <w:color w:val="000000"/>
                <w:sz w:val="24"/>
                <w:szCs w:val="24"/>
                <w:lang w:eastAsia="lv-LV"/>
              </w:rPr>
              <w:t>turpmāk</w:t>
            </w:r>
            <w:r w:rsidR="00B73F56">
              <w:rPr>
                <w:rFonts w:ascii="Times New Roman" w:eastAsia="Times New Roman" w:hAnsi="Times New Roman" w:cs="Times New Roman"/>
                <w:color w:val="000000"/>
                <w:sz w:val="24"/>
                <w:szCs w:val="24"/>
                <w:lang w:eastAsia="lv-LV"/>
              </w:rPr>
              <w:t> </w:t>
            </w:r>
            <w:r w:rsidR="006B66F5" w:rsidRPr="002C1202">
              <w:rPr>
                <w:rFonts w:ascii="Times New Roman" w:eastAsia="Times New Roman" w:hAnsi="Times New Roman" w:cs="Times New Roman"/>
                <w:color w:val="000000"/>
                <w:sz w:val="24"/>
                <w:szCs w:val="24"/>
                <w:lang w:eastAsia="lv-LV"/>
              </w:rPr>
              <w:t xml:space="preserve">– </w:t>
            </w:r>
            <w:r w:rsidR="006B66F5">
              <w:rPr>
                <w:rFonts w:ascii="Times New Roman" w:eastAsia="Times New Roman" w:hAnsi="Times New Roman" w:cs="Times New Roman"/>
                <w:color w:val="000000"/>
                <w:sz w:val="24"/>
                <w:szCs w:val="24"/>
                <w:lang w:eastAsia="lv-LV"/>
              </w:rPr>
              <w:t>Direktīva</w:t>
            </w:r>
            <w:r w:rsidR="006B66F5" w:rsidRPr="002C1202">
              <w:rPr>
                <w:rFonts w:ascii="Times New Roman" w:eastAsia="Times New Roman" w:hAnsi="Times New Roman" w:cs="Times New Roman"/>
                <w:color w:val="000000"/>
                <w:sz w:val="24"/>
                <w:szCs w:val="24"/>
                <w:lang w:eastAsia="lv-LV"/>
              </w:rPr>
              <w:t xml:space="preserve"> </w:t>
            </w:r>
            <w:hyperlink r:id="rId11" w:tgtFrame="_blank" w:history="1">
              <w:r w:rsidR="006B66F5">
                <w:rPr>
                  <w:rFonts w:ascii="Times New Roman" w:eastAsia="Times New Roman" w:hAnsi="Times New Roman" w:cs="Times New Roman"/>
                  <w:color w:val="000000"/>
                  <w:sz w:val="24"/>
                  <w:szCs w:val="24"/>
                  <w:lang w:eastAsia="lv-LV"/>
                </w:rPr>
                <w:t>2009/138/EK)</w:t>
              </w:r>
            </w:hyperlink>
            <w:r w:rsidRPr="00F72657">
              <w:rPr>
                <w:rFonts w:ascii="Times New Roman" w:eastAsia="Times New Roman" w:hAnsi="Times New Roman" w:cs="Times New Roman"/>
                <w:color w:val="000000"/>
                <w:sz w:val="24"/>
                <w:szCs w:val="24"/>
                <w:lang w:eastAsia="lv-LV"/>
              </w:rPr>
              <w:t xml:space="preserve"> noteikto prasību </w:t>
            </w:r>
            <w:r w:rsidR="00A82745">
              <w:rPr>
                <w:rFonts w:ascii="Times New Roman" w:eastAsia="Times New Roman" w:hAnsi="Times New Roman" w:cs="Times New Roman"/>
                <w:color w:val="000000"/>
                <w:sz w:val="24"/>
                <w:szCs w:val="24"/>
                <w:lang w:eastAsia="lv-LV"/>
              </w:rPr>
              <w:t>pārņemšanu</w:t>
            </w:r>
            <w:r w:rsidRPr="00F72657">
              <w:rPr>
                <w:rFonts w:ascii="Times New Roman" w:eastAsia="Times New Roman" w:hAnsi="Times New Roman" w:cs="Times New Roman"/>
                <w:color w:val="000000"/>
                <w:sz w:val="24"/>
                <w:szCs w:val="24"/>
                <w:lang w:eastAsia="lv-LV"/>
              </w:rPr>
              <w:t xml:space="preserve"> Latvijas Republikas normatīvajos aktos (sk. Direktīvas</w:t>
            </w:r>
            <w:r w:rsidR="00B73F56">
              <w:rPr>
                <w:rFonts w:ascii="Times New Roman" w:eastAsia="Times New Roman" w:hAnsi="Times New Roman" w:cs="Times New Roman"/>
                <w:color w:val="000000"/>
                <w:sz w:val="24"/>
                <w:szCs w:val="24"/>
                <w:lang w:eastAsia="lv-LV"/>
              </w:rPr>
              <w:t> </w:t>
            </w:r>
            <w:r w:rsidRPr="00F72657">
              <w:rPr>
                <w:rFonts w:ascii="Times New Roman" w:eastAsia="Times New Roman" w:hAnsi="Times New Roman" w:cs="Times New Roman"/>
                <w:color w:val="000000"/>
                <w:sz w:val="24"/>
                <w:szCs w:val="24"/>
                <w:lang w:eastAsia="lv-LV"/>
              </w:rPr>
              <w:t>200</w:t>
            </w:r>
            <w:r w:rsidR="006B66F5">
              <w:rPr>
                <w:rFonts w:ascii="Times New Roman" w:eastAsia="Times New Roman" w:hAnsi="Times New Roman" w:cs="Times New Roman"/>
                <w:color w:val="000000"/>
                <w:sz w:val="24"/>
                <w:szCs w:val="24"/>
                <w:lang w:eastAsia="lv-LV"/>
              </w:rPr>
              <w:t>9</w:t>
            </w:r>
            <w:r w:rsidRPr="00F72657">
              <w:rPr>
                <w:rFonts w:ascii="Times New Roman" w:eastAsia="Times New Roman" w:hAnsi="Times New Roman" w:cs="Times New Roman"/>
                <w:color w:val="000000"/>
                <w:sz w:val="24"/>
                <w:szCs w:val="24"/>
                <w:lang w:eastAsia="lv-LV"/>
              </w:rPr>
              <w:t>/</w:t>
            </w:r>
            <w:r w:rsidR="006B66F5">
              <w:rPr>
                <w:rFonts w:ascii="Times New Roman" w:eastAsia="Times New Roman" w:hAnsi="Times New Roman" w:cs="Times New Roman"/>
                <w:color w:val="000000"/>
                <w:sz w:val="24"/>
                <w:szCs w:val="24"/>
                <w:lang w:eastAsia="lv-LV"/>
              </w:rPr>
              <w:t>138</w:t>
            </w:r>
            <w:r w:rsidRPr="00F72657">
              <w:rPr>
                <w:rFonts w:ascii="Times New Roman" w:eastAsia="Times New Roman" w:hAnsi="Times New Roman" w:cs="Times New Roman"/>
                <w:color w:val="000000"/>
                <w:sz w:val="24"/>
                <w:szCs w:val="24"/>
                <w:lang w:eastAsia="lv-LV"/>
              </w:rPr>
              <w:t>/EK pārņemšanas tabul</w:t>
            </w:r>
            <w:r w:rsidR="006B66F5">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anotācijas pielikumā)</w:t>
            </w:r>
            <w:r w:rsidR="00FA0E62">
              <w:rPr>
                <w:rFonts w:ascii="Times New Roman" w:eastAsia="Times New Roman" w:hAnsi="Times New Roman" w:cs="Times New Roman"/>
                <w:color w:val="000000"/>
                <w:sz w:val="24"/>
                <w:szCs w:val="24"/>
                <w:lang w:eastAsia="lv-LV"/>
              </w:rPr>
              <w:t>.</w:t>
            </w:r>
          </w:p>
          <w:p w14:paraId="3D412055" w14:textId="602C1671" w:rsidR="00FE78D9" w:rsidRPr="003244FF" w:rsidRDefault="00FE78D9" w:rsidP="000E1BB4">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aptver </w:t>
            </w:r>
            <w:r>
              <w:rPr>
                <w:rFonts w:ascii="Times New Roman" w:eastAsia="Times New Roman" w:hAnsi="Times New Roman" w:cs="Times New Roman"/>
                <w:color w:val="000000"/>
                <w:sz w:val="24"/>
                <w:szCs w:val="24"/>
                <w:lang w:eastAsia="lv-LV"/>
              </w:rPr>
              <w:t xml:space="preserve">vairāku </w:t>
            </w:r>
            <w:r w:rsidRPr="00FE78D9">
              <w:rPr>
                <w:rFonts w:ascii="Times New Roman" w:eastAsia="Times New Roman" w:hAnsi="Times New Roman" w:cs="Times New Roman"/>
                <w:color w:val="000000"/>
                <w:sz w:val="24"/>
                <w:szCs w:val="24"/>
                <w:lang w:eastAsia="lv-LV"/>
              </w:rPr>
              <w:t>EAAPI pamatnostādņu prasības, kas papildina Komisijas 2014.</w:t>
            </w:r>
            <w:r w:rsidR="00B73F56">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gada 10.</w:t>
            </w:r>
            <w:r w:rsidR="00B73F56">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oktobr</w:t>
            </w:r>
            <w:r>
              <w:rPr>
                <w:rFonts w:ascii="Times New Roman" w:eastAsia="Times New Roman" w:hAnsi="Times New Roman" w:cs="Times New Roman"/>
                <w:color w:val="000000"/>
                <w:sz w:val="24"/>
                <w:szCs w:val="24"/>
                <w:lang w:eastAsia="lv-LV"/>
              </w:rPr>
              <w:t>a</w:t>
            </w:r>
            <w:r w:rsidRPr="00FE78D9">
              <w:rPr>
                <w:rFonts w:ascii="Times New Roman" w:eastAsia="Times New Roman" w:hAnsi="Times New Roman" w:cs="Times New Roman"/>
                <w:color w:val="000000"/>
                <w:sz w:val="24"/>
                <w:szCs w:val="24"/>
                <w:lang w:eastAsia="lv-LV"/>
              </w:rPr>
              <w:t xml:space="preserve"> </w:t>
            </w:r>
            <w:r w:rsidR="00D97A37">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eleģētās regulas (ES)</w:t>
            </w:r>
            <w:r w:rsidR="00D97A37">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 xml:space="preserve">2015/35, ar ko papildina Eiropas Parlamenta un Padomes </w:t>
            </w:r>
            <w:r w:rsidR="00B472B0">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irektīvu 2009/138/EK par uzņēmējdarbības uzsākšanu un veikšanu apdrošināšanas un pārapdrošināšanas jomā (Maksātspēja</w:t>
            </w:r>
            <w:r w:rsidR="00B73F56">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 xml:space="preserve">II) </w:t>
            </w:r>
            <w:r w:rsidR="002C1202">
              <w:rPr>
                <w:rFonts w:ascii="Times New Roman" w:eastAsia="Times New Roman" w:hAnsi="Times New Roman" w:cs="Times New Roman"/>
                <w:color w:val="000000"/>
                <w:sz w:val="24"/>
                <w:szCs w:val="24"/>
                <w:lang w:eastAsia="lv-LV"/>
              </w:rPr>
              <w:t>(</w:t>
            </w:r>
            <w:r w:rsidR="002C1202" w:rsidRPr="002C1202">
              <w:rPr>
                <w:rFonts w:ascii="Times New Roman" w:eastAsia="Times New Roman" w:hAnsi="Times New Roman" w:cs="Times New Roman"/>
                <w:color w:val="000000"/>
                <w:sz w:val="24"/>
                <w:szCs w:val="24"/>
                <w:lang w:eastAsia="lv-LV"/>
              </w:rPr>
              <w:t>turpmāk</w:t>
            </w:r>
            <w:r w:rsidR="00B73F56">
              <w:rPr>
                <w:rFonts w:ascii="Times New Roman" w:eastAsia="Times New Roman" w:hAnsi="Times New Roman" w:cs="Times New Roman"/>
                <w:color w:val="000000"/>
                <w:sz w:val="24"/>
                <w:szCs w:val="24"/>
                <w:lang w:eastAsia="lv-LV"/>
              </w:rPr>
              <w:t> </w:t>
            </w:r>
            <w:r w:rsidR="002C1202" w:rsidRPr="002C1202">
              <w:rPr>
                <w:rFonts w:ascii="Times New Roman" w:eastAsia="Times New Roman" w:hAnsi="Times New Roman" w:cs="Times New Roman"/>
                <w:color w:val="000000"/>
                <w:sz w:val="24"/>
                <w:szCs w:val="24"/>
                <w:lang w:eastAsia="lv-LV"/>
              </w:rPr>
              <w:t xml:space="preserve">– </w:t>
            </w:r>
            <w:r w:rsidR="00D97A37">
              <w:rPr>
                <w:rFonts w:ascii="Times New Roman" w:eastAsia="Times New Roman" w:hAnsi="Times New Roman" w:cs="Times New Roman"/>
                <w:color w:val="000000"/>
                <w:sz w:val="24"/>
                <w:szCs w:val="24"/>
                <w:lang w:eastAsia="lv-LV"/>
              </w:rPr>
              <w:t>R</w:t>
            </w:r>
            <w:r w:rsidR="002C1202" w:rsidRPr="002C1202">
              <w:rPr>
                <w:rFonts w:ascii="Times New Roman" w:eastAsia="Times New Roman" w:hAnsi="Times New Roman" w:cs="Times New Roman"/>
                <w:color w:val="000000"/>
                <w:sz w:val="24"/>
                <w:szCs w:val="24"/>
                <w:lang w:eastAsia="lv-LV"/>
              </w:rPr>
              <w:t>egula Nr. </w:t>
            </w:r>
            <w:hyperlink r:id="rId12" w:tgtFrame="_blank" w:history="1">
              <w:r w:rsidR="002C1202" w:rsidRPr="002C1202">
                <w:rPr>
                  <w:rFonts w:ascii="Times New Roman" w:eastAsia="Times New Roman" w:hAnsi="Times New Roman" w:cs="Times New Roman"/>
                  <w:color w:val="000000"/>
                  <w:sz w:val="24"/>
                  <w:szCs w:val="24"/>
                  <w:lang w:eastAsia="lv-LV"/>
                </w:rPr>
                <w:t>2015/35</w:t>
              </w:r>
            </w:hyperlink>
            <w:r w:rsidR="002C1202">
              <w:rPr>
                <w:rFonts w:ascii="Times New Roman" w:eastAsia="Times New Roman" w:hAnsi="Times New Roman" w:cs="Times New Roman"/>
                <w:color w:val="000000"/>
                <w:sz w:val="24"/>
                <w:szCs w:val="24"/>
                <w:lang w:eastAsia="lv-LV"/>
              </w:rPr>
              <w:t xml:space="preserve">) </w:t>
            </w:r>
            <w:r w:rsidRPr="003244FF">
              <w:rPr>
                <w:rFonts w:ascii="Times New Roman" w:eastAsia="Times New Roman" w:hAnsi="Times New Roman" w:cs="Times New Roman"/>
                <w:color w:val="000000"/>
                <w:sz w:val="24"/>
                <w:szCs w:val="24"/>
                <w:lang w:eastAsia="lv-LV"/>
              </w:rPr>
              <w:t>prasības</w:t>
            </w:r>
            <w:r w:rsidR="00FA0E62" w:rsidRPr="003244FF">
              <w:rPr>
                <w:rFonts w:ascii="Times New Roman" w:eastAsia="Times New Roman" w:hAnsi="Times New Roman" w:cs="Times New Roman"/>
                <w:color w:val="000000"/>
                <w:sz w:val="24"/>
                <w:szCs w:val="24"/>
                <w:lang w:eastAsia="lv-LV"/>
              </w:rPr>
              <w:t xml:space="preserve"> grupas</w:t>
            </w:r>
            <w:r w:rsidRPr="003244FF">
              <w:rPr>
                <w:rFonts w:ascii="Times New Roman" w:eastAsia="Times New Roman" w:hAnsi="Times New Roman" w:cs="Times New Roman"/>
                <w:color w:val="000000"/>
                <w:sz w:val="24"/>
                <w:szCs w:val="24"/>
                <w:lang w:eastAsia="lv-LV"/>
              </w:rPr>
              <w:t xml:space="preserve"> kapitāla pietiekamības noteikšanai.</w:t>
            </w:r>
          </w:p>
          <w:p w14:paraId="3588E18D" w14:textId="5D743D7E" w:rsidR="001606B9" w:rsidRDefault="00E13A71" w:rsidP="000E1BB4">
            <w:pPr>
              <w:spacing w:line="240" w:lineRule="auto"/>
              <w:jc w:val="both"/>
              <w:rPr>
                <w:rFonts w:ascii="Times New Roman" w:eastAsia="Times New Roman" w:hAnsi="Times New Roman" w:cs="Times New Roman"/>
                <w:color w:val="000000"/>
                <w:sz w:val="24"/>
                <w:szCs w:val="24"/>
                <w:lang w:eastAsia="lv-LV"/>
              </w:rPr>
            </w:pPr>
            <w:r w:rsidRPr="003244FF">
              <w:rPr>
                <w:rFonts w:ascii="Times New Roman" w:eastAsia="Times New Roman" w:hAnsi="Times New Roman" w:cs="Times New Roman"/>
                <w:color w:val="000000"/>
                <w:sz w:val="24"/>
                <w:szCs w:val="24"/>
                <w:lang w:eastAsia="lv-LV"/>
              </w:rPr>
              <w:t xml:space="preserve">Atbilstoši </w:t>
            </w:r>
            <w:r w:rsidR="006B66F5" w:rsidRPr="003244FF">
              <w:rPr>
                <w:rFonts w:ascii="Times New Roman" w:eastAsia="Times New Roman" w:hAnsi="Times New Roman" w:cs="Times New Roman"/>
                <w:color w:val="000000"/>
                <w:sz w:val="24"/>
                <w:szCs w:val="24"/>
                <w:lang w:eastAsia="lv-LV"/>
              </w:rPr>
              <w:t>D</w:t>
            </w:r>
            <w:r w:rsidRPr="003244FF">
              <w:rPr>
                <w:rFonts w:ascii="Times New Roman" w:eastAsia="Times New Roman" w:hAnsi="Times New Roman" w:cs="Times New Roman"/>
                <w:color w:val="000000"/>
                <w:sz w:val="24"/>
                <w:szCs w:val="24"/>
                <w:lang w:eastAsia="lv-LV"/>
              </w:rPr>
              <w:t xml:space="preserve">irektīvas </w:t>
            </w:r>
            <w:hyperlink r:id="rId13" w:tgtFrame="_blank" w:history="1">
              <w:r w:rsidRPr="003244FF">
                <w:rPr>
                  <w:rFonts w:ascii="Times New Roman" w:eastAsia="Times New Roman" w:hAnsi="Times New Roman" w:cs="Times New Roman"/>
                  <w:color w:val="000000"/>
                  <w:sz w:val="24"/>
                  <w:szCs w:val="24"/>
                  <w:lang w:eastAsia="lv-LV"/>
                </w:rPr>
                <w:t>2009/138/EK</w:t>
              </w:r>
            </w:hyperlink>
            <w:r w:rsidRPr="003244FF">
              <w:rPr>
                <w:rFonts w:ascii="Times New Roman" w:eastAsia="Times New Roman" w:hAnsi="Times New Roman" w:cs="Times New Roman"/>
                <w:color w:val="000000"/>
                <w:sz w:val="24"/>
                <w:szCs w:val="24"/>
                <w:lang w:eastAsia="lv-LV"/>
              </w:rPr>
              <w:t xml:space="preserve"> prasībām n</w:t>
            </w:r>
            <w:r w:rsidR="001606B9" w:rsidRPr="003244FF">
              <w:rPr>
                <w:rFonts w:ascii="Times New Roman" w:eastAsia="Times New Roman" w:hAnsi="Times New Roman" w:cs="Times New Roman"/>
                <w:color w:val="000000"/>
                <w:sz w:val="24"/>
                <w:szCs w:val="24"/>
                <w:lang w:eastAsia="lv-LV"/>
              </w:rPr>
              <w:t xml:space="preserve">oteikumu projekts nosaka </w:t>
            </w:r>
            <w:r w:rsidR="008F2152" w:rsidRPr="003244FF">
              <w:rPr>
                <w:rFonts w:ascii="Times New Roman" w:eastAsia="Times New Roman" w:hAnsi="Times New Roman" w:cs="Times New Roman"/>
                <w:color w:val="000000"/>
                <w:sz w:val="24"/>
                <w:szCs w:val="24"/>
                <w:lang w:eastAsia="lv-LV"/>
              </w:rPr>
              <w:t>grupas maksātspējas noteikšanas vispārīgos principus, aprēķina metodes un</w:t>
            </w:r>
            <w:r w:rsidR="008F2152" w:rsidRPr="008F2152">
              <w:rPr>
                <w:rFonts w:ascii="Times New Roman" w:eastAsia="Times New Roman" w:hAnsi="Times New Roman" w:cs="Times New Roman"/>
                <w:color w:val="000000"/>
                <w:sz w:val="24"/>
                <w:szCs w:val="24"/>
                <w:lang w:eastAsia="lv-LV"/>
              </w:rPr>
              <w:t xml:space="preserve"> to piemērošanas nosacījumus. Noteikumu </w:t>
            </w:r>
            <w:r w:rsidR="008F2152">
              <w:rPr>
                <w:rFonts w:ascii="Times New Roman" w:eastAsia="Times New Roman" w:hAnsi="Times New Roman" w:cs="Times New Roman"/>
                <w:color w:val="000000"/>
                <w:sz w:val="24"/>
                <w:szCs w:val="24"/>
                <w:lang w:eastAsia="lv-LV"/>
              </w:rPr>
              <w:t xml:space="preserve">projekta </w:t>
            </w:r>
            <w:r w:rsidR="008F2152" w:rsidRPr="008F2152">
              <w:rPr>
                <w:rFonts w:ascii="Times New Roman" w:eastAsia="Times New Roman" w:hAnsi="Times New Roman" w:cs="Times New Roman"/>
                <w:color w:val="000000"/>
                <w:sz w:val="24"/>
                <w:szCs w:val="24"/>
                <w:lang w:eastAsia="lv-LV"/>
              </w:rPr>
              <w:t xml:space="preserve">prasības attiecībā uz grupas maksātspējas kapitāla prasības aprēķināšanas kārtību un grupas izmantojamā pašu kapitāla noteikšanu papildina </w:t>
            </w:r>
            <w:r w:rsidR="00D97A37">
              <w:rPr>
                <w:rFonts w:ascii="Times New Roman" w:eastAsia="Times New Roman" w:hAnsi="Times New Roman" w:cs="Times New Roman"/>
                <w:color w:val="000000"/>
                <w:sz w:val="24"/>
                <w:szCs w:val="24"/>
                <w:lang w:eastAsia="lv-LV"/>
              </w:rPr>
              <w:t>R</w:t>
            </w:r>
            <w:r w:rsidR="008F2152" w:rsidRPr="008F2152">
              <w:rPr>
                <w:rFonts w:ascii="Times New Roman" w:eastAsia="Times New Roman" w:hAnsi="Times New Roman" w:cs="Times New Roman"/>
                <w:color w:val="000000"/>
                <w:sz w:val="24"/>
                <w:szCs w:val="24"/>
                <w:lang w:eastAsia="lv-LV"/>
              </w:rPr>
              <w:t>egula Nr.</w:t>
            </w:r>
            <w:r w:rsidR="00B73F56">
              <w:rPr>
                <w:rFonts w:ascii="Times New Roman" w:eastAsia="Times New Roman" w:hAnsi="Times New Roman" w:cs="Times New Roman"/>
                <w:color w:val="000000"/>
                <w:sz w:val="24"/>
                <w:szCs w:val="24"/>
                <w:lang w:eastAsia="lv-LV"/>
              </w:rPr>
              <w:t> </w:t>
            </w:r>
            <w:r w:rsidR="008F2152" w:rsidRPr="008F2152">
              <w:rPr>
                <w:rFonts w:ascii="Times New Roman" w:eastAsia="Times New Roman" w:hAnsi="Times New Roman" w:cs="Times New Roman"/>
                <w:color w:val="000000"/>
                <w:sz w:val="24"/>
                <w:szCs w:val="24"/>
                <w:lang w:eastAsia="lv-LV"/>
              </w:rPr>
              <w:t xml:space="preserve">2015/35 un citi tieši piemērojamie </w:t>
            </w:r>
            <w:r w:rsidR="00D97A37">
              <w:rPr>
                <w:rFonts w:ascii="Times New Roman" w:eastAsia="Times New Roman" w:hAnsi="Times New Roman" w:cs="Times New Roman"/>
                <w:color w:val="000000"/>
                <w:sz w:val="24"/>
                <w:szCs w:val="24"/>
                <w:lang w:eastAsia="lv-LV"/>
              </w:rPr>
              <w:t>Eiropas Savienības</w:t>
            </w:r>
            <w:r w:rsidR="008F2152" w:rsidRPr="008F2152">
              <w:rPr>
                <w:rFonts w:ascii="Times New Roman" w:eastAsia="Times New Roman" w:hAnsi="Times New Roman" w:cs="Times New Roman"/>
                <w:color w:val="000000"/>
                <w:sz w:val="24"/>
                <w:szCs w:val="24"/>
                <w:lang w:eastAsia="lv-LV"/>
              </w:rPr>
              <w:t xml:space="preserve"> tiesību akti, kā arī EAAPI </w:t>
            </w:r>
            <w:r w:rsidR="008F2152">
              <w:rPr>
                <w:rFonts w:ascii="Times New Roman" w:eastAsia="Times New Roman" w:hAnsi="Times New Roman" w:cs="Times New Roman"/>
                <w:color w:val="000000"/>
                <w:sz w:val="24"/>
                <w:szCs w:val="24"/>
                <w:lang w:eastAsia="lv-LV"/>
              </w:rPr>
              <w:t>pamatnostādnes.</w:t>
            </w:r>
          </w:p>
          <w:p w14:paraId="77DA60C2" w14:textId="0E8C8222" w:rsidR="00E775DB" w:rsidRDefault="00E775DB" w:rsidP="0022282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Atbilstoši EAAPI pamatnostādnēm noteikumu projektā:</w:t>
            </w:r>
          </w:p>
          <w:p w14:paraId="01F465F0" w14:textId="6335449D"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papildināti grupas maksātspējas aprēķina vispārīgie principi, precizējot maksātspējas aprēķina tvērumu, grupas uzraudzības piemērošanas gadījumus, kā arī nosakot faktorus būtiskas vai izšķirošas ietekmes noteikšanā;</w:t>
            </w:r>
          </w:p>
          <w:p w14:paraId="17F7469C"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 xml:space="preserve">papildināti nosacījumi, lai noteiktu saistītās sabiedrības proporcionālo daļu iekļaušanai grupas maksātspējas aprēķinā, kā arī kritēriji pamatojumam, ka mātes sabiedrības atbildība ir ierobežota ar tai piederošo kapitāla daļu (lai iegūtu atļauju meitas sabiedrības kapitāla nepietiekamības gadījumā šo sabiedrību </w:t>
            </w:r>
            <w:r w:rsidRPr="001D0364">
              <w:rPr>
                <w:rFonts w:ascii="Times New Roman" w:eastAsia="Times New Roman" w:hAnsi="Times New Roman" w:cs="Times New Roman"/>
                <w:color w:val="000000"/>
                <w:sz w:val="24"/>
                <w:szCs w:val="24"/>
                <w:lang w:eastAsia="lv-LV"/>
              </w:rPr>
              <w:lastRenderedPageBreak/>
              <w:t>iekļaut grupas maksātspējas aprēķinā proporcionāli, nevis pilnā apjomā);</w:t>
            </w:r>
          </w:p>
          <w:p w14:paraId="045C9EC7" w14:textId="0D962F41"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 xml:space="preserve">papildinātas </w:t>
            </w:r>
            <w:r w:rsidR="00D97A37">
              <w:rPr>
                <w:rFonts w:ascii="Times New Roman" w:eastAsia="Times New Roman" w:hAnsi="Times New Roman" w:cs="Times New Roman"/>
                <w:color w:val="000000"/>
                <w:sz w:val="24"/>
                <w:szCs w:val="24"/>
                <w:lang w:eastAsia="lv-LV"/>
              </w:rPr>
              <w:t>R</w:t>
            </w:r>
            <w:r w:rsidRPr="001D0364">
              <w:rPr>
                <w:rFonts w:ascii="Times New Roman" w:eastAsia="Times New Roman" w:hAnsi="Times New Roman" w:cs="Times New Roman"/>
                <w:color w:val="000000"/>
                <w:sz w:val="24"/>
                <w:szCs w:val="24"/>
                <w:lang w:eastAsia="lv-LV"/>
              </w:rPr>
              <w:t>egulā Nr.</w:t>
            </w:r>
            <w:r w:rsidR="00B73F56">
              <w:rPr>
                <w:rFonts w:ascii="Times New Roman" w:eastAsia="Times New Roman" w:hAnsi="Times New Roman" w:cs="Times New Roman"/>
                <w:color w:val="000000"/>
                <w:sz w:val="24"/>
                <w:szCs w:val="24"/>
                <w:lang w:eastAsia="lv-LV"/>
              </w:rPr>
              <w:t> </w:t>
            </w:r>
            <w:r w:rsidRPr="001D0364">
              <w:rPr>
                <w:rFonts w:ascii="Times New Roman" w:eastAsia="Times New Roman" w:hAnsi="Times New Roman" w:cs="Times New Roman"/>
                <w:color w:val="000000"/>
                <w:sz w:val="24"/>
                <w:szCs w:val="24"/>
                <w:lang w:eastAsia="lv-LV"/>
              </w:rPr>
              <w:t xml:space="preserve">2015/35 noteiktās prasības attiecībā </w:t>
            </w:r>
            <w:r w:rsidR="006C1A53">
              <w:rPr>
                <w:rFonts w:ascii="Times New Roman" w:eastAsia="Times New Roman" w:hAnsi="Times New Roman" w:cs="Times New Roman"/>
                <w:color w:val="000000"/>
                <w:sz w:val="24"/>
                <w:szCs w:val="24"/>
                <w:lang w:eastAsia="lv-LV"/>
              </w:rPr>
              <w:t xml:space="preserve">uz </w:t>
            </w:r>
            <w:r w:rsidRPr="001D0364">
              <w:rPr>
                <w:rFonts w:ascii="Times New Roman" w:eastAsia="Times New Roman" w:hAnsi="Times New Roman" w:cs="Times New Roman"/>
                <w:color w:val="000000"/>
                <w:sz w:val="24"/>
                <w:szCs w:val="24"/>
                <w:lang w:eastAsia="lv-LV"/>
              </w:rPr>
              <w:t>saistīto sabiedrību izmantojamā pašu kapitāla pieejamību grupas līmenī, tai skaitā noteikta kārtība, kādā aprēķināma katras meitas sabiedrības mazākuma līdzdalība atskaitīšanai no grupas pašu kapitāla. Noteikumu</w:t>
            </w:r>
            <w:r w:rsidR="00AE5AEC">
              <w:rPr>
                <w:rFonts w:ascii="Times New Roman" w:eastAsia="Times New Roman" w:hAnsi="Times New Roman" w:cs="Times New Roman"/>
                <w:color w:val="000000"/>
                <w:sz w:val="24"/>
                <w:szCs w:val="24"/>
                <w:lang w:eastAsia="lv-LV"/>
              </w:rPr>
              <w:t xml:space="preserve"> projekta</w:t>
            </w:r>
            <w:r w:rsidRPr="001D0364">
              <w:rPr>
                <w:rFonts w:ascii="Times New Roman" w:eastAsia="Times New Roman" w:hAnsi="Times New Roman" w:cs="Times New Roman"/>
                <w:color w:val="000000"/>
                <w:sz w:val="24"/>
                <w:szCs w:val="24"/>
                <w:lang w:eastAsia="lv-LV"/>
              </w:rPr>
              <w:t xml:space="preserve"> pielikumā ietverts aprēķins, kā noteikt meitas sabiedrības daļu grupas maksātspējas aprēķinā;</w:t>
            </w:r>
          </w:p>
          <w:p w14:paraId="7043E313"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precizēta saskaņošanas rezerves noteikšanas kārtība grupas līmenī;</w:t>
            </w:r>
          </w:p>
          <w:p w14:paraId="776B453D"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precizēta grupas maksātspējas aprēķina kārtība, izmantojot konsolidētā finanšu pārskata metodi;</w:t>
            </w:r>
          </w:p>
          <w:p w14:paraId="694C2061"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noteikta kārtība, kādā jāveic korekcijas saistībā ar norobežotajiem fondiem un atbilstības korekcijas portfeļiem;</w:t>
            </w:r>
          </w:p>
          <w:p w14:paraId="288326BF"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noteikta kārtība, kādā jāveic korekcijas saistībā ar pašu kapitāla posteņiem, kas nav pieejami grupas izmantojamā pašu kapitāla aprēķinam;</w:t>
            </w:r>
          </w:p>
          <w:p w14:paraId="4A722A61"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noteiktas prasības attiecībā uz specifiskiem riskiem grupas līmenī;</w:t>
            </w:r>
          </w:p>
          <w:p w14:paraId="18D09F89"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noteikta kārtība, kādā jāveic korekcijas atbilstoši tehnisko rezervju un atlikto nodokļu zaudējumu segšanas spējai grupas līmenī;</w:t>
            </w:r>
          </w:p>
          <w:p w14:paraId="16850B83" w14:textId="77777777"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noteiktas prasības grupas specifisko parametru izmantošanai;</w:t>
            </w:r>
          </w:p>
          <w:p w14:paraId="091751AC" w14:textId="05FF2322" w:rsidR="001D0364" w:rsidRPr="001D0364" w:rsidRDefault="001D0364" w:rsidP="00222826">
            <w:pPr>
              <w:numPr>
                <w:ilvl w:val="0"/>
                <w:numId w:val="16"/>
              </w:numPr>
              <w:tabs>
                <w:tab w:val="left" w:pos="320"/>
              </w:tabs>
              <w:spacing w:after="120" w:line="240" w:lineRule="auto"/>
              <w:ind w:left="0" w:firstLine="37"/>
              <w:jc w:val="both"/>
              <w:rPr>
                <w:rFonts w:ascii="Times New Roman" w:eastAsia="Times New Roman" w:hAnsi="Times New Roman" w:cs="Times New Roman"/>
                <w:color w:val="000000"/>
                <w:sz w:val="24"/>
                <w:szCs w:val="24"/>
                <w:lang w:eastAsia="lv-LV"/>
              </w:rPr>
            </w:pPr>
            <w:r w:rsidRPr="001D0364">
              <w:rPr>
                <w:rFonts w:ascii="Times New Roman" w:eastAsia="Times New Roman" w:hAnsi="Times New Roman" w:cs="Times New Roman"/>
                <w:color w:val="000000"/>
                <w:sz w:val="24"/>
                <w:szCs w:val="24"/>
                <w:lang w:eastAsia="lv-LV"/>
              </w:rPr>
              <w:t xml:space="preserve">noteiktas atsevišķas situācijas, kad </w:t>
            </w:r>
            <w:r w:rsidR="00AE5AEC">
              <w:rPr>
                <w:rFonts w:ascii="Times New Roman" w:eastAsia="Times New Roman" w:hAnsi="Times New Roman" w:cs="Times New Roman"/>
                <w:color w:val="000000"/>
                <w:sz w:val="24"/>
                <w:szCs w:val="24"/>
                <w:lang w:eastAsia="lv-LV"/>
              </w:rPr>
              <w:t>Latvijas Banka</w:t>
            </w:r>
            <w:r w:rsidRPr="001D0364">
              <w:rPr>
                <w:rFonts w:ascii="Times New Roman" w:eastAsia="Times New Roman" w:hAnsi="Times New Roman" w:cs="Times New Roman"/>
                <w:color w:val="000000"/>
                <w:sz w:val="24"/>
                <w:szCs w:val="24"/>
                <w:lang w:eastAsia="lv-LV"/>
              </w:rPr>
              <w:t xml:space="preserve"> var noteikt papildu kapitāla prasību.</w:t>
            </w:r>
          </w:p>
          <w:p w14:paraId="1F7A240F" w14:textId="550B9078" w:rsidR="00E318FE" w:rsidRPr="00E775DB" w:rsidRDefault="00D93756" w:rsidP="00222826">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w:t>
            </w:r>
            <w:r w:rsidR="00222826">
              <w:rPr>
                <w:rFonts w:ascii="Times New Roman" w:eastAsia="Times New Roman" w:hAnsi="Times New Roman" w:cs="Times New Roman"/>
                <w:color w:val="000000"/>
                <w:sz w:val="24"/>
                <w:szCs w:val="24"/>
                <w:lang w:eastAsia="lv-LV"/>
              </w:rPr>
              <w:t>ājumā</w:t>
            </w:r>
            <w:r>
              <w:rPr>
                <w:rFonts w:ascii="Times New Roman" w:eastAsia="Times New Roman" w:hAnsi="Times New Roman" w:cs="Times New Roman"/>
                <w:color w:val="000000"/>
                <w:sz w:val="24"/>
                <w:szCs w:val="24"/>
                <w:lang w:eastAsia="lv-LV"/>
              </w:rPr>
              <w:t xml:space="preserve"> ar N</w:t>
            </w:r>
            <w:r w:rsidRPr="00E775DB">
              <w:rPr>
                <w:rFonts w:ascii="Times New Roman" w:eastAsia="Times New Roman" w:hAnsi="Times New Roman" w:cs="Times New Roman"/>
                <w:color w:val="000000"/>
                <w:sz w:val="24"/>
                <w:szCs w:val="24"/>
                <w:lang w:eastAsia="lv-LV"/>
              </w:rPr>
              <w:t>oteikumu Nr. </w:t>
            </w:r>
            <w:r w:rsidR="004C6684" w:rsidRPr="00E775DB">
              <w:rPr>
                <w:rFonts w:ascii="Times New Roman" w:eastAsia="Times New Roman" w:hAnsi="Times New Roman" w:cs="Times New Roman"/>
                <w:color w:val="000000"/>
                <w:sz w:val="24"/>
                <w:szCs w:val="24"/>
                <w:lang w:eastAsia="lv-LV"/>
              </w:rPr>
              <w:t>2</w:t>
            </w:r>
            <w:r w:rsidR="005D6DE6">
              <w:rPr>
                <w:rFonts w:ascii="Times New Roman" w:eastAsia="Times New Roman" w:hAnsi="Times New Roman" w:cs="Times New Roman"/>
                <w:color w:val="000000"/>
                <w:sz w:val="24"/>
                <w:szCs w:val="24"/>
                <w:lang w:eastAsia="lv-LV"/>
              </w:rPr>
              <w:t>50</w:t>
            </w:r>
            <w:r w:rsidRPr="00E775DB">
              <w:rPr>
                <w:rFonts w:ascii="Times New Roman" w:eastAsia="Times New Roman" w:hAnsi="Times New Roman" w:cs="Times New Roman"/>
                <w:color w:val="000000"/>
                <w:sz w:val="24"/>
                <w:szCs w:val="24"/>
                <w:lang w:eastAsia="lv-LV"/>
              </w:rPr>
              <w:t xml:space="preserve"> prasībām </w:t>
            </w:r>
            <w:r w:rsidR="004C6684" w:rsidRPr="00E775DB">
              <w:rPr>
                <w:rFonts w:ascii="Times New Roman" w:eastAsia="Times New Roman" w:hAnsi="Times New Roman" w:cs="Times New Roman"/>
                <w:color w:val="000000"/>
                <w:sz w:val="24"/>
                <w:szCs w:val="24"/>
                <w:lang w:eastAsia="lv-LV"/>
              </w:rPr>
              <w:t>noteikumu projektā veikti tehniski grozījumi, aktualizējot noteikumos izmantotās atsauces uz saistītajiem noteikumiem</w:t>
            </w:r>
            <w:r w:rsidR="005D6DE6">
              <w:rPr>
                <w:rFonts w:ascii="Times New Roman" w:eastAsia="Times New Roman" w:hAnsi="Times New Roman" w:cs="Times New Roman"/>
                <w:color w:val="000000"/>
                <w:sz w:val="24"/>
                <w:szCs w:val="24"/>
                <w:lang w:eastAsia="lv-LV"/>
              </w:rPr>
              <w:t xml:space="preserve"> un</w:t>
            </w:r>
            <w:r w:rsidR="004C6684" w:rsidRPr="00E775DB">
              <w:rPr>
                <w:rFonts w:ascii="Times New Roman" w:eastAsia="Times New Roman" w:hAnsi="Times New Roman" w:cs="Times New Roman"/>
                <w:color w:val="000000"/>
                <w:sz w:val="24"/>
                <w:szCs w:val="24"/>
                <w:lang w:eastAsia="lv-LV"/>
              </w:rPr>
              <w:t xml:space="preserve"> precizējot atsauces uz Eiropas Savienības normatīvajiem aktiem.</w:t>
            </w:r>
            <w:r w:rsidR="00454F31">
              <w:rPr>
                <w:rFonts w:ascii="Times New Roman" w:eastAsia="Times New Roman" w:hAnsi="Times New Roman" w:cs="Times New Roman"/>
                <w:color w:val="000000"/>
                <w:sz w:val="24"/>
                <w:szCs w:val="24"/>
                <w:lang w:eastAsia="lv-LV"/>
              </w:rPr>
              <w:t xml:space="preserve"> Vienlaikus noteikumu projekts </w:t>
            </w:r>
            <w:r w:rsidR="00797170">
              <w:rPr>
                <w:rFonts w:ascii="Times New Roman" w:eastAsia="Times New Roman" w:hAnsi="Times New Roman" w:cs="Times New Roman"/>
                <w:color w:val="000000"/>
                <w:sz w:val="24"/>
                <w:szCs w:val="24"/>
                <w:lang w:eastAsia="lv-LV"/>
              </w:rPr>
              <w:t xml:space="preserve">precizē </w:t>
            </w:r>
            <w:r w:rsidR="00454F31">
              <w:rPr>
                <w:rFonts w:ascii="Times New Roman" w:eastAsia="Times New Roman" w:hAnsi="Times New Roman" w:cs="Times New Roman"/>
                <w:color w:val="000000"/>
                <w:sz w:val="24"/>
                <w:szCs w:val="24"/>
                <w:lang w:eastAsia="lv-LV"/>
              </w:rPr>
              <w:t xml:space="preserve">regulējumu par </w:t>
            </w:r>
            <w:r w:rsidR="00454F31" w:rsidRPr="00454F31">
              <w:rPr>
                <w:rFonts w:ascii="Times New Roman" w:eastAsia="Times New Roman" w:hAnsi="Times New Roman" w:cs="Times New Roman"/>
                <w:color w:val="000000"/>
                <w:sz w:val="24"/>
                <w:szCs w:val="24"/>
                <w:lang w:eastAsia="lv-LV"/>
              </w:rPr>
              <w:t>grupas maksātspējas aprēķina biežumu</w:t>
            </w:r>
            <w:r w:rsidR="00454F31">
              <w:rPr>
                <w:rFonts w:ascii="Times New Roman" w:eastAsia="Times New Roman" w:hAnsi="Times New Roman" w:cs="Times New Roman"/>
                <w:color w:val="000000"/>
                <w:sz w:val="24"/>
                <w:szCs w:val="24"/>
                <w:lang w:eastAsia="lv-LV"/>
              </w:rPr>
              <w:t xml:space="preserve"> </w:t>
            </w:r>
            <w:r w:rsidR="003770A5">
              <w:rPr>
                <w:rFonts w:ascii="Times New Roman" w:eastAsia="Times New Roman" w:hAnsi="Times New Roman" w:cs="Times New Roman"/>
                <w:color w:val="000000"/>
                <w:sz w:val="24"/>
                <w:szCs w:val="24"/>
                <w:lang w:eastAsia="lv-LV"/>
              </w:rPr>
              <w:t xml:space="preserve">un kārtību </w:t>
            </w:r>
            <w:r w:rsidR="00797170">
              <w:rPr>
                <w:rFonts w:ascii="Times New Roman" w:eastAsia="Times New Roman" w:hAnsi="Times New Roman" w:cs="Times New Roman"/>
                <w:color w:val="000000"/>
                <w:sz w:val="24"/>
                <w:szCs w:val="24"/>
                <w:lang w:eastAsia="lv-LV"/>
              </w:rPr>
              <w:t xml:space="preserve">iesniegšanai Latvijas Bankā </w:t>
            </w:r>
            <w:r w:rsidR="00454F31">
              <w:rPr>
                <w:rFonts w:ascii="Times New Roman" w:eastAsia="Times New Roman" w:hAnsi="Times New Roman" w:cs="Times New Roman"/>
                <w:color w:val="000000"/>
                <w:sz w:val="24"/>
                <w:szCs w:val="24"/>
                <w:lang w:eastAsia="lv-LV"/>
              </w:rPr>
              <w:t>atbilstoši</w:t>
            </w:r>
            <w:r w:rsidR="00454F31">
              <w:t xml:space="preserve"> </w:t>
            </w:r>
            <w:r w:rsidR="00454F31" w:rsidRPr="00454F31">
              <w:rPr>
                <w:rFonts w:ascii="Times New Roman" w:eastAsia="Times New Roman" w:hAnsi="Times New Roman" w:cs="Times New Roman"/>
                <w:color w:val="000000"/>
                <w:sz w:val="24"/>
                <w:szCs w:val="24"/>
                <w:lang w:eastAsia="lv-LV"/>
              </w:rPr>
              <w:t>Apdrošināšanas un pārapdrošināšanas likuma 204. panta pirmā</w:t>
            </w:r>
            <w:r w:rsidR="00454F31">
              <w:rPr>
                <w:rFonts w:ascii="Times New Roman" w:eastAsia="Times New Roman" w:hAnsi="Times New Roman" w:cs="Times New Roman"/>
                <w:color w:val="000000"/>
                <w:sz w:val="24"/>
                <w:szCs w:val="24"/>
                <w:lang w:eastAsia="lv-LV"/>
              </w:rPr>
              <w:t>s</w:t>
            </w:r>
            <w:r w:rsidR="00454F31" w:rsidRPr="00454F31">
              <w:rPr>
                <w:rFonts w:ascii="Times New Roman" w:eastAsia="Times New Roman" w:hAnsi="Times New Roman" w:cs="Times New Roman"/>
                <w:color w:val="000000"/>
                <w:sz w:val="24"/>
                <w:szCs w:val="24"/>
                <w:lang w:eastAsia="lv-LV"/>
              </w:rPr>
              <w:t xml:space="preserve"> daļa</w:t>
            </w:r>
            <w:r w:rsidR="00454F31">
              <w:rPr>
                <w:rFonts w:ascii="Times New Roman" w:eastAsia="Times New Roman" w:hAnsi="Times New Roman" w:cs="Times New Roman"/>
                <w:color w:val="000000"/>
                <w:sz w:val="24"/>
                <w:szCs w:val="24"/>
                <w:lang w:eastAsia="lv-LV"/>
              </w:rPr>
              <w:t>s deleģējumam.</w:t>
            </w:r>
          </w:p>
          <w:p w14:paraId="0D704356" w14:textId="27F384ED" w:rsidR="0009394F" w:rsidRPr="00955A54" w:rsidRDefault="00B37F0C" w:rsidP="00222826">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sidR="000A4A2F">
              <w:rPr>
                <w:rFonts w:ascii="Times New Roman" w:eastAsia="Times New Roman" w:hAnsi="Times New Roman" w:cs="Times New Roman"/>
                <w:color w:val="000000"/>
                <w:sz w:val="24"/>
                <w:szCs w:val="24"/>
                <w:lang w:eastAsia="lv-LV"/>
              </w:rPr>
              <w:t xml:space="preserve">nav </w:t>
            </w:r>
            <w:r w:rsidR="003244FF">
              <w:rPr>
                <w:rFonts w:ascii="Times New Roman" w:eastAsia="Times New Roman" w:hAnsi="Times New Roman" w:cs="Times New Roman"/>
                <w:color w:val="000000"/>
                <w:sz w:val="24"/>
                <w:szCs w:val="24"/>
                <w:lang w:eastAsia="lv-LV"/>
              </w:rPr>
              <w:t>identificēta</w:t>
            </w:r>
            <w:r w:rsidR="000A4A2F">
              <w:rPr>
                <w:rFonts w:ascii="Times New Roman" w:eastAsia="Times New Roman" w:hAnsi="Times New Roman" w:cs="Times New Roman"/>
                <w:color w:val="000000"/>
                <w:sz w:val="24"/>
                <w:szCs w:val="24"/>
                <w:lang w:eastAsia="lv-LV"/>
              </w:rPr>
              <w:t xml:space="preserve"> neviena </w:t>
            </w:r>
            <w:r w:rsidR="003244FF" w:rsidRPr="00CE123F">
              <w:rPr>
                <w:rFonts w:ascii="Times New Roman" w:eastAsia="Times New Roman" w:hAnsi="Times New Roman" w:cs="Times New Roman"/>
                <w:color w:val="000000"/>
                <w:sz w:val="24"/>
                <w:szCs w:val="24"/>
                <w:lang w:eastAsia="lv-LV"/>
              </w:rPr>
              <w:t>grupas uzraudzībai pakļaut</w:t>
            </w:r>
            <w:r w:rsidR="003244FF">
              <w:rPr>
                <w:rFonts w:ascii="Times New Roman" w:eastAsia="Times New Roman" w:hAnsi="Times New Roman" w:cs="Times New Roman"/>
                <w:color w:val="000000"/>
                <w:sz w:val="24"/>
                <w:szCs w:val="24"/>
                <w:lang w:eastAsia="lv-LV"/>
              </w:rPr>
              <w:t>a</w:t>
            </w:r>
            <w:r w:rsidR="003244FF" w:rsidRPr="00CE123F">
              <w:rPr>
                <w:rFonts w:ascii="Times New Roman" w:eastAsia="Times New Roman" w:hAnsi="Times New Roman" w:cs="Times New Roman"/>
                <w:color w:val="000000"/>
                <w:sz w:val="24"/>
                <w:szCs w:val="24"/>
                <w:lang w:eastAsia="lv-LV"/>
              </w:rPr>
              <w:t xml:space="preserve"> sabiedrīb</w:t>
            </w:r>
            <w:r w:rsidR="003244FF">
              <w:rPr>
                <w:rFonts w:ascii="Times New Roman" w:eastAsia="Times New Roman" w:hAnsi="Times New Roman" w:cs="Times New Roman"/>
                <w:color w:val="000000"/>
                <w:sz w:val="24"/>
                <w:szCs w:val="24"/>
                <w:lang w:eastAsia="lv-LV"/>
              </w:rPr>
              <w:t>a</w:t>
            </w:r>
            <w:r w:rsidR="00364619">
              <w:rPr>
                <w:rFonts w:ascii="Times New Roman" w:eastAsia="Times New Roman" w:hAnsi="Times New Roman" w:cs="Times New Roman"/>
                <w:color w:val="000000"/>
                <w:sz w:val="24"/>
                <w:szCs w:val="24"/>
                <w:lang w:eastAsia="lv-LV"/>
              </w:rPr>
              <w:t>.</w:t>
            </w:r>
          </w:p>
        </w:tc>
      </w:tr>
      <w:tr w:rsidR="006C3828" w:rsidRPr="00894D21" w14:paraId="1068B2B5" w14:textId="77777777" w:rsidTr="00780E7D">
        <w:trPr>
          <w:trHeight w:val="567"/>
        </w:trPr>
        <w:tc>
          <w:tcPr>
            <w:tcW w:w="1166" w:type="pct"/>
            <w:shd w:val="clear" w:color="auto" w:fill="auto"/>
            <w:hideMark/>
          </w:tcPr>
          <w:p w14:paraId="77E478DC" w14:textId="14771382" w:rsidR="006C3828" w:rsidRPr="00894D21" w:rsidRDefault="006C3828" w:rsidP="00222826">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tc>
        <w:tc>
          <w:tcPr>
            <w:tcW w:w="3834" w:type="pct"/>
            <w:shd w:val="clear" w:color="auto" w:fill="auto"/>
          </w:tcPr>
          <w:p w14:paraId="12FD857D" w14:textId="7A469F2F"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w:t>
            </w:r>
            <w:r w:rsidRPr="00894D21">
              <w:rPr>
                <w:rFonts w:ascii="Times New Roman" w:eastAsia="Times New Roman" w:hAnsi="Times New Roman" w:cs="Times New Roman"/>
                <w:sz w:val="24"/>
                <w:szCs w:val="24"/>
                <w:lang w:eastAsia="lv-LV"/>
              </w:rPr>
              <w:lastRenderedPageBreak/>
              <w:t xml:space="preserve">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320BF953" w14:textId="083BABEE" w:rsidR="00185035"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kuri darbojas apdrošināšanas un pārapdrošinā</w:t>
            </w:r>
            <w:r w:rsidR="00EB7E37">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w:t>
            </w:r>
            <w:r w:rsidR="006C1A53">
              <w:rPr>
                <w:rFonts w:ascii="Times New Roman" w:eastAsia="Times New Roman" w:hAnsi="Times New Roman" w:cs="Times New Roman"/>
                <w:sz w:val="24"/>
                <w:szCs w:val="24"/>
                <w:lang w:eastAsia="lv-LV"/>
              </w:rPr>
              <w:t>ā</w:t>
            </w:r>
            <w:r w:rsidRPr="00894D21">
              <w:rPr>
                <w:rFonts w:ascii="Times New Roman" w:eastAsia="Times New Roman" w:hAnsi="Times New Roman" w:cs="Times New Roman"/>
                <w:sz w:val="24"/>
                <w:szCs w:val="24"/>
                <w:lang w:eastAsia="lv-LV"/>
              </w:rPr>
              <w:t xml:space="preserve"> pienākum</w:t>
            </w:r>
            <w:r w:rsidR="006C1A53">
              <w:rPr>
                <w:rFonts w:ascii="Times New Roman" w:eastAsia="Times New Roman" w:hAnsi="Times New Roman" w:cs="Times New Roman"/>
                <w:sz w:val="24"/>
                <w:szCs w:val="24"/>
                <w:lang w:eastAsia="lv-LV"/>
              </w:rPr>
              <w:t>a</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w:t>
            </w:r>
          </w:p>
        </w:tc>
      </w:tr>
      <w:tr w:rsidR="006C3828" w:rsidRPr="00894D21" w14:paraId="1C6D72DB" w14:textId="77777777" w:rsidTr="00780E7D">
        <w:trPr>
          <w:trHeight w:val="567"/>
        </w:trPr>
        <w:tc>
          <w:tcPr>
            <w:tcW w:w="1166" w:type="pct"/>
            <w:shd w:val="clear" w:color="auto" w:fill="auto"/>
            <w:hideMark/>
          </w:tcPr>
          <w:p w14:paraId="5D7A323C" w14:textId="373421FE"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tc>
        <w:tc>
          <w:tcPr>
            <w:tcW w:w="3834" w:type="pct"/>
            <w:shd w:val="clear" w:color="auto" w:fill="auto"/>
          </w:tcPr>
          <w:p w14:paraId="270DF230" w14:textId="0526D901" w:rsidR="007C5300" w:rsidRDefault="007C5300" w:rsidP="0022282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tiek izdoti,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17F8EB5A" w:rsidR="00185035" w:rsidRDefault="00185035" w:rsidP="0022282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 xml:space="preserve">oteikumi papildina Apdrošināšanas un pārapdrošināšanas likumā un tieši piemērojamos </w:t>
            </w:r>
            <w:r w:rsidR="006C1A53" w:rsidRPr="00185035">
              <w:rPr>
                <w:rFonts w:ascii="Times New Roman" w:eastAsia="Times New Roman" w:hAnsi="Times New Roman" w:cs="Times New Roman"/>
                <w:sz w:val="24"/>
                <w:szCs w:val="24"/>
                <w:lang w:eastAsia="lv-LV"/>
              </w:rPr>
              <w:t>Eiropas Savienības</w:t>
            </w:r>
            <w:r w:rsidR="006C1A53">
              <w:rPr>
                <w:rFonts w:ascii="Times New Roman" w:eastAsia="Times New Roman" w:hAnsi="Times New Roman" w:cs="Times New Roman"/>
                <w:sz w:val="24"/>
                <w:szCs w:val="24"/>
                <w:lang w:eastAsia="lv-LV"/>
              </w:rPr>
              <w:t xml:space="preserve"> </w:t>
            </w:r>
            <w:r w:rsidRPr="00185035">
              <w:rPr>
                <w:rFonts w:ascii="Times New Roman" w:eastAsia="Times New Roman" w:hAnsi="Times New Roman" w:cs="Times New Roman"/>
                <w:sz w:val="24"/>
                <w:szCs w:val="24"/>
                <w:lang w:eastAsia="lv-LV"/>
              </w:rPr>
              <w:t xml:space="preserve">tiesību aktos noteiktās prasības ar mērķi nodrošināt </w:t>
            </w:r>
            <w:r w:rsidR="00652116" w:rsidRPr="00652116">
              <w:rPr>
                <w:rFonts w:ascii="Times New Roman" w:eastAsia="Times New Roman" w:hAnsi="Times New Roman" w:cs="Times New Roman"/>
                <w:sz w:val="24"/>
                <w:szCs w:val="24"/>
                <w:lang w:eastAsia="lv-LV"/>
              </w:rPr>
              <w:t xml:space="preserve">vienotu un precīzu regulējošo prasību piemērošanu, uzlabotu profesionālās prakses konsekvenci un sniegtu atbalstu </w:t>
            </w:r>
            <w:r w:rsidR="00C50913" w:rsidRPr="00CE123F">
              <w:rPr>
                <w:rFonts w:ascii="Times New Roman" w:eastAsia="Times New Roman" w:hAnsi="Times New Roman" w:cs="Times New Roman"/>
                <w:color w:val="000000"/>
                <w:sz w:val="24"/>
                <w:szCs w:val="24"/>
                <w:lang w:eastAsia="lv-LV"/>
              </w:rPr>
              <w:t>grupas uzraudzībai pakļautām sabiedrībām</w:t>
            </w:r>
            <w:r w:rsidR="00E13A71">
              <w:rPr>
                <w:rFonts w:ascii="Times New Roman" w:eastAsia="Times New Roman" w:hAnsi="Times New Roman" w:cs="Times New Roman"/>
                <w:sz w:val="24"/>
                <w:szCs w:val="24"/>
                <w:lang w:eastAsia="lv-LV"/>
              </w:rPr>
              <w:t xml:space="preserve">, veicot </w:t>
            </w:r>
            <w:r w:rsidR="00C50913">
              <w:rPr>
                <w:rFonts w:ascii="Times New Roman" w:eastAsia="Times New Roman" w:hAnsi="Times New Roman" w:cs="Times New Roman"/>
                <w:color w:val="000000"/>
                <w:sz w:val="24"/>
                <w:szCs w:val="24"/>
                <w:lang w:eastAsia="lv-LV"/>
              </w:rPr>
              <w:t>grupas</w:t>
            </w:r>
            <w:r w:rsidR="00E13A71" w:rsidRPr="00FE78D9">
              <w:rPr>
                <w:rFonts w:ascii="Times New Roman" w:eastAsia="Times New Roman" w:hAnsi="Times New Roman" w:cs="Times New Roman"/>
                <w:color w:val="000000"/>
                <w:sz w:val="24"/>
                <w:szCs w:val="24"/>
                <w:lang w:eastAsia="lv-LV"/>
              </w:rPr>
              <w:t xml:space="preserve"> maksātspējas kapitāla prasības un </w:t>
            </w:r>
            <w:r w:rsidR="00C50913">
              <w:rPr>
                <w:rFonts w:ascii="Times New Roman" w:eastAsia="Times New Roman" w:hAnsi="Times New Roman" w:cs="Times New Roman"/>
                <w:color w:val="000000"/>
                <w:sz w:val="24"/>
                <w:szCs w:val="24"/>
                <w:lang w:eastAsia="lv-LV"/>
              </w:rPr>
              <w:t xml:space="preserve">grupas </w:t>
            </w:r>
            <w:r w:rsidR="00E13A71" w:rsidRPr="00FE78D9">
              <w:rPr>
                <w:rFonts w:ascii="Times New Roman" w:eastAsia="Times New Roman" w:hAnsi="Times New Roman" w:cs="Times New Roman"/>
                <w:color w:val="000000"/>
                <w:sz w:val="24"/>
                <w:szCs w:val="24"/>
                <w:lang w:eastAsia="lv-LV"/>
              </w:rPr>
              <w:t>pašu kapitāla aprēķinu</w:t>
            </w:r>
            <w:r w:rsidRPr="00185035">
              <w:rPr>
                <w:rFonts w:ascii="Times New Roman" w:eastAsia="Times New Roman" w:hAnsi="Times New Roman" w:cs="Times New Roman"/>
                <w:sz w:val="24"/>
                <w:szCs w:val="24"/>
                <w:lang w:eastAsia="lv-LV"/>
              </w:rPr>
              <w:t>.</w:t>
            </w:r>
          </w:p>
          <w:p w14:paraId="370B8AB2" w14:textId="7696F9B8" w:rsidR="002C1202" w:rsidRPr="002C1202" w:rsidRDefault="002C1202" w:rsidP="000E1BB4">
            <w:pPr>
              <w:spacing w:line="240" w:lineRule="auto"/>
              <w:jc w:val="both"/>
              <w:rPr>
                <w:rFonts w:ascii="Times New Roman" w:eastAsia="Times New Roman" w:hAnsi="Times New Roman" w:cs="Times New Roman"/>
                <w:sz w:val="24"/>
                <w:szCs w:val="24"/>
                <w:lang w:eastAsia="lv-LV"/>
              </w:rPr>
            </w:pPr>
            <w:r w:rsidRPr="002C1202">
              <w:rPr>
                <w:rFonts w:ascii="Times New Roman" w:eastAsia="Times New Roman" w:hAnsi="Times New Roman" w:cs="Times New Roman"/>
                <w:sz w:val="24"/>
                <w:szCs w:val="24"/>
                <w:lang w:eastAsia="lv-LV"/>
              </w:rPr>
              <w:t xml:space="preserve">Atbilstošākais veids, kā noteikt vienotas prasības </w:t>
            </w:r>
            <w:r w:rsidR="00C50913">
              <w:rPr>
                <w:rFonts w:ascii="Times New Roman" w:eastAsia="Times New Roman" w:hAnsi="Times New Roman" w:cs="Times New Roman"/>
                <w:sz w:val="24"/>
                <w:szCs w:val="24"/>
                <w:lang w:eastAsia="lv-LV"/>
              </w:rPr>
              <w:t xml:space="preserve">grupas </w:t>
            </w:r>
            <w:r w:rsidRPr="002C1202">
              <w:rPr>
                <w:rFonts w:ascii="Times New Roman" w:eastAsia="Times New Roman" w:hAnsi="Times New Roman" w:cs="Times New Roman"/>
                <w:sz w:val="24"/>
                <w:szCs w:val="24"/>
                <w:lang w:eastAsia="lv-LV"/>
              </w:rPr>
              <w:t xml:space="preserve">kapitāla prasības un </w:t>
            </w:r>
            <w:r w:rsidR="00C50913">
              <w:rPr>
                <w:rFonts w:ascii="Times New Roman" w:eastAsia="Times New Roman" w:hAnsi="Times New Roman" w:cs="Times New Roman"/>
                <w:sz w:val="24"/>
                <w:szCs w:val="24"/>
                <w:lang w:eastAsia="lv-LV"/>
              </w:rPr>
              <w:t xml:space="preserve">grupas </w:t>
            </w:r>
            <w:r w:rsidRPr="002C1202">
              <w:rPr>
                <w:rFonts w:ascii="Times New Roman" w:eastAsia="Times New Roman" w:hAnsi="Times New Roman" w:cs="Times New Roman"/>
                <w:sz w:val="24"/>
                <w:szCs w:val="24"/>
                <w:lang w:eastAsia="lv-LV"/>
              </w:rPr>
              <w:t>pašu kapitāla noteikšanai, ir izdot</w:t>
            </w:r>
            <w:r w:rsidR="00FC2085">
              <w:rPr>
                <w:rFonts w:ascii="Times New Roman" w:eastAsia="Times New Roman" w:hAnsi="Times New Roman" w:cs="Times New Roman"/>
                <w:sz w:val="24"/>
                <w:szCs w:val="24"/>
                <w:lang w:eastAsia="lv-LV"/>
              </w:rPr>
              <w:t xml:space="preserve"> finanšu</w:t>
            </w:r>
            <w:r w:rsidRPr="002C1202">
              <w:rPr>
                <w:rFonts w:ascii="Times New Roman" w:eastAsia="Times New Roman" w:hAnsi="Times New Roman" w:cs="Times New Roman"/>
                <w:sz w:val="24"/>
                <w:szCs w:val="24"/>
                <w:lang w:eastAsia="lv-LV"/>
              </w:rPr>
              <w:t xml:space="preserve"> tirgus dalībniekiem saistošus noteikumus, kas noteiktu vienotas prasības visiem</w:t>
            </w:r>
            <w:r w:rsidR="00FC2085">
              <w:rPr>
                <w:rFonts w:ascii="Times New Roman" w:eastAsia="Times New Roman" w:hAnsi="Times New Roman" w:cs="Times New Roman"/>
                <w:sz w:val="24"/>
                <w:szCs w:val="24"/>
                <w:lang w:eastAsia="lv-LV"/>
              </w:rPr>
              <w:t xml:space="preserve"> finanšu</w:t>
            </w:r>
            <w:r w:rsidRPr="002C1202">
              <w:rPr>
                <w:rFonts w:ascii="Times New Roman" w:eastAsia="Times New Roman" w:hAnsi="Times New Roman" w:cs="Times New Roman"/>
                <w:sz w:val="24"/>
                <w:szCs w:val="24"/>
                <w:lang w:eastAsia="lv-LV"/>
              </w:rPr>
              <w:t xml:space="preserve"> tirgus dalībniekiem tādā veidā, kas atbilst to darbības apjom</w:t>
            </w:r>
            <w:r w:rsidR="00FC2085">
              <w:rPr>
                <w:rFonts w:ascii="Times New Roman" w:eastAsia="Times New Roman" w:hAnsi="Times New Roman" w:cs="Times New Roman"/>
                <w:sz w:val="24"/>
                <w:szCs w:val="24"/>
                <w:lang w:eastAsia="lv-LV"/>
              </w:rPr>
              <w:t>a</w:t>
            </w:r>
            <w:r w:rsidRPr="002C1202">
              <w:rPr>
                <w:rFonts w:ascii="Times New Roman" w:eastAsia="Times New Roman" w:hAnsi="Times New Roman" w:cs="Times New Roman"/>
                <w:sz w:val="24"/>
                <w:szCs w:val="24"/>
                <w:lang w:eastAsia="lv-LV"/>
              </w:rPr>
              <w:t xml:space="preserve">m un sarežģītībai. </w:t>
            </w:r>
            <w:r w:rsidR="006464CE">
              <w:rPr>
                <w:rFonts w:ascii="Times New Roman" w:eastAsia="Times New Roman" w:hAnsi="Times New Roman" w:cs="Times New Roman"/>
                <w:sz w:val="24"/>
                <w:szCs w:val="24"/>
                <w:lang w:eastAsia="lv-LV"/>
              </w:rPr>
              <w:t xml:space="preserve">Noteikumu projekts ievieš </w:t>
            </w:r>
            <w:r w:rsidR="006B66F5">
              <w:rPr>
                <w:rFonts w:ascii="Times New Roman" w:eastAsia="Times New Roman" w:hAnsi="Times New Roman" w:cs="Times New Roman"/>
                <w:sz w:val="24"/>
                <w:szCs w:val="24"/>
                <w:lang w:eastAsia="lv-LV"/>
              </w:rPr>
              <w:t>D</w:t>
            </w:r>
            <w:r w:rsidR="006464CE">
              <w:rPr>
                <w:rFonts w:ascii="Times New Roman" w:eastAsia="Times New Roman" w:hAnsi="Times New Roman" w:cs="Times New Roman"/>
                <w:color w:val="000000"/>
                <w:sz w:val="24"/>
                <w:szCs w:val="24"/>
                <w:lang w:eastAsia="lv-LV"/>
              </w:rPr>
              <w:t>irektīvā</w:t>
            </w:r>
            <w:r w:rsidR="00B73F56">
              <w:rPr>
                <w:rFonts w:ascii="Times New Roman" w:eastAsia="Times New Roman" w:hAnsi="Times New Roman" w:cs="Times New Roman"/>
                <w:color w:val="000000"/>
                <w:sz w:val="24"/>
                <w:szCs w:val="24"/>
                <w:lang w:eastAsia="lv-LV"/>
              </w:rPr>
              <w:t> </w:t>
            </w:r>
            <w:hyperlink r:id="rId14" w:tgtFrame="_blank" w:history="1">
              <w:r w:rsidR="006464CE">
                <w:rPr>
                  <w:rFonts w:ascii="Times New Roman" w:eastAsia="Times New Roman" w:hAnsi="Times New Roman" w:cs="Times New Roman"/>
                  <w:color w:val="000000"/>
                  <w:sz w:val="24"/>
                  <w:szCs w:val="24"/>
                  <w:lang w:eastAsia="lv-LV"/>
                </w:rPr>
                <w:t>2009/138/EK</w:t>
              </w:r>
            </w:hyperlink>
            <w:r w:rsidR="006464CE">
              <w:rPr>
                <w:rFonts w:ascii="Times New Roman" w:eastAsia="Times New Roman" w:hAnsi="Times New Roman" w:cs="Times New Roman"/>
                <w:color w:val="000000"/>
                <w:sz w:val="24"/>
                <w:szCs w:val="24"/>
                <w:lang w:eastAsia="lv-LV"/>
              </w:rPr>
              <w:t xml:space="preserve"> noteiktās </w:t>
            </w:r>
            <w:r w:rsidR="00C50913">
              <w:rPr>
                <w:rFonts w:ascii="Times New Roman" w:eastAsia="Times New Roman" w:hAnsi="Times New Roman" w:cs="Times New Roman"/>
                <w:color w:val="000000"/>
                <w:sz w:val="24"/>
                <w:szCs w:val="24"/>
                <w:lang w:eastAsia="lv-LV"/>
              </w:rPr>
              <w:t xml:space="preserve">grupas </w:t>
            </w:r>
            <w:r w:rsidR="006464CE">
              <w:rPr>
                <w:rFonts w:ascii="Times New Roman" w:eastAsia="Times New Roman" w:hAnsi="Times New Roman" w:cs="Times New Roman"/>
                <w:color w:val="000000"/>
                <w:sz w:val="24"/>
                <w:szCs w:val="24"/>
                <w:lang w:eastAsia="lv-LV"/>
              </w:rPr>
              <w:t xml:space="preserve">maksātspējas kapitāla prasības un </w:t>
            </w:r>
            <w:r w:rsidR="00C50913">
              <w:rPr>
                <w:rFonts w:ascii="Times New Roman" w:eastAsia="Times New Roman" w:hAnsi="Times New Roman" w:cs="Times New Roman"/>
                <w:color w:val="000000"/>
                <w:sz w:val="24"/>
                <w:szCs w:val="24"/>
                <w:lang w:eastAsia="lv-LV"/>
              </w:rPr>
              <w:t xml:space="preserve">grupas </w:t>
            </w:r>
            <w:r w:rsidR="006464CE">
              <w:rPr>
                <w:rFonts w:ascii="Times New Roman" w:eastAsia="Times New Roman" w:hAnsi="Times New Roman" w:cs="Times New Roman"/>
                <w:color w:val="000000"/>
                <w:sz w:val="24"/>
                <w:szCs w:val="24"/>
                <w:lang w:eastAsia="lv-LV"/>
              </w:rPr>
              <w:t xml:space="preserve">pašu kapitāla noteikšanas prasības. </w:t>
            </w:r>
            <w:r w:rsidRPr="002C1202">
              <w:rPr>
                <w:rFonts w:ascii="Times New Roman" w:eastAsia="Times New Roman" w:hAnsi="Times New Roman" w:cs="Times New Roman"/>
                <w:sz w:val="24"/>
                <w:szCs w:val="24"/>
                <w:lang w:eastAsia="lv-LV"/>
              </w:rPr>
              <w:t>Noteikumu projekts būtībā neievieš jaunas prasības, kas nebūtu paredzētas līdz šim spēkā esošajos</w:t>
            </w:r>
            <w:r>
              <w:rPr>
                <w:rFonts w:ascii="Times New Roman" w:eastAsia="Times New Roman" w:hAnsi="Times New Roman" w:cs="Times New Roman"/>
                <w:sz w:val="24"/>
                <w:szCs w:val="24"/>
                <w:lang w:eastAsia="lv-LV"/>
              </w:rPr>
              <w:t xml:space="preserve"> </w:t>
            </w:r>
            <w:r w:rsidRPr="00D33B79">
              <w:rPr>
                <w:rFonts w:ascii="Times New Roman" w:hAnsi="Times New Roman" w:cs="Times New Roman"/>
                <w:sz w:val="24"/>
                <w:szCs w:val="24"/>
              </w:rPr>
              <w:t>Noteikum</w:t>
            </w:r>
            <w:r w:rsidR="00FC2085">
              <w:rPr>
                <w:rFonts w:ascii="Times New Roman" w:hAnsi="Times New Roman" w:cs="Times New Roman"/>
                <w:sz w:val="24"/>
                <w:szCs w:val="24"/>
              </w:rPr>
              <w:t>os</w:t>
            </w:r>
            <w:r w:rsidRPr="00D33B79">
              <w:rPr>
                <w:rFonts w:ascii="Times New Roman" w:hAnsi="Times New Roman" w:cs="Times New Roman"/>
                <w:sz w:val="24"/>
                <w:szCs w:val="24"/>
              </w:rPr>
              <w:t xml:space="preserve"> Nr. </w:t>
            </w:r>
            <w:r>
              <w:rPr>
                <w:rFonts w:ascii="Times New Roman" w:hAnsi="Times New Roman" w:cs="Times New Roman"/>
                <w:sz w:val="24"/>
                <w:szCs w:val="24"/>
              </w:rPr>
              <w:t>2</w:t>
            </w:r>
            <w:r w:rsidR="00C50913">
              <w:rPr>
                <w:rFonts w:ascii="Times New Roman" w:hAnsi="Times New Roman" w:cs="Times New Roman"/>
                <w:sz w:val="24"/>
                <w:szCs w:val="24"/>
              </w:rPr>
              <w:t>50</w:t>
            </w:r>
            <w:r w:rsidRPr="002C1202">
              <w:rPr>
                <w:rFonts w:ascii="Times New Roman" w:eastAsia="Times New Roman" w:hAnsi="Times New Roman" w:cs="Times New Roman"/>
                <w:sz w:val="24"/>
                <w:szCs w:val="24"/>
                <w:lang w:eastAsia="lv-LV"/>
              </w:rPr>
              <w:t>.</w:t>
            </w:r>
          </w:p>
          <w:p w14:paraId="29E6F5B9" w14:textId="37B2207E" w:rsidR="00C071E2" w:rsidRPr="00894D21" w:rsidRDefault="0022793C" w:rsidP="0022282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w:t>
            </w:r>
            <w:r w:rsidR="002B46D2">
              <w:rPr>
                <w:rFonts w:ascii="Times New Roman" w:eastAsia="Times New Roman" w:hAnsi="Times New Roman" w:cs="Times New Roman"/>
                <w:sz w:val="24"/>
                <w:szCs w:val="24"/>
                <w:lang w:eastAsia="lv-LV"/>
              </w:rPr>
              <w:t xml:space="preserve">Treškārt, </w:t>
            </w:r>
            <w:r w:rsidR="671264DD" w:rsidRPr="00894D21">
              <w:rPr>
                <w:rFonts w:ascii="Times New Roman" w:eastAsia="Times New Roman" w:hAnsi="Times New Roman" w:cs="Times New Roman"/>
                <w:sz w:val="24"/>
                <w:szCs w:val="24"/>
                <w:lang w:eastAsia="lv-LV"/>
              </w:rPr>
              <w:t>sabiedrības ieguvums būs lielāks par papildu slogu un resursu ieguldījumu (ņemot vērā jau esošās prasības), kas konkrētam finanšu tirgus dalībniekam varētu rasties ar uzliktajiem pienākumiem, un tos atsver 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6B4568BB" w14:textId="6608D6DA" w:rsidR="006C3828" w:rsidRPr="00894D21" w:rsidRDefault="006C3828" w:rsidP="00222826">
            <w:pPr>
              <w:spacing w:after="0" w:line="240" w:lineRule="auto"/>
              <w:rPr>
                <w:rFonts w:ascii="Times New Roman" w:eastAsia="Times New Roman" w:hAnsi="Times New Roman" w:cs="Times New Roman"/>
                <w:b/>
                <w:bCs/>
                <w:sz w:val="24"/>
                <w:szCs w:val="24"/>
                <w:lang w:eastAsia="lv-LV"/>
              </w:rPr>
            </w:pPr>
            <w:bookmarkStart w:id="4" w:name="_Hlk129966404"/>
            <w:r w:rsidRPr="00894D21">
              <w:rPr>
                <w:rFonts w:ascii="Times New Roman" w:eastAsia="Times New Roman" w:hAnsi="Times New Roman" w:cs="Times New Roman"/>
                <w:b/>
                <w:bCs/>
                <w:sz w:val="24"/>
                <w:szCs w:val="24"/>
                <w:lang w:eastAsia="lv-LV"/>
              </w:rPr>
              <w:t>Spēkā stāšanās</w:t>
            </w:r>
            <w:bookmarkEnd w:id="4"/>
          </w:p>
        </w:tc>
        <w:tc>
          <w:tcPr>
            <w:tcW w:w="3834" w:type="pct"/>
            <w:shd w:val="clear" w:color="auto" w:fill="auto"/>
          </w:tcPr>
          <w:p w14:paraId="60CFB602" w14:textId="5896922B" w:rsidR="00537F87" w:rsidRPr="00894D21" w:rsidRDefault="005235BB" w:rsidP="00222826">
            <w:pPr>
              <w:spacing w:after="120" w:line="240" w:lineRule="auto"/>
              <w:jc w:val="both"/>
              <w:rPr>
                <w:rFonts w:ascii="Times New Roman" w:eastAsia="Times New Roman" w:hAnsi="Times New Roman" w:cs="Times New Roman"/>
                <w:sz w:val="24"/>
                <w:szCs w:val="24"/>
                <w:lang w:eastAsia="lv-LV"/>
              </w:rPr>
            </w:pPr>
            <w:bookmarkStart w:id="5" w:name="_Hlk179907987"/>
            <w:r>
              <w:rPr>
                <w:rFonts w:ascii="Times New Roman" w:eastAsia="Times New Roman" w:hAnsi="Times New Roman" w:cs="Times New Roman"/>
                <w:sz w:val="24"/>
                <w:szCs w:val="24"/>
                <w:lang w:eastAsia="lv-LV"/>
              </w:rPr>
              <w:t xml:space="preserve">Šim </w:t>
            </w:r>
            <w:r w:rsidR="004877B0">
              <w:rPr>
                <w:rFonts w:ascii="Times New Roman" w:eastAsia="Times New Roman" w:hAnsi="Times New Roman" w:cs="Times New Roman"/>
                <w:sz w:val="24"/>
                <w:szCs w:val="24"/>
                <w:lang w:eastAsia="lv-LV"/>
              </w:rPr>
              <w:t>n</w:t>
            </w:r>
            <w:r>
              <w:rPr>
                <w:rFonts w:ascii="Times New Roman" w:eastAsia="Times New Roman" w:hAnsi="Times New Roman" w:cs="Times New Roman"/>
                <w:sz w:val="24"/>
                <w:szCs w:val="24"/>
                <w:lang w:eastAsia="lv-LV"/>
              </w:rPr>
              <w:t>oteikumu projektam un Latvijas Bankas noteikumu projektam</w:t>
            </w:r>
            <w:r w:rsidRPr="005235BB">
              <w:rPr>
                <w:rFonts w:ascii="Times New Roman" w:eastAsia="Times New Roman" w:hAnsi="Times New Roman" w:cs="Times New Roman"/>
                <w:sz w:val="24"/>
                <w:szCs w:val="24"/>
                <w:lang w:eastAsia="lv-LV"/>
              </w:rPr>
              <w:t xml:space="preserve"> </w:t>
            </w:r>
            <w:r w:rsidRPr="00293524">
              <w:rPr>
                <w:rFonts w:ascii="Times New Roman" w:eastAsia="Times New Roman" w:hAnsi="Times New Roman" w:cs="Times New Roman"/>
                <w:sz w:val="24"/>
                <w:szCs w:val="24"/>
                <w:lang w:eastAsia="lv-LV"/>
              </w:rPr>
              <w:t>"Apdrošināšanas sabiedrību, pārapdrošināšanas sabiedrību un ārvalsts apdrošinātāju filiāļu maksātspējas kapitāla prasības un izmantojamā pašu kapitāla aprēķināšanas noteikumi"</w:t>
            </w:r>
            <w:r w:rsidRPr="005235BB">
              <w:rPr>
                <w:rFonts w:ascii="Times New Roman" w:eastAsia="Times New Roman" w:hAnsi="Times New Roman" w:cs="Times New Roman"/>
                <w:sz w:val="24"/>
                <w:szCs w:val="24"/>
                <w:lang w:eastAsia="lv-LV"/>
              </w:rPr>
              <w:t xml:space="preserve"> jānodrošina vienlaicīga spēkā stāšanās, tā</w:t>
            </w:r>
            <w:r w:rsidR="00222826">
              <w:rPr>
                <w:rFonts w:ascii="Times New Roman" w:eastAsia="Times New Roman" w:hAnsi="Times New Roman" w:cs="Times New Roman"/>
                <w:sz w:val="24"/>
                <w:szCs w:val="24"/>
                <w:lang w:eastAsia="lv-LV"/>
              </w:rPr>
              <w:t>pēc</w:t>
            </w:r>
            <w:r w:rsidRPr="005235BB">
              <w:rPr>
                <w:rFonts w:ascii="Times New Roman" w:eastAsia="Times New Roman" w:hAnsi="Times New Roman" w:cs="Times New Roman"/>
                <w:sz w:val="24"/>
                <w:szCs w:val="24"/>
                <w:lang w:eastAsia="lv-LV"/>
              </w:rPr>
              <w:t xml:space="preserve"> tie virzāmi apstiprināšanai L</w:t>
            </w:r>
            <w:r>
              <w:rPr>
                <w:rFonts w:ascii="Times New Roman" w:eastAsia="Times New Roman" w:hAnsi="Times New Roman" w:cs="Times New Roman"/>
                <w:sz w:val="24"/>
                <w:szCs w:val="24"/>
                <w:lang w:eastAsia="lv-LV"/>
              </w:rPr>
              <w:t>atvijas Bankas</w:t>
            </w:r>
            <w:r w:rsidRPr="005235BB">
              <w:rPr>
                <w:rFonts w:ascii="Times New Roman" w:eastAsia="Times New Roman" w:hAnsi="Times New Roman" w:cs="Times New Roman"/>
                <w:sz w:val="24"/>
                <w:szCs w:val="24"/>
                <w:lang w:eastAsia="lv-LV"/>
              </w:rPr>
              <w:t xml:space="preserve"> padomē vienlaikus</w:t>
            </w:r>
            <w:r w:rsidR="00537F87">
              <w:rPr>
                <w:rFonts w:ascii="Times New Roman" w:eastAsia="Times New Roman" w:hAnsi="Times New Roman" w:cs="Times New Roman"/>
                <w:sz w:val="24"/>
                <w:szCs w:val="24"/>
                <w:lang w:eastAsia="lv-LV"/>
              </w:rPr>
              <w:t xml:space="preserve">, paredzot vienādu spēkā stāšanās datumu – </w:t>
            </w:r>
            <w:bookmarkEnd w:id="5"/>
            <w:r w:rsidR="00537F87">
              <w:rPr>
                <w:rFonts w:ascii="Times New Roman" w:eastAsia="Times New Roman" w:hAnsi="Times New Roman" w:cs="Times New Roman"/>
                <w:sz w:val="24"/>
                <w:szCs w:val="24"/>
                <w:lang w:eastAsia="lv-LV"/>
              </w:rPr>
              <w:t>2025. gada 1. janvāri.</w:t>
            </w:r>
          </w:p>
        </w:tc>
      </w:tr>
      <w:tr w:rsidR="006C3828" w:rsidRPr="00894D21" w14:paraId="0DEA2EE8" w14:textId="77777777" w:rsidTr="00780E7D">
        <w:trPr>
          <w:trHeight w:val="567"/>
        </w:trPr>
        <w:tc>
          <w:tcPr>
            <w:tcW w:w="1166" w:type="pct"/>
            <w:shd w:val="clear" w:color="auto" w:fill="auto"/>
            <w:hideMark/>
          </w:tcPr>
          <w:p w14:paraId="666A22E2" w14:textId="0E5F194E"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Ietekme uz Latvijas Bankas budžetu</w:t>
            </w:r>
          </w:p>
        </w:tc>
        <w:tc>
          <w:tcPr>
            <w:tcW w:w="3834" w:type="pct"/>
            <w:shd w:val="clear" w:color="auto" w:fill="auto"/>
          </w:tcPr>
          <w:p w14:paraId="10C919A9" w14:textId="77777777"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29762232" w14:textId="715A8027" w:rsidR="006C3828" w:rsidRPr="00894D21" w:rsidRDefault="006C3828" w:rsidP="00222826">
            <w:pPr>
              <w:spacing w:after="0" w:line="240" w:lineRule="auto"/>
              <w:rPr>
                <w:rFonts w:ascii="Times New Roman" w:eastAsia="Times New Roman" w:hAnsi="Times New Roman" w:cs="Times New Roman"/>
                <w:b/>
                <w:bCs/>
                <w:sz w:val="24"/>
                <w:szCs w:val="24"/>
                <w:lang w:eastAsia="lv-LV"/>
              </w:rPr>
            </w:pPr>
            <w:bookmarkStart w:id="6" w:name="_Hlk129966385"/>
            <w:r w:rsidRPr="00894D21">
              <w:rPr>
                <w:rFonts w:ascii="Times New Roman" w:eastAsia="Times New Roman" w:hAnsi="Times New Roman" w:cs="Times New Roman"/>
                <w:b/>
                <w:bCs/>
                <w:sz w:val="24"/>
                <w:szCs w:val="24"/>
                <w:lang w:eastAsia="lv-LV"/>
              </w:rPr>
              <w:t>Administratīvā sloga un izmaksu novērtējums (tirgus dalībniekiem)</w:t>
            </w:r>
            <w:bookmarkEnd w:id="6"/>
          </w:p>
        </w:tc>
        <w:tc>
          <w:tcPr>
            <w:tcW w:w="3834" w:type="pct"/>
            <w:shd w:val="clear" w:color="auto" w:fill="auto"/>
          </w:tcPr>
          <w:p w14:paraId="7FDE5294" w14:textId="751A17F7" w:rsidR="006C3828" w:rsidRPr="00894D21" w:rsidRDefault="002B46D2" w:rsidP="0022282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222826">
              <w:rPr>
                <w:rFonts w:ascii="Times New Roman" w:eastAsia="Times New Roman" w:hAnsi="Times New Roman" w:cs="Times New Roman"/>
                <w:sz w:val="24"/>
                <w:szCs w:val="24"/>
                <w:lang w:eastAsia="lv-LV"/>
              </w:rPr>
              <w:t>ājumā</w:t>
            </w:r>
            <w:r>
              <w:rPr>
                <w:rFonts w:ascii="Times New Roman" w:eastAsia="Times New Roman" w:hAnsi="Times New Roman" w:cs="Times New Roman"/>
                <w:sz w:val="24"/>
                <w:szCs w:val="24"/>
                <w:lang w:eastAsia="lv-LV"/>
              </w:rPr>
              <w:t xml:space="preserve"> ar Noteikumiem Nr. 250 p</w:t>
            </w:r>
            <w:r w:rsidR="00DF5BA7">
              <w:rPr>
                <w:rFonts w:ascii="Times New Roman" w:eastAsia="Times New Roman" w:hAnsi="Times New Roman" w:cs="Times New Roman"/>
                <w:sz w:val="24"/>
                <w:szCs w:val="24"/>
                <w:lang w:eastAsia="lv-LV"/>
              </w:rPr>
              <w:t xml:space="preserve">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C50913">
              <w:rPr>
                <w:rFonts w:ascii="Times New Roman" w:eastAsia="Times New Roman" w:hAnsi="Times New Roman" w:cs="Times New Roman"/>
                <w:sz w:val="24"/>
                <w:szCs w:val="24"/>
                <w:lang w:eastAsia="lv-LV"/>
              </w:rPr>
              <w:t>.</w:t>
            </w:r>
          </w:p>
        </w:tc>
      </w:tr>
      <w:tr w:rsidR="006C3828" w:rsidRPr="00894D21" w14:paraId="7C375F90" w14:textId="77777777" w:rsidTr="00780E7D">
        <w:trPr>
          <w:trHeight w:val="567"/>
        </w:trPr>
        <w:tc>
          <w:tcPr>
            <w:tcW w:w="1166" w:type="pct"/>
            <w:shd w:val="clear" w:color="auto" w:fill="auto"/>
            <w:hideMark/>
          </w:tcPr>
          <w:p w14:paraId="5BE3B739" w14:textId="1D5F12AD"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tc>
        <w:tc>
          <w:tcPr>
            <w:tcW w:w="3834" w:type="pct"/>
            <w:shd w:val="clear" w:color="auto" w:fill="auto"/>
          </w:tcPr>
          <w:p w14:paraId="7E3550BE" w14:textId="637F123F" w:rsidR="00894D21" w:rsidRPr="001606B9" w:rsidRDefault="00894D21" w:rsidP="00222826">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58BF5D2D" w:rsidR="006A1E74" w:rsidRPr="001606B9" w:rsidRDefault="00901F92"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74A925E8" w14:textId="38A2BB6F" w:rsidR="006464CE" w:rsidRDefault="00901F92"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6464CE">
              <w:rPr>
                <w:rFonts w:ascii="Times New Roman" w:eastAsia="Times New Roman" w:hAnsi="Times New Roman" w:cs="Times New Roman"/>
                <w:sz w:val="24"/>
                <w:szCs w:val="24"/>
                <w:lang w:eastAsia="lv-LV"/>
              </w:rPr>
              <w:t>2</w:t>
            </w:r>
            <w:r w:rsidR="00B23EB8">
              <w:rPr>
                <w:rFonts w:ascii="Times New Roman" w:eastAsia="Times New Roman" w:hAnsi="Times New Roman" w:cs="Times New Roman"/>
                <w:sz w:val="24"/>
                <w:szCs w:val="24"/>
                <w:lang w:eastAsia="lv-LV"/>
              </w:rPr>
              <w:t>50</w:t>
            </w:r>
            <w:r>
              <w:rPr>
                <w:rFonts w:ascii="Times New Roman" w:eastAsia="Times New Roman" w:hAnsi="Times New Roman" w:cs="Times New Roman"/>
                <w:sz w:val="24"/>
                <w:szCs w:val="24"/>
                <w:lang w:eastAsia="lv-LV"/>
              </w:rPr>
              <w:t>;</w:t>
            </w:r>
          </w:p>
          <w:p w14:paraId="030785A1" w14:textId="2224D4EC" w:rsidR="00F66E68" w:rsidRDefault="00F66E68"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sidRPr="00F66E68">
              <w:rPr>
                <w:rFonts w:ascii="Times New Roman" w:eastAsia="Times New Roman" w:hAnsi="Times New Roman" w:cs="Times New Roman"/>
                <w:sz w:val="24"/>
                <w:szCs w:val="24"/>
                <w:lang w:eastAsia="lv-LV"/>
              </w:rPr>
              <w:t>Latvijas Bankas 2024.</w:t>
            </w:r>
            <w:r>
              <w:rPr>
                <w:rFonts w:ascii="Times New Roman" w:eastAsia="Times New Roman" w:hAnsi="Times New Roman" w:cs="Times New Roman"/>
                <w:sz w:val="24"/>
                <w:szCs w:val="24"/>
                <w:lang w:eastAsia="lv-LV"/>
              </w:rPr>
              <w:t> </w:t>
            </w:r>
            <w:r w:rsidRPr="00F66E68">
              <w:rPr>
                <w:rFonts w:ascii="Times New Roman" w:eastAsia="Times New Roman" w:hAnsi="Times New Roman" w:cs="Times New Roman"/>
                <w:sz w:val="24"/>
                <w:szCs w:val="24"/>
                <w:lang w:eastAsia="lv-LV"/>
              </w:rPr>
              <w:t>gada 26.</w:t>
            </w:r>
            <w:r>
              <w:rPr>
                <w:rFonts w:ascii="Times New Roman" w:eastAsia="Times New Roman" w:hAnsi="Times New Roman" w:cs="Times New Roman"/>
                <w:sz w:val="24"/>
                <w:szCs w:val="24"/>
                <w:lang w:eastAsia="lv-LV"/>
              </w:rPr>
              <w:t> </w:t>
            </w:r>
            <w:r w:rsidRPr="00F66E68">
              <w:rPr>
                <w:rFonts w:ascii="Times New Roman" w:eastAsia="Times New Roman" w:hAnsi="Times New Roman" w:cs="Times New Roman"/>
                <w:sz w:val="24"/>
                <w:szCs w:val="24"/>
                <w:lang w:eastAsia="lv-LV"/>
              </w:rPr>
              <w:t>februāra noteikum</w:t>
            </w:r>
            <w:r>
              <w:rPr>
                <w:rFonts w:ascii="Times New Roman" w:eastAsia="Times New Roman" w:hAnsi="Times New Roman" w:cs="Times New Roman"/>
                <w:sz w:val="24"/>
                <w:szCs w:val="24"/>
                <w:lang w:eastAsia="lv-LV"/>
              </w:rPr>
              <w:t>i</w:t>
            </w:r>
            <w:r w:rsidRPr="00F66E68">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Pr="00F66E68">
              <w:rPr>
                <w:rFonts w:ascii="Times New Roman" w:eastAsia="Times New Roman" w:hAnsi="Times New Roman" w:cs="Times New Roman"/>
                <w:sz w:val="24"/>
                <w:szCs w:val="24"/>
                <w:lang w:eastAsia="lv-LV"/>
              </w:rPr>
              <w:t>274 "Noteikumi par finanšu konglomerāta kapitāla pietiekamības aprēķināšanas kārtību un papildu uzraudzībai nepieciešamās informācijas sniegšanas kārtību"</w:t>
            </w:r>
            <w:r>
              <w:rPr>
                <w:rFonts w:ascii="Times New Roman" w:eastAsia="Times New Roman" w:hAnsi="Times New Roman" w:cs="Times New Roman"/>
                <w:sz w:val="24"/>
                <w:szCs w:val="24"/>
                <w:lang w:eastAsia="lv-LV"/>
              </w:rPr>
              <w:t>;</w:t>
            </w:r>
          </w:p>
          <w:p w14:paraId="2C3EFE0E" w14:textId="348F208A" w:rsidR="00765FFF" w:rsidRDefault="00765FFF"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Latvijas Bankas 2024. gada 30. septembra noteikumi Nr. 320 </w:t>
            </w:r>
            <w:r w:rsidRPr="00293524">
              <w:rPr>
                <w:rFonts w:ascii="Times New Roman" w:eastAsia="Times New Roman" w:hAnsi="Times New Roman" w:cs="Times New Roman"/>
                <w:sz w:val="24"/>
                <w:szCs w:val="24"/>
                <w:lang w:eastAsia="lv-LV"/>
              </w:rPr>
              <w:t>"</w:t>
            </w:r>
            <w:r w:rsidRPr="00765FFF">
              <w:rPr>
                <w:rFonts w:ascii="Times New Roman" w:eastAsia="Times New Roman" w:hAnsi="Times New Roman" w:cs="Times New Roman"/>
                <w:sz w:val="24"/>
                <w:szCs w:val="24"/>
                <w:lang w:eastAsia="lv-LV"/>
              </w:rPr>
              <w:t xml:space="preserve">Apdrošinātāju un </w:t>
            </w:r>
            <w:proofErr w:type="spellStart"/>
            <w:r w:rsidRPr="00765FFF">
              <w:rPr>
                <w:rFonts w:ascii="Times New Roman" w:eastAsia="Times New Roman" w:hAnsi="Times New Roman" w:cs="Times New Roman"/>
                <w:sz w:val="24"/>
                <w:szCs w:val="24"/>
                <w:lang w:eastAsia="lv-LV"/>
              </w:rPr>
              <w:t>pārapdrošinātāju</w:t>
            </w:r>
            <w:proofErr w:type="spellEnd"/>
            <w:r w:rsidRPr="00765FFF">
              <w:rPr>
                <w:rFonts w:ascii="Times New Roman" w:eastAsia="Times New Roman" w:hAnsi="Times New Roman" w:cs="Times New Roman"/>
                <w:sz w:val="24"/>
                <w:szCs w:val="24"/>
                <w:lang w:eastAsia="lv-LV"/>
              </w:rPr>
              <w:t xml:space="preserve"> pārskatu sagatavošanas noteikumi</w:t>
            </w:r>
            <w:r w:rsidRPr="0029352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0696CF0F" w14:textId="439B7611" w:rsidR="00293524" w:rsidRDefault="00293524"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sidRPr="000E1BB4">
              <w:rPr>
                <w:rFonts w:ascii="Times New Roman" w:eastAsia="Times New Roman" w:hAnsi="Times New Roman" w:cs="Times New Roman"/>
                <w:sz w:val="24"/>
                <w:szCs w:val="24"/>
                <w:highlight w:val="lightGray"/>
                <w:lang w:eastAsia="lv-LV"/>
              </w:rPr>
              <w:t>Latvijas Bankas noteikumu projekts "Apdrošināšanas sabiedrību, pārapdrošināšanas sabiedrību un ārvalsts apdrošinātāju filiāļu maksātspējas kapitāla prasības un pašu kapitāla aprēķināšanas noteikumi"</w:t>
            </w:r>
            <w:r>
              <w:rPr>
                <w:rFonts w:ascii="Times New Roman" w:eastAsia="Times New Roman" w:hAnsi="Times New Roman" w:cs="Times New Roman"/>
                <w:sz w:val="24"/>
                <w:szCs w:val="24"/>
                <w:lang w:eastAsia="lv-LV"/>
              </w:rPr>
              <w:t>;</w:t>
            </w:r>
          </w:p>
          <w:p w14:paraId="1C76DAE8" w14:textId="4846A889" w:rsidR="006A79B6" w:rsidRPr="00D05FD1" w:rsidRDefault="006A79B6"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Pr>
                <w:rFonts w:ascii="Times New Roman" w:eastAsia="Times New Roman" w:hAnsi="Times New Roman" w:cs="Times New Roman"/>
                <w:color w:val="000000"/>
                <w:sz w:val="24"/>
                <w:szCs w:val="24"/>
                <w:lang w:eastAsia="lv-LV"/>
              </w:rPr>
              <w:t>irektīva</w:t>
            </w:r>
            <w:r w:rsidR="00B73F56">
              <w:rPr>
                <w:rFonts w:ascii="Times New Roman" w:eastAsia="Times New Roman" w:hAnsi="Times New Roman" w:cs="Times New Roman"/>
                <w:color w:val="000000"/>
                <w:sz w:val="24"/>
                <w:szCs w:val="24"/>
                <w:lang w:eastAsia="lv-LV"/>
              </w:rPr>
              <w:t> </w:t>
            </w:r>
            <w:hyperlink r:id="rId15" w:tgtFrame="_blank" w:history="1">
              <w:r>
                <w:rPr>
                  <w:rFonts w:ascii="Times New Roman" w:eastAsia="Times New Roman" w:hAnsi="Times New Roman" w:cs="Times New Roman"/>
                  <w:color w:val="000000"/>
                  <w:sz w:val="24"/>
                  <w:szCs w:val="24"/>
                  <w:lang w:eastAsia="lv-LV"/>
                </w:rPr>
                <w:t>2009/138/EK</w:t>
              </w:r>
            </w:hyperlink>
            <w:r>
              <w:rPr>
                <w:rFonts w:ascii="Times New Roman" w:eastAsia="Times New Roman" w:hAnsi="Times New Roman" w:cs="Times New Roman"/>
                <w:color w:val="000000"/>
                <w:sz w:val="24"/>
                <w:szCs w:val="24"/>
                <w:lang w:eastAsia="lv-LV"/>
              </w:rPr>
              <w:t>;</w:t>
            </w:r>
          </w:p>
          <w:p w14:paraId="072FE49A" w14:textId="66B2E5C5" w:rsidR="00D05FD1" w:rsidRDefault="00D05FD1" w:rsidP="00D05FD1">
            <w:pPr>
              <w:pStyle w:val="NApunkts1"/>
              <w:numPr>
                <w:ilvl w:val="0"/>
                <w:numId w:val="15"/>
              </w:numPr>
              <w:tabs>
                <w:tab w:val="left" w:pos="426"/>
              </w:tabs>
              <w:spacing w:before="120"/>
            </w:pPr>
            <w:r w:rsidRPr="00531BD1">
              <w:t>Eiropas Parlamenta un Padomes 2011.</w:t>
            </w:r>
            <w:r>
              <w:rPr>
                <w:color w:val="000000"/>
              </w:rPr>
              <w:t> </w:t>
            </w:r>
            <w:r w:rsidRPr="00531BD1">
              <w:t>gada 16.</w:t>
            </w:r>
            <w:r>
              <w:rPr>
                <w:color w:val="000000"/>
              </w:rPr>
              <w:t> </w:t>
            </w:r>
            <w:r w:rsidRPr="00531BD1">
              <w:t>novembr</w:t>
            </w:r>
            <w:r>
              <w:t>a</w:t>
            </w:r>
            <w:r w:rsidRPr="00531BD1">
              <w:t xml:space="preserve"> </w:t>
            </w:r>
            <w:r>
              <w:t>d</w:t>
            </w:r>
            <w:r w:rsidRPr="00531BD1">
              <w:t xml:space="preserve">irektīva 2011/89/ES, ar ko attiecībā uz finanšu konglomerātā esošo finanšu sabiedrību papildu uzraudzību groza </w:t>
            </w:r>
            <w:r>
              <w:t>d</w:t>
            </w:r>
            <w:r w:rsidRPr="00531BD1">
              <w:t>irektīvu 98/78/EK, 2002/87/EK, 2006/48/EK un 2009/138/EK</w:t>
            </w:r>
            <w:r>
              <w:t>;</w:t>
            </w:r>
          </w:p>
          <w:p w14:paraId="64C47B82" w14:textId="02A4456C" w:rsidR="00D05FD1" w:rsidRPr="00D05FD1" w:rsidRDefault="00D05FD1" w:rsidP="00D05FD1">
            <w:pPr>
              <w:pStyle w:val="NApunkts1"/>
              <w:numPr>
                <w:ilvl w:val="0"/>
                <w:numId w:val="15"/>
              </w:numPr>
              <w:tabs>
                <w:tab w:val="left" w:pos="420"/>
              </w:tabs>
              <w:spacing w:before="120"/>
            </w:pPr>
            <w:r w:rsidRPr="00531BD1">
              <w:t>Eiropas Parlamenta un Padomes 2014.</w:t>
            </w:r>
            <w:r>
              <w:rPr>
                <w:color w:val="000000"/>
              </w:rPr>
              <w:t> </w:t>
            </w:r>
            <w:r w:rsidRPr="00531BD1">
              <w:t>gada 16.</w:t>
            </w:r>
            <w:r>
              <w:rPr>
                <w:color w:val="000000"/>
              </w:rPr>
              <w:t> </w:t>
            </w:r>
            <w:r w:rsidRPr="00531BD1">
              <w:t>aprī</w:t>
            </w:r>
            <w:r>
              <w:t>ļa</w:t>
            </w:r>
            <w:r w:rsidRPr="00531BD1">
              <w:t xml:space="preserve"> </w:t>
            </w:r>
            <w:r>
              <w:t>d</w:t>
            </w:r>
            <w:r w:rsidRPr="00531BD1">
              <w:t xml:space="preserve">irektīva 2014/51/ES, ar ko groza </w:t>
            </w:r>
            <w:r>
              <w:t>d</w:t>
            </w:r>
            <w:r w:rsidRPr="00531BD1">
              <w:t xml:space="preserve">irektīvu 2003/71/EK un </w:t>
            </w:r>
            <w:r>
              <w:t>d</w:t>
            </w:r>
            <w:r w:rsidRPr="00531BD1">
              <w:t xml:space="preserve">irektīvu 2009/138/EK un </w:t>
            </w:r>
            <w:r>
              <w:t>r</w:t>
            </w:r>
            <w:r w:rsidRPr="00531BD1">
              <w:t>egulas (EK) Nr.</w:t>
            </w:r>
            <w:r>
              <w:rPr>
                <w:color w:val="000000"/>
              </w:rPr>
              <w:t> </w:t>
            </w:r>
            <w:r w:rsidRPr="00531BD1">
              <w:t>1060/2009, (ES) Nr.</w:t>
            </w:r>
            <w:r>
              <w:rPr>
                <w:color w:val="000000"/>
              </w:rPr>
              <w:t> </w:t>
            </w:r>
            <w:r w:rsidRPr="00531BD1">
              <w:t>1094/2010 un (ES) Nr.</w:t>
            </w:r>
            <w:r>
              <w:rPr>
                <w:color w:val="000000"/>
              </w:rPr>
              <w:t> </w:t>
            </w:r>
            <w:r w:rsidRPr="00531BD1">
              <w:t xml:space="preserve">1095/2010 attiecībā uz Eiropas Uzraudzības iestādes (Eiropas Apdrošināšanas un </w:t>
            </w:r>
            <w:proofErr w:type="spellStart"/>
            <w:r w:rsidRPr="00531BD1">
              <w:t>fondēto</w:t>
            </w:r>
            <w:proofErr w:type="spellEnd"/>
            <w:r w:rsidRPr="00531BD1">
              <w:t xml:space="preserve"> pensiju iestādes) un Eiropas Uzraudzības iestādes (Eiropas Vērtspapīru un tirgu iestādes) pilnvarām</w:t>
            </w:r>
            <w:r>
              <w:t>;</w:t>
            </w:r>
          </w:p>
          <w:p w14:paraId="40DC6FE2" w14:textId="34A5FF25" w:rsidR="006A79B6" w:rsidRDefault="00D97A37"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w:t>
            </w:r>
            <w:r w:rsidR="006A79B6" w:rsidRPr="002C1202">
              <w:rPr>
                <w:rFonts w:ascii="Times New Roman" w:eastAsia="Times New Roman" w:hAnsi="Times New Roman" w:cs="Times New Roman"/>
                <w:sz w:val="24"/>
                <w:szCs w:val="24"/>
                <w:lang w:eastAsia="lv-LV"/>
              </w:rPr>
              <w:t>egul</w:t>
            </w:r>
            <w:r w:rsidR="006A79B6">
              <w:rPr>
                <w:rFonts w:ascii="Times New Roman" w:eastAsia="Times New Roman" w:hAnsi="Times New Roman" w:cs="Times New Roman"/>
                <w:sz w:val="24"/>
                <w:szCs w:val="24"/>
                <w:lang w:eastAsia="lv-LV"/>
              </w:rPr>
              <w:t>a</w:t>
            </w:r>
            <w:r w:rsidR="00B73F56">
              <w:rPr>
                <w:rFonts w:ascii="Times New Roman" w:eastAsia="Times New Roman" w:hAnsi="Times New Roman" w:cs="Times New Roman"/>
                <w:sz w:val="24"/>
                <w:szCs w:val="24"/>
                <w:lang w:eastAsia="lv-LV"/>
              </w:rPr>
              <w:t> </w:t>
            </w:r>
            <w:r w:rsidR="006A79B6" w:rsidRPr="002C1202">
              <w:rPr>
                <w:rFonts w:ascii="Times New Roman" w:eastAsia="Times New Roman" w:hAnsi="Times New Roman" w:cs="Times New Roman"/>
                <w:sz w:val="24"/>
                <w:szCs w:val="24"/>
                <w:lang w:eastAsia="lv-LV"/>
              </w:rPr>
              <w:t>2015/35</w:t>
            </w:r>
            <w:r w:rsidR="006A79B6">
              <w:rPr>
                <w:rFonts w:ascii="Times New Roman" w:eastAsia="Times New Roman" w:hAnsi="Times New Roman" w:cs="Times New Roman"/>
                <w:sz w:val="24"/>
                <w:szCs w:val="24"/>
                <w:lang w:eastAsia="lv-LV"/>
              </w:rPr>
              <w:t>;</w:t>
            </w:r>
          </w:p>
          <w:p w14:paraId="3E62C998" w14:textId="769AEC79" w:rsidR="006D32A7" w:rsidRDefault="006D32A7"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sidRPr="006D32A7">
              <w:rPr>
                <w:rFonts w:ascii="Times New Roman" w:eastAsia="Times New Roman" w:hAnsi="Times New Roman" w:cs="Times New Roman"/>
                <w:sz w:val="24"/>
                <w:szCs w:val="24"/>
                <w:lang w:eastAsia="lv-LV"/>
              </w:rPr>
              <w:t>Komisijas 2015.</w:t>
            </w:r>
            <w:r>
              <w:rPr>
                <w:rFonts w:ascii="Times New Roman" w:eastAsia="Times New Roman" w:hAnsi="Times New Roman" w:cs="Times New Roman"/>
                <w:sz w:val="24"/>
                <w:szCs w:val="24"/>
                <w:lang w:eastAsia="lv-LV"/>
              </w:rPr>
              <w:t> </w:t>
            </w:r>
            <w:r w:rsidRPr="006D32A7">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6D32A7">
              <w:rPr>
                <w:rFonts w:ascii="Times New Roman" w:eastAsia="Times New Roman" w:hAnsi="Times New Roman" w:cs="Times New Roman"/>
                <w:sz w:val="24"/>
                <w:szCs w:val="24"/>
                <w:lang w:eastAsia="lv-LV"/>
              </w:rPr>
              <w:t>marta īstenošanas regula (ES) 2015/498, ar ko nosaka īstenošanas tehniskos standartus attiecībā uz uzraudzības iestāžu apstiprinājuma procedūru sabiedrības īpašo parametru izmantošanai saskaņā ar Eiropas Parlamenta un Padomes direktīvu 2009/138/EK</w:t>
            </w:r>
            <w:r>
              <w:rPr>
                <w:rFonts w:ascii="Times New Roman" w:eastAsia="Times New Roman" w:hAnsi="Times New Roman" w:cs="Times New Roman"/>
                <w:sz w:val="24"/>
                <w:szCs w:val="24"/>
                <w:lang w:eastAsia="lv-LV"/>
              </w:rPr>
              <w:t>;</w:t>
            </w:r>
          </w:p>
          <w:p w14:paraId="7F5FD61D" w14:textId="78F5B0EA" w:rsidR="00030E93" w:rsidRDefault="00030E93"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Pr="00030E93">
              <w:rPr>
                <w:rFonts w:ascii="Times New Roman" w:eastAsia="Times New Roman" w:hAnsi="Times New Roman" w:cs="Times New Roman"/>
                <w:sz w:val="24"/>
                <w:szCs w:val="24"/>
                <w:lang w:eastAsia="lv-LV"/>
              </w:rPr>
              <w:t>Komisijas 2023.</w:t>
            </w:r>
            <w:r w:rsidR="004877B0">
              <w:rPr>
                <w:rFonts w:ascii="Times New Roman" w:eastAsia="Times New Roman" w:hAnsi="Times New Roman" w:cs="Times New Roman"/>
                <w:sz w:val="24"/>
                <w:szCs w:val="24"/>
                <w:lang w:eastAsia="lv-LV"/>
              </w:rPr>
              <w:t> </w:t>
            </w:r>
            <w:r w:rsidRPr="00030E93">
              <w:rPr>
                <w:rFonts w:ascii="Times New Roman" w:eastAsia="Times New Roman" w:hAnsi="Times New Roman" w:cs="Times New Roman"/>
                <w:sz w:val="24"/>
                <w:szCs w:val="24"/>
                <w:lang w:eastAsia="lv-LV"/>
              </w:rPr>
              <w:t>gada 4.</w:t>
            </w:r>
            <w:r w:rsidR="00E45A68">
              <w:rPr>
                <w:rFonts w:ascii="Times New Roman" w:eastAsia="Times New Roman" w:hAnsi="Times New Roman" w:cs="Times New Roman"/>
                <w:sz w:val="24"/>
                <w:szCs w:val="24"/>
                <w:lang w:eastAsia="lv-LV"/>
              </w:rPr>
              <w:t> </w:t>
            </w:r>
            <w:r w:rsidRPr="00030E93">
              <w:rPr>
                <w:rFonts w:ascii="Times New Roman" w:eastAsia="Times New Roman" w:hAnsi="Times New Roman" w:cs="Times New Roman"/>
                <w:sz w:val="24"/>
                <w:szCs w:val="24"/>
                <w:lang w:eastAsia="lv-LV"/>
              </w:rPr>
              <w:t>aprīļa</w:t>
            </w:r>
            <w:r w:rsidR="00E45A68">
              <w:rPr>
                <w:rFonts w:ascii="Times New Roman" w:eastAsia="Times New Roman" w:hAnsi="Times New Roman" w:cs="Times New Roman"/>
                <w:sz w:val="24"/>
                <w:szCs w:val="24"/>
                <w:lang w:eastAsia="lv-LV"/>
              </w:rPr>
              <w:t xml:space="preserve"> </w:t>
            </w:r>
            <w:r w:rsidRPr="00030E93">
              <w:rPr>
                <w:rFonts w:ascii="Times New Roman" w:eastAsia="Times New Roman" w:hAnsi="Times New Roman" w:cs="Times New Roman"/>
                <w:sz w:val="24"/>
                <w:szCs w:val="24"/>
                <w:lang w:eastAsia="lv-LV"/>
              </w:rPr>
              <w:t xml:space="preserve">īstenošanas regula (ES) 2023/894, ar ko nosaka īstenošanas tehniskos standartus Eiropas Parlamenta un Padomes direktīvas 2009/138/EK piemērošanai attiecībā uz veidnēm, kuras apdrošināšanas un pārapdrošināšanas sabiedrības izmanto, lai iesniegtu </w:t>
            </w:r>
            <w:r w:rsidRPr="00030E93">
              <w:rPr>
                <w:rFonts w:ascii="Times New Roman" w:eastAsia="Times New Roman" w:hAnsi="Times New Roman" w:cs="Times New Roman"/>
                <w:sz w:val="24"/>
                <w:szCs w:val="24"/>
                <w:lang w:eastAsia="lv-LV"/>
              </w:rPr>
              <w:lastRenderedPageBreak/>
              <w:t>savām uzraudzības iestādēm informāciju, kas nepieciešama to uzraudzībai, un ar ko atceļ īstenošanas regulu (ES) 2015/2450</w:t>
            </w:r>
            <w:r>
              <w:rPr>
                <w:rFonts w:ascii="Times New Roman" w:eastAsia="Times New Roman" w:hAnsi="Times New Roman" w:cs="Times New Roman"/>
                <w:sz w:val="24"/>
                <w:szCs w:val="24"/>
                <w:lang w:eastAsia="lv-LV"/>
              </w:rPr>
              <w:t>;</w:t>
            </w:r>
          </w:p>
          <w:p w14:paraId="09E62F08" w14:textId="08C07BD0" w:rsidR="00B23EB8" w:rsidRPr="00B23EB8" w:rsidRDefault="00E40460"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hyperlink r:id="rId16" w:history="1">
              <w:r w:rsidR="00B23EB8" w:rsidRPr="00203BA0">
                <w:rPr>
                  <w:rFonts w:ascii="Times New Roman" w:eastAsia="Times New Roman" w:hAnsi="Times New Roman" w:cs="Times New Roman"/>
                  <w:sz w:val="24"/>
                  <w:szCs w:val="24"/>
                  <w:lang w:eastAsia="lv-LV"/>
                </w:rPr>
                <w:t>EAAPI pamatnostādnes Nr.</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EIOPA-BoS-14/181</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LV "Pamatnostādnes par grupas maksātspēju"</w:t>
              </w:r>
            </w:hyperlink>
            <w:r w:rsidR="00B23EB8" w:rsidRPr="00B23EB8">
              <w:rPr>
                <w:rFonts w:ascii="Times New Roman" w:eastAsia="Times New Roman" w:hAnsi="Times New Roman" w:cs="Times New Roman"/>
                <w:sz w:val="24"/>
                <w:szCs w:val="24"/>
                <w:lang w:eastAsia="lv-LV"/>
              </w:rPr>
              <w:t>;</w:t>
            </w:r>
          </w:p>
          <w:p w14:paraId="5EA709B7" w14:textId="33FC3ABB" w:rsidR="00B23EB8" w:rsidRPr="00B23EB8" w:rsidRDefault="00E40460"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hyperlink r:id="rId17" w:history="1">
              <w:r w:rsidR="00B23EB8" w:rsidRPr="00203BA0">
                <w:rPr>
                  <w:rFonts w:ascii="Times New Roman" w:eastAsia="Times New Roman" w:hAnsi="Times New Roman" w:cs="Times New Roman"/>
                  <w:sz w:val="24"/>
                  <w:szCs w:val="24"/>
                  <w:lang w:eastAsia="lv-LV"/>
                </w:rPr>
                <w:t>EAAPI pamatnostādnes Nr.</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EIOPA-BoS-14/167</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LV "Pamatnostādnes par papildu pašu kapitālu"</w:t>
              </w:r>
            </w:hyperlink>
            <w:r w:rsidR="00B23EB8" w:rsidRPr="00B23EB8">
              <w:rPr>
                <w:rFonts w:ascii="Times New Roman" w:eastAsia="Times New Roman" w:hAnsi="Times New Roman" w:cs="Times New Roman"/>
                <w:sz w:val="24"/>
                <w:szCs w:val="24"/>
                <w:lang w:eastAsia="lv-LV"/>
              </w:rPr>
              <w:t>;</w:t>
            </w:r>
          </w:p>
          <w:p w14:paraId="492C9A15" w14:textId="73FF7A3E" w:rsidR="00B23EB8" w:rsidRPr="00B23EB8" w:rsidRDefault="00E40460"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hyperlink r:id="rId18" w:history="1">
              <w:r w:rsidR="00B23EB8" w:rsidRPr="00203BA0">
                <w:rPr>
                  <w:rFonts w:ascii="Times New Roman" w:eastAsia="Times New Roman" w:hAnsi="Times New Roman" w:cs="Times New Roman"/>
                  <w:sz w:val="24"/>
                  <w:szCs w:val="24"/>
                  <w:lang w:eastAsia="lv-LV"/>
                </w:rPr>
                <w:t>EAAPI pamatnostādnes Nr.</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EIOPA-BoS-14/173</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 xml:space="preserve">LV "Pamatnostādnes attiecībā uz nodotās pārapdrošināšanas līgumu piemērošanu </w:t>
              </w:r>
              <w:proofErr w:type="spellStart"/>
              <w:r w:rsidR="00B23EB8" w:rsidRPr="00203BA0">
                <w:rPr>
                  <w:rFonts w:ascii="Times New Roman" w:eastAsia="Times New Roman" w:hAnsi="Times New Roman" w:cs="Times New Roman"/>
                  <w:sz w:val="24"/>
                  <w:szCs w:val="24"/>
                  <w:lang w:eastAsia="lv-LV"/>
                </w:rPr>
                <w:t>nedzīvības</w:t>
              </w:r>
              <w:proofErr w:type="spellEnd"/>
              <w:r w:rsidR="00B23EB8" w:rsidRPr="00203BA0">
                <w:rPr>
                  <w:rFonts w:ascii="Times New Roman" w:eastAsia="Times New Roman" w:hAnsi="Times New Roman" w:cs="Times New Roman"/>
                  <w:sz w:val="24"/>
                  <w:szCs w:val="24"/>
                  <w:lang w:eastAsia="lv-LV"/>
                </w:rPr>
                <w:t xml:space="preserve"> apdrošināšanas parakstīšanas riska </w:t>
              </w:r>
              <w:proofErr w:type="spellStart"/>
              <w:r w:rsidR="00B23EB8" w:rsidRPr="00203BA0">
                <w:rPr>
                  <w:rFonts w:ascii="Times New Roman" w:eastAsia="Times New Roman" w:hAnsi="Times New Roman" w:cs="Times New Roman"/>
                  <w:sz w:val="24"/>
                  <w:szCs w:val="24"/>
                  <w:lang w:eastAsia="lv-LV"/>
                </w:rPr>
                <w:t>apakšmodulim</w:t>
              </w:r>
              <w:proofErr w:type="spellEnd"/>
              <w:r w:rsidR="00B23EB8" w:rsidRPr="00203BA0">
                <w:rPr>
                  <w:rFonts w:ascii="Times New Roman" w:eastAsia="Times New Roman" w:hAnsi="Times New Roman" w:cs="Times New Roman"/>
                  <w:sz w:val="24"/>
                  <w:szCs w:val="24"/>
                  <w:lang w:eastAsia="lv-LV"/>
                </w:rPr>
                <w:t>"</w:t>
              </w:r>
            </w:hyperlink>
            <w:r w:rsidR="00B23EB8" w:rsidRPr="00B23EB8">
              <w:rPr>
                <w:rFonts w:ascii="Times New Roman" w:eastAsia="Times New Roman" w:hAnsi="Times New Roman" w:cs="Times New Roman"/>
                <w:sz w:val="24"/>
                <w:szCs w:val="24"/>
                <w:lang w:eastAsia="lv-LV"/>
              </w:rPr>
              <w:t>;</w:t>
            </w:r>
          </w:p>
          <w:p w14:paraId="4F1FE0FC" w14:textId="4773FA61" w:rsidR="00B23EB8" w:rsidRPr="00B23EB8" w:rsidRDefault="00E40460"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hyperlink r:id="rId19" w:history="1">
              <w:r w:rsidR="00B23EB8" w:rsidRPr="00203BA0">
                <w:rPr>
                  <w:rFonts w:ascii="Times New Roman" w:eastAsia="Times New Roman" w:hAnsi="Times New Roman" w:cs="Times New Roman"/>
                  <w:sz w:val="24"/>
                  <w:szCs w:val="24"/>
                  <w:lang w:eastAsia="lv-LV"/>
                </w:rPr>
                <w:t>EAAPI pamatnostādnes Nr.</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EIOPA-BoS-14/177</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LV "Pamatnostādnes par tehnisko rezervju un atlikto nodokļu zaudējumu segšanas spēju"</w:t>
              </w:r>
            </w:hyperlink>
            <w:r w:rsidR="00B23EB8" w:rsidRPr="00B23EB8">
              <w:rPr>
                <w:rFonts w:ascii="Times New Roman" w:eastAsia="Times New Roman" w:hAnsi="Times New Roman" w:cs="Times New Roman"/>
                <w:sz w:val="24"/>
                <w:szCs w:val="24"/>
                <w:lang w:eastAsia="lv-LV"/>
              </w:rPr>
              <w:t>;</w:t>
            </w:r>
          </w:p>
          <w:p w14:paraId="37E58BF7" w14:textId="70106F30" w:rsidR="00A06E04" w:rsidRPr="00B23EB8" w:rsidRDefault="00E40460" w:rsidP="00D05FD1">
            <w:pPr>
              <w:pStyle w:val="ListParagraph"/>
              <w:numPr>
                <w:ilvl w:val="0"/>
                <w:numId w:val="15"/>
              </w:numPr>
              <w:tabs>
                <w:tab w:val="left" w:pos="420"/>
              </w:tabs>
              <w:spacing w:before="120" w:after="0" w:line="240" w:lineRule="auto"/>
              <w:contextualSpacing w:val="0"/>
              <w:jc w:val="both"/>
              <w:rPr>
                <w:rFonts w:ascii="Times New Roman" w:eastAsia="Times New Roman" w:hAnsi="Times New Roman" w:cs="Times New Roman"/>
                <w:sz w:val="24"/>
                <w:szCs w:val="24"/>
                <w:lang w:eastAsia="lv-LV"/>
              </w:rPr>
            </w:pPr>
            <w:hyperlink r:id="rId20" w:history="1">
              <w:r w:rsidR="00B23EB8" w:rsidRPr="00203BA0">
                <w:rPr>
                  <w:rFonts w:ascii="Times New Roman" w:eastAsia="Times New Roman" w:hAnsi="Times New Roman" w:cs="Times New Roman"/>
                  <w:sz w:val="24"/>
                  <w:szCs w:val="24"/>
                  <w:lang w:eastAsia="lv-LV"/>
                </w:rPr>
                <w:t>EAAPI pamatnostādnes Nr.</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EIOPA-BoS-14/178</w:t>
              </w:r>
              <w:r w:rsidR="00B73F56" w:rsidRPr="00203BA0">
                <w:rPr>
                  <w:rFonts w:ascii="Times New Roman" w:eastAsia="Times New Roman" w:hAnsi="Times New Roman" w:cs="Times New Roman"/>
                  <w:sz w:val="24"/>
                  <w:szCs w:val="24"/>
                  <w:lang w:eastAsia="lv-LV"/>
                </w:rPr>
                <w:t> </w:t>
              </w:r>
              <w:r w:rsidR="00B23EB8" w:rsidRPr="00203BA0">
                <w:rPr>
                  <w:rFonts w:ascii="Times New Roman" w:eastAsia="Times New Roman" w:hAnsi="Times New Roman" w:cs="Times New Roman"/>
                  <w:sz w:val="24"/>
                  <w:szCs w:val="24"/>
                  <w:lang w:eastAsia="lv-LV"/>
                </w:rPr>
                <w:t>LV "Pamatnostādnes par sabiedrības īpašajiem parametriem"</w:t>
              </w:r>
            </w:hyperlink>
            <w:r w:rsidR="00B23EB8" w:rsidRPr="00B23EB8">
              <w:rPr>
                <w:rFonts w:ascii="Times New Roman" w:eastAsia="Times New Roman" w:hAnsi="Times New Roman" w:cs="Times New Roman"/>
                <w:sz w:val="24"/>
                <w:szCs w:val="24"/>
                <w:lang w:eastAsia="lv-LV"/>
              </w:rPr>
              <w:t>.</w:t>
            </w:r>
          </w:p>
        </w:tc>
      </w:tr>
      <w:tr w:rsidR="006C3828" w:rsidRPr="00894D21" w14:paraId="40B6FA4E" w14:textId="77777777" w:rsidTr="00780E7D">
        <w:trPr>
          <w:trHeight w:val="567"/>
        </w:trPr>
        <w:tc>
          <w:tcPr>
            <w:tcW w:w="1166" w:type="pct"/>
            <w:shd w:val="clear" w:color="auto" w:fill="auto"/>
            <w:hideMark/>
          </w:tcPr>
          <w:p w14:paraId="62929148" w14:textId="635C2A66"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tc>
        <w:tc>
          <w:tcPr>
            <w:tcW w:w="3834" w:type="pct"/>
            <w:shd w:val="clear" w:color="auto" w:fill="auto"/>
          </w:tcPr>
          <w:p w14:paraId="2BDC6261" w14:textId="3CCFC56B" w:rsidR="006C3828" w:rsidRPr="00894D21" w:rsidRDefault="006C3828" w:rsidP="0022282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0417B7A0" w14:textId="61D363B1"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tc>
        <w:tc>
          <w:tcPr>
            <w:tcW w:w="3834" w:type="pct"/>
            <w:shd w:val="clear" w:color="auto" w:fill="auto"/>
          </w:tcPr>
          <w:p w14:paraId="5AA8A1C4" w14:textId="2C26B2AF" w:rsidR="00220C07" w:rsidRDefault="00220C07" w:rsidP="00220C07">
            <w:pPr>
              <w:pStyle w:val="NormalWeb"/>
              <w:spacing w:after="120"/>
              <w:jc w:val="both"/>
            </w:pPr>
            <w:r>
              <w:t xml:space="preserve">Noteikumu projekts 2024. gada 30. oktobrī tika publicēts Latvijas Bankas tīmekļvietnes </w:t>
            </w:r>
            <w:hyperlink r:id="rId21" w:history="1">
              <w:r w:rsidR="000D0F30" w:rsidRPr="007E5426">
                <w:rPr>
                  <w:rStyle w:val="Hyperlink"/>
                </w:rPr>
                <w:t>www.bank.lv</w:t>
              </w:r>
            </w:hyperlink>
            <w:r w:rsidR="000D0F30">
              <w:t xml:space="preserve"> </w:t>
            </w:r>
            <w:r>
              <w:t xml:space="preserve">sadaļas "Tiesību akti" </w:t>
            </w:r>
            <w:proofErr w:type="spellStart"/>
            <w:r>
              <w:t>apakšsadaļā</w:t>
            </w:r>
            <w:proofErr w:type="spellEnd"/>
            <w:r>
              <w:t xml:space="preserve"> "Sabiedrības līdzdalība", aicinot iesniegt priekšlikumus līdz 2024. gada 13. novembrim.</w:t>
            </w:r>
          </w:p>
          <w:p w14:paraId="1252B7EB" w14:textId="77777777" w:rsidR="00220C07" w:rsidRDefault="00220C07" w:rsidP="00220C07">
            <w:pPr>
              <w:pStyle w:val="NormalWeb"/>
              <w:spacing w:after="120"/>
              <w:jc w:val="both"/>
            </w:pPr>
            <w:r>
              <w:t>Vienlaikus par noteikumu projektu un notiekošo sabiedrības līdzdalību individuāli tika informēta Latvijas Apdrošinātāju asociācija un visi apdrošinātāji.</w:t>
            </w:r>
          </w:p>
          <w:p w14:paraId="2CCCD760" w14:textId="05FF0659" w:rsidR="005D5FC5" w:rsidRPr="00894D21" w:rsidRDefault="00220C07" w:rsidP="00222826">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05C81DE5" w14:textId="05A478F0" w:rsidR="006C3828" w:rsidRPr="00894D21" w:rsidRDefault="006C3828" w:rsidP="00222826">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tc>
        <w:tc>
          <w:tcPr>
            <w:tcW w:w="3834" w:type="pct"/>
            <w:shd w:val="clear" w:color="auto" w:fill="auto"/>
          </w:tcPr>
          <w:p w14:paraId="692F977B" w14:textId="608A89CA" w:rsidR="005B5025" w:rsidRPr="00894D21" w:rsidRDefault="00D4257A" w:rsidP="00222826">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3E3B3F08" w14:textId="77777777" w:rsidR="0077426C" w:rsidRDefault="0077426C" w:rsidP="00222826">
      <w:pPr>
        <w:spacing w:after="0" w:line="240" w:lineRule="auto"/>
        <w:jc w:val="right"/>
        <w:rPr>
          <w:rFonts w:ascii="Times New Roman" w:hAnsi="Times New Roman" w:cs="Times New Roman"/>
          <w:sz w:val="24"/>
          <w:szCs w:val="24"/>
        </w:rPr>
        <w:sectPr w:rsidR="0077426C" w:rsidSect="007159B5">
          <w:headerReference w:type="default" r:id="rId22"/>
          <w:pgSz w:w="11906" w:h="16838" w:code="9"/>
          <w:pgMar w:top="1134" w:right="1701" w:bottom="1134" w:left="1701" w:header="709" w:footer="709" w:gutter="0"/>
          <w:cols w:space="708"/>
          <w:titlePg/>
          <w:docGrid w:linePitch="360"/>
        </w:sectPr>
      </w:pPr>
    </w:p>
    <w:p w14:paraId="196E6B36" w14:textId="58A6986D" w:rsidR="00A246F3" w:rsidRPr="00AB380A" w:rsidRDefault="00A246F3" w:rsidP="00222826">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3C13BF39" w14:textId="77777777" w:rsidR="00A246F3" w:rsidRPr="00AB380A" w:rsidRDefault="00A246F3" w:rsidP="000E1BB4">
      <w:pPr>
        <w:spacing w:line="240" w:lineRule="auto"/>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5C9BC7EB" w14:textId="77777777" w:rsidR="00A246F3" w:rsidRPr="00AB380A" w:rsidRDefault="00A246F3" w:rsidP="000E1BB4">
      <w:pPr>
        <w:spacing w:line="240" w:lineRule="auto"/>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5F5176E2" w14:textId="77777777" w:rsidR="00A246F3" w:rsidRPr="00AB380A" w:rsidRDefault="00A246F3" w:rsidP="000E1BB4">
      <w:pPr>
        <w:spacing w:after="0" w:line="240" w:lineRule="auto"/>
        <w:rPr>
          <w:rFonts w:ascii="Times New Roman" w:hAnsi="Times New Roman" w:cs="Times New Roman"/>
          <w:b/>
          <w:sz w:val="24"/>
          <w:szCs w:val="24"/>
        </w:rPr>
      </w:pPr>
    </w:p>
    <w:p w14:paraId="534AA740" w14:textId="57B506F4" w:rsidR="00A246F3" w:rsidRPr="00AB380A" w:rsidRDefault="00A246F3" w:rsidP="000E1BB4">
      <w:pPr>
        <w:spacing w:line="240" w:lineRule="auto"/>
        <w:jc w:val="both"/>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AE5AEC" w:rsidRPr="00AE5AEC">
        <w:rPr>
          <w:rFonts w:ascii="Times New Roman" w:hAnsi="Times New Roman" w:cs="Times New Roman"/>
          <w:bCs/>
          <w:sz w:val="24"/>
          <w:szCs w:val="24"/>
        </w:rPr>
        <w:t xml:space="preserve">Apdrošināšanas </w:t>
      </w:r>
      <w:r w:rsidR="00A26F2E">
        <w:rPr>
          <w:rFonts w:ascii="Times New Roman" w:hAnsi="Times New Roman" w:cs="Times New Roman"/>
          <w:bCs/>
          <w:sz w:val="24"/>
          <w:szCs w:val="24"/>
        </w:rPr>
        <w:t>un</w:t>
      </w:r>
      <w:r w:rsidR="00AE5AEC" w:rsidRPr="00AE5AEC">
        <w:rPr>
          <w:rFonts w:ascii="Times New Roman" w:hAnsi="Times New Roman" w:cs="Times New Roman"/>
          <w:bCs/>
          <w:sz w:val="24"/>
          <w:szCs w:val="24"/>
        </w:rPr>
        <w:t xml:space="preserve"> pārapdrošināšanas sabiedrīb</w:t>
      </w:r>
      <w:r w:rsidR="00A26F2E">
        <w:rPr>
          <w:rFonts w:ascii="Times New Roman" w:hAnsi="Times New Roman" w:cs="Times New Roman"/>
          <w:bCs/>
          <w:sz w:val="24"/>
          <w:szCs w:val="24"/>
        </w:rPr>
        <w:t>u</w:t>
      </w:r>
      <w:r w:rsidR="00AE5AEC" w:rsidRPr="00AE5AEC">
        <w:rPr>
          <w:rFonts w:ascii="Times New Roman" w:hAnsi="Times New Roman" w:cs="Times New Roman"/>
          <w:bCs/>
          <w:sz w:val="24"/>
          <w:szCs w:val="24"/>
        </w:rPr>
        <w:t xml:space="preserve"> grupas maksātspējas aprēķina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01D30B07" w14:textId="77777777" w:rsidR="00D05FD1" w:rsidRDefault="00A246F3" w:rsidP="000E1BB4">
      <w:pPr>
        <w:spacing w:line="240" w:lineRule="auto"/>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p>
    <w:p w14:paraId="71FF1258" w14:textId="2B621C09" w:rsidR="00A246F3" w:rsidRDefault="001C2EAF" w:rsidP="00D05FD1">
      <w:pPr>
        <w:pStyle w:val="ListParagraph"/>
        <w:numPr>
          <w:ilvl w:val="0"/>
          <w:numId w:val="18"/>
        </w:numPr>
        <w:spacing w:line="240" w:lineRule="auto"/>
        <w:jc w:val="both"/>
        <w:rPr>
          <w:rFonts w:ascii="Times New Roman" w:hAnsi="Times New Roman" w:cs="Times New Roman"/>
          <w:bCs/>
          <w:sz w:val="24"/>
          <w:szCs w:val="24"/>
        </w:rPr>
      </w:pPr>
      <w:r w:rsidRPr="00D05FD1">
        <w:rPr>
          <w:rFonts w:ascii="Times New Roman" w:eastAsia="Times New Roman" w:hAnsi="Times New Roman" w:cs="Times New Roman"/>
          <w:color w:val="000000"/>
          <w:sz w:val="24"/>
          <w:szCs w:val="24"/>
          <w:lang w:eastAsia="lv-LV"/>
        </w:rPr>
        <w:t xml:space="preserve">Eiropas Parlamenta un Padomes 2009. gada 25. novembra direktīva </w:t>
      </w:r>
      <w:r w:rsidR="00CF52E0" w:rsidRPr="00D05FD1">
        <w:rPr>
          <w:rFonts w:ascii="Times New Roman" w:hAnsi="Times New Roman" w:cs="Times New Roman"/>
          <w:bCs/>
          <w:sz w:val="24"/>
          <w:szCs w:val="24"/>
        </w:rPr>
        <w:t xml:space="preserve">2009/138/EK </w:t>
      </w:r>
      <w:r w:rsidRPr="00D05FD1">
        <w:rPr>
          <w:rFonts w:ascii="Times New Roman" w:hAnsi="Times New Roman" w:cs="Times New Roman"/>
          <w:bCs/>
          <w:sz w:val="24"/>
          <w:szCs w:val="24"/>
        </w:rPr>
        <w:t>p</w:t>
      </w:r>
      <w:r w:rsidR="00CF52E0" w:rsidRPr="00D05FD1">
        <w:rPr>
          <w:rFonts w:ascii="Times New Roman" w:hAnsi="Times New Roman" w:cs="Times New Roman"/>
          <w:bCs/>
          <w:sz w:val="24"/>
          <w:szCs w:val="24"/>
        </w:rPr>
        <w:t>ar uzņēmējdarbības uzsākšanu un veikšanu apdrošināšanas un pārapdrošināšanas jomā (Maksātspēja</w:t>
      </w:r>
      <w:r w:rsidR="00B73F56" w:rsidRPr="00D05FD1">
        <w:rPr>
          <w:rFonts w:ascii="Times New Roman" w:hAnsi="Times New Roman" w:cs="Times New Roman"/>
          <w:bCs/>
          <w:sz w:val="24"/>
          <w:szCs w:val="24"/>
        </w:rPr>
        <w:t> </w:t>
      </w:r>
      <w:r w:rsidR="00CF52E0" w:rsidRPr="00D05FD1">
        <w:rPr>
          <w:rFonts w:ascii="Times New Roman" w:hAnsi="Times New Roman" w:cs="Times New Roman"/>
          <w:bCs/>
          <w:sz w:val="24"/>
          <w:szCs w:val="24"/>
        </w:rPr>
        <w:t>II) (turpmāk</w:t>
      </w:r>
      <w:r w:rsidR="00B73F56" w:rsidRPr="00D05FD1">
        <w:rPr>
          <w:rFonts w:ascii="Times New Roman" w:hAnsi="Times New Roman" w:cs="Times New Roman"/>
          <w:bCs/>
          <w:sz w:val="24"/>
          <w:szCs w:val="24"/>
        </w:rPr>
        <w:t> </w:t>
      </w:r>
      <w:r w:rsidR="00CF52E0" w:rsidRPr="00D05FD1">
        <w:rPr>
          <w:rFonts w:ascii="Times New Roman" w:hAnsi="Times New Roman" w:cs="Times New Roman"/>
          <w:bCs/>
          <w:sz w:val="24"/>
          <w:szCs w:val="24"/>
        </w:rPr>
        <w:t>– Direktīva 2009/138/EK)</w:t>
      </w:r>
      <w:r w:rsidR="00D05FD1">
        <w:rPr>
          <w:rFonts w:ascii="Times New Roman" w:hAnsi="Times New Roman" w:cs="Times New Roman"/>
          <w:bCs/>
          <w:sz w:val="24"/>
          <w:szCs w:val="24"/>
        </w:rPr>
        <w:t>;</w:t>
      </w:r>
    </w:p>
    <w:p w14:paraId="3E598BF3" w14:textId="6DF51EFE" w:rsidR="00D05FD1" w:rsidRDefault="00D05FD1" w:rsidP="00B023F1">
      <w:pPr>
        <w:pStyle w:val="NApunkts1"/>
        <w:numPr>
          <w:ilvl w:val="0"/>
          <w:numId w:val="18"/>
        </w:numPr>
        <w:tabs>
          <w:tab w:val="left" w:pos="426"/>
        </w:tabs>
        <w:spacing w:before="120"/>
      </w:pPr>
      <w:r w:rsidRPr="00531BD1">
        <w:t>Eiropas Parlamenta un Padomes 2011.</w:t>
      </w:r>
      <w:r>
        <w:rPr>
          <w:color w:val="000000"/>
        </w:rPr>
        <w:t> </w:t>
      </w:r>
      <w:r w:rsidRPr="00531BD1">
        <w:t>gada 16.</w:t>
      </w:r>
      <w:r>
        <w:rPr>
          <w:color w:val="000000"/>
        </w:rPr>
        <w:t> </w:t>
      </w:r>
      <w:r w:rsidRPr="00531BD1">
        <w:t>novembr</w:t>
      </w:r>
      <w:r>
        <w:t>a</w:t>
      </w:r>
      <w:r w:rsidRPr="00531BD1">
        <w:t xml:space="preserve"> </w:t>
      </w:r>
      <w:r>
        <w:t>d</w:t>
      </w:r>
      <w:r w:rsidRPr="00531BD1">
        <w:t xml:space="preserve">irektīva 2011/89/ES, ar ko attiecībā uz finanšu konglomerātā esošo finanšu sabiedrību papildu uzraudzību groza </w:t>
      </w:r>
      <w:r>
        <w:t>d</w:t>
      </w:r>
      <w:r w:rsidRPr="00531BD1">
        <w:t>irektīvu 98/78/EK, 2002/87/EK, 2006/48/EK un 2009/138/EK</w:t>
      </w:r>
      <w:r w:rsidR="00B023F1">
        <w:t xml:space="preserve"> (turpmāk – Direktīva </w:t>
      </w:r>
      <w:r w:rsidR="00B023F1" w:rsidRPr="00531BD1">
        <w:t>2011/89/ES</w:t>
      </w:r>
      <w:r w:rsidR="00B023F1">
        <w:t>)</w:t>
      </w:r>
      <w:r>
        <w:t>;</w:t>
      </w:r>
    </w:p>
    <w:p w14:paraId="0C5ACD9C" w14:textId="7F498F48" w:rsidR="00D05FD1" w:rsidRPr="00A63B5F" w:rsidRDefault="00D05FD1" w:rsidP="00D05FD1">
      <w:pPr>
        <w:pStyle w:val="NApunkts1"/>
        <w:numPr>
          <w:ilvl w:val="0"/>
          <w:numId w:val="18"/>
        </w:numPr>
        <w:tabs>
          <w:tab w:val="left" w:pos="426"/>
        </w:tabs>
        <w:spacing w:before="120"/>
      </w:pPr>
      <w:r w:rsidRPr="00531BD1">
        <w:t>Eiropas Parlamenta un Padomes 2014.</w:t>
      </w:r>
      <w:r>
        <w:rPr>
          <w:color w:val="000000"/>
        </w:rPr>
        <w:t> </w:t>
      </w:r>
      <w:r w:rsidRPr="00531BD1">
        <w:t>gada 16.</w:t>
      </w:r>
      <w:r>
        <w:rPr>
          <w:color w:val="000000"/>
        </w:rPr>
        <w:t> </w:t>
      </w:r>
      <w:r w:rsidRPr="00531BD1">
        <w:t>aprī</w:t>
      </w:r>
      <w:r>
        <w:t>ļa</w:t>
      </w:r>
      <w:r w:rsidRPr="00531BD1">
        <w:t xml:space="preserve"> </w:t>
      </w:r>
      <w:r>
        <w:t>d</w:t>
      </w:r>
      <w:r w:rsidRPr="00531BD1">
        <w:t xml:space="preserve">irektīva 2014/51/ES, ar ko groza </w:t>
      </w:r>
      <w:r>
        <w:t>d</w:t>
      </w:r>
      <w:r w:rsidRPr="00531BD1">
        <w:t xml:space="preserve">irektīvu 2003/71/EK un </w:t>
      </w:r>
      <w:r>
        <w:t>d</w:t>
      </w:r>
      <w:r w:rsidRPr="00531BD1">
        <w:t xml:space="preserve">irektīvu 2009/138/EK un </w:t>
      </w:r>
      <w:r>
        <w:t>r</w:t>
      </w:r>
      <w:r w:rsidRPr="00531BD1">
        <w:t>egulas (EK) Nr.</w:t>
      </w:r>
      <w:r>
        <w:rPr>
          <w:color w:val="000000"/>
        </w:rPr>
        <w:t> </w:t>
      </w:r>
      <w:r w:rsidRPr="00531BD1">
        <w:t>1060/2009, (ES) Nr.</w:t>
      </w:r>
      <w:r>
        <w:rPr>
          <w:color w:val="000000"/>
        </w:rPr>
        <w:t> </w:t>
      </w:r>
      <w:r w:rsidRPr="00531BD1">
        <w:t>1094/2010 un (ES) Nr.</w:t>
      </w:r>
      <w:r>
        <w:rPr>
          <w:color w:val="000000"/>
        </w:rPr>
        <w:t> </w:t>
      </w:r>
      <w:r w:rsidRPr="00531BD1">
        <w:t xml:space="preserve">1095/2010 attiecībā uz Eiropas Uzraudzības iestādes (Eiropas Apdrošināšanas un </w:t>
      </w:r>
      <w:proofErr w:type="spellStart"/>
      <w:r w:rsidRPr="00531BD1">
        <w:t>fondēto</w:t>
      </w:r>
      <w:proofErr w:type="spellEnd"/>
      <w:r w:rsidRPr="00531BD1">
        <w:t xml:space="preserve"> pensiju iestādes) un Eiropas Uzraudzības iestādes (Eiropas Vērtspapīru un tirgu iestādes) pilnvarām</w:t>
      </w:r>
      <w:r w:rsidR="00B023F1">
        <w:t xml:space="preserve"> (turpmāk – Direktīva </w:t>
      </w:r>
      <w:r w:rsidR="00B023F1" w:rsidRPr="00531BD1">
        <w:t>20</w:t>
      </w:r>
      <w:r w:rsidR="00B023F1">
        <w:t>14</w:t>
      </w:r>
      <w:r w:rsidR="00B023F1" w:rsidRPr="00531BD1">
        <w:t>/</w:t>
      </w:r>
      <w:r w:rsidR="00B023F1">
        <w:t>51</w:t>
      </w:r>
      <w:r w:rsidR="00B023F1" w:rsidRPr="00531BD1">
        <w:t>/ES</w:t>
      </w:r>
      <w:r w:rsidR="00B023F1">
        <w:t>).</w:t>
      </w:r>
    </w:p>
    <w:p w14:paraId="7EC704FE" w14:textId="77777777" w:rsidR="00D05FD1" w:rsidRPr="00D05FD1" w:rsidRDefault="00D05FD1" w:rsidP="00D05FD1">
      <w:pPr>
        <w:spacing w:line="240" w:lineRule="auto"/>
        <w:jc w:val="both"/>
        <w:rPr>
          <w:rFonts w:ascii="Times New Roman" w:hAnsi="Times New Roman" w:cs="Times New Roman"/>
          <w:bCs/>
          <w:sz w:val="24"/>
          <w:szCs w:val="24"/>
        </w:rPr>
      </w:pPr>
    </w:p>
    <w:tbl>
      <w:tblPr>
        <w:tblStyle w:val="TableGrid"/>
        <w:tblW w:w="14771" w:type="dxa"/>
        <w:tblLook w:val="04A0" w:firstRow="1" w:lastRow="0" w:firstColumn="1" w:lastColumn="0" w:noHBand="0" w:noVBand="1"/>
      </w:tblPr>
      <w:tblGrid>
        <w:gridCol w:w="2928"/>
        <w:gridCol w:w="2164"/>
        <w:gridCol w:w="1880"/>
        <w:gridCol w:w="2067"/>
        <w:gridCol w:w="2029"/>
        <w:gridCol w:w="3703"/>
      </w:tblGrid>
      <w:tr w:rsidR="000933E5" w:rsidRPr="00AB380A" w14:paraId="28B63EDA" w14:textId="77777777" w:rsidTr="00A25AD1">
        <w:tc>
          <w:tcPr>
            <w:tcW w:w="2928" w:type="dxa"/>
          </w:tcPr>
          <w:p w14:paraId="616FC0D7" w14:textId="77777777" w:rsidR="00A246F3" w:rsidRPr="00503F80" w:rsidRDefault="00A246F3" w:rsidP="00222826">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164" w:type="dxa"/>
          </w:tcPr>
          <w:p w14:paraId="1745D026" w14:textId="77777777" w:rsidR="00A246F3" w:rsidRPr="00503F80" w:rsidRDefault="00A246F3" w:rsidP="00222826">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6C4F05B0"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1880" w:type="dxa"/>
          </w:tcPr>
          <w:p w14:paraId="2E9A2082"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69DDE088"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i/>
                <w:iCs/>
                <w:sz w:val="24"/>
                <w:szCs w:val="24"/>
              </w:rPr>
              <w:lastRenderedPageBreak/>
              <w:t>(Ja daļēji, norāda, kur un kā ir vai tiks nodrošināta prasības pilnīga izpilde)</w:t>
            </w:r>
          </w:p>
        </w:tc>
        <w:tc>
          <w:tcPr>
            <w:tcW w:w="2067" w:type="dxa"/>
          </w:tcPr>
          <w:p w14:paraId="7FFBC248"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b/>
                <w:bCs/>
                <w:sz w:val="24"/>
                <w:szCs w:val="24"/>
              </w:rPr>
              <w:lastRenderedPageBreak/>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8592E2D"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i/>
                <w:iCs/>
                <w:sz w:val="24"/>
                <w:szCs w:val="24"/>
              </w:rPr>
              <w:t xml:space="preserve">(Ja paredz stingrākas </w:t>
            </w:r>
            <w:r w:rsidRPr="00503F80">
              <w:rPr>
                <w:rFonts w:ascii="Times New Roman" w:hAnsi="Times New Roman" w:cs="Times New Roman"/>
                <w:i/>
                <w:iCs/>
                <w:sz w:val="24"/>
                <w:szCs w:val="24"/>
              </w:rPr>
              <w:lastRenderedPageBreak/>
              <w:t>prasības, norāda pamatojumu šādu stingrāku prasību nepieciešamībai)</w:t>
            </w:r>
          </w:p>
        </w:tc>
        <w:tc>
          <w:tcPr>
            <w:tcW w:w="2029" w:type="dxa"/>
          </w:tcPr>
          <w:p w14:paraId="104D7574" w14:textId="77777777" w:rsidR="00A246F3" w:rsidRPr="00503F80" w:rsidRDefault="00A246F3" w:rsidP="00222826">
            <w:pPr>
              <w:rPr>
                <w:rFonts w:ascii="Times New Roman" w:hAnsi="Times New Roman" w:cs="Times New Roman"/>
                <w:b/>
                <w:bCs/>
                <w:sz w:val="24"/>
                <w:szCs w:val="24"/>
              </w:rPr>
            </w:pPr>
            <w:r w:rsidRPr="00503F80">
              <w:rPr>
                <w:rFonts w:ascii="Times New Roman" w:hAnsi="Times New Roman" w:cs="Times New Roman"/>
                <w:b/>
                <w:bCs/>
                <w:sz w:val="24"/>
                <w:szCs w:val="24"/>
              </w:rPr>
              <w:lastRenderedPageBreak/>
              <w:t xml:space="preserve">Vai A ailē minētā prasība ir jāizpilda obligāti? </w:t>
            </w:r>
          </w:p>
          <w:p w14:paraId="069F956C" w14:textId="77777777" w:rsidR="00A246F3" w:rsidRPr="00503F80" w:rsidRDefault="00A246F3" w:rsidP="00222826">
            <w:pPr>
              <w:rPr>
                <w:rFonts w:ascii="Times New Roman" w:hAnsi="Times New Roman" w:cs="Times New Roman"/>
                <w:i/>
                <w:iCs/>
                <w:sz w:val="24"/>
                <w:szCs w:val="24"/>
              </w:rPr>
            </w:pPr>
            <w:r w:rsidRPr="00503F80">
              <w:rPr>
                <w:rFonts w:ascii="Times New Roman" w:hAnsi="Times New Roman" w:cs="Times New Roman"/>
                <w:i/>
                <w:iCs/>
                <w:sz w:val="24"/>
                <w:szCs w:val="24"/>
              </w:rPr>
              <w:t xml:space="preserve">(Ja Eiropas Savienības tiesību akts paredz izvēles iespēju, norāda, vai un kādēļ šī rīcības brīvība </w:t>
            </w:r>
            <w:r w:rsidRPr="00503F80">
              <w:rPr>
                <w:rFonts w:ascii="Times New Roman" w:hAnsi="Times New Roman" w:cs="Times New Roman"/>
                <w:i/>
                <w:iCs/>
                <w:sz w:val="24"/>
                <w:szCs w:val="24"/>
              </w:rPr>
              <w:lastRenderedPageBreak/>
              <w:t>Latvijā ir vai nav jāizmanto)</w:t>
            </w:r>
          </w:p>
          <w:p w14:paraId="3333FF24" w14:textId="77777777" w:rsidR="00A246F3" w:rsidRPr="00503F80" w:rsidRDefault="00A246F3" w:rsidP="00222826">
            <w:pPr>
              <w:rPr>
                <w:rFonts w:ascii="Times New Roman" w:hAnsi="Times New Roman" w:cs="Times New Roman"/>
                <w:b/>
                <w:bCs/>
                <w:sz w:val="24"/>
                <w:szCs w:val="24"/>
              </w:rPr>
            </w:pPr>
          </w:p>
          <w:p w14:paraId="6CCFD6AD" w14:textId="77777777" w:rsidR="00A246F3" w:rsidRPr="00503F80" w:rsidRDefault="00A246F3" w:rsidP="00222826">
            <w:pPr>
              <w:rPr>
                <w:rFonts w:ascii="Times New Roman" w:hAnsi="Times New Roman" w:cs="Times New Roman"/>
                <w:b/>
                <w:bCs/>
                <w:sz w:val="24"/>
                <w:szCs w:val="24"/>
              </w:rPr>
            </w:pPr>
          </w:p>
        </w:tc>
        <w:tc>
          <w:tcPr>
            <w:tcW w:w="3703" w:type="dxa"/>
          </w:tcPr>
          <w:p w14:paraId="7C6B9970" w14:textId="77777777" w:rsidR="00A246F3" w:rsidRPr="00503F80" w:rsidRDefault="00A246F3" w:rsidP="00222826">
            <w:pP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lastRenderedPageBreak/>
              <w:t>Vai A ailē minētais Eiropas Savienības tiesību akts paredz dalībvalsts paziņošanas pienākumu Eiropas Savienības institūcijām?</w:t>
            </w:r>
          </w:p>
          <w:p w14:paraId="46EA61C9" w14:textId="77777777" w:rsidR="00A246F3" w:rsidRPr="00503F80" w:rsidRDefault="00A246F3" w:rsidP="00222826">
            <w:pPr>
              <w:rPr>
                <w:rFonts w:ascii="Times New Roman" w:hAnsi="Times New Roman" w:cs="Times New Roman"/>
                <w:b/>
                <w:bCs/>
                <w:sz w:val="24"/>
                <w:szCs w:val="24"/>
              </w:rPr>
            </w:pPr>
            <w:r w:rsidRPr="00503F80">
              <w:rPr>
                <w:rStyle w:val="cf01"/>
                <w:rFonts w:ascii="Times New Roman" w:hAnsi="Times New Roman" w:cs="Times New Roman"/>
                <w:i/>
                <w:iCs/>
                <w:sz w:val="24"/>
                <w:szCs w:val="24"/>
              </w:rPr>
              <w:t>(Ja paredz, norāda, kas un kādā termiņā šo paziņošanas pienākumu izpildīs)</w:t>
            </w:r>
          </w:p>
        </w:tc>
      </w:tr>
      <w:tr w:rsidR="000933E5" w:rsidRPr="00AB380A" w14:paraId="4EC7B2CC" w14:textId="77777777" w:rsidTr="00A25AD1">
        <w:tc>
          <w:tcPr>
            <w:tcW w:w="2928" w:type="dxa"/>
          </w:tcPr>
          <w:p w14:paraId="7295FB12" w14:textId="77777777" w:rsidR="00A246F3" w:rsidRPr="00503F80" w:rsidRDefault="00A246F3" w:rsidP="00222826">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164" w:type="dxa"/>
          </w:tcPr>
          <w:p w14:paraId="7ECDE57C" w14:textId="77777777" w:rsidR="00A246F3" w:rsidRPr="00503F80" w:rsidRDefault="00A246F3" w:rsidP="00222826">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1880" w:type="dxa"/>
          </w:tcPr>
          <w:p w14:paraId="3BE9C14E" w14:textId="77777777" w:rsidR="00A246F3" w:rsidRPr="00503F80" w:rsidRDefault="00A246F3" w:rsidP="00222826">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067" w:type="dxa"/>
          </w:tcPr>
          <w:p w14:paraId="11A99F89" w14:textId="77777777" w:rsidR="00A246F3" w:rsidRPr="00503F80" w:rsidRDefault="00A246F3" w:rsidP="00222826">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029" w:type="dxa"/>
          </w:tcPr>
          <w:p w14:paraId="335A0836" w14:textId="77777777" w:rsidR="00A246F3" w:rsidRPr="00503F80" w:rsidRDefault="00A246F3" w:rsidP="00222826">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3703" w:type="dxa"/>
          </w:tcPr>
          <w:p w14:paraId="1FF9D75C" w14:textId="77777777" w:rsidR="00A246F3" w:rsidRPr="00FF5D11" w:rsidRDefault="00A246F3" w:rsidP="00222826">
            <w:pPr>
              <w:jc w:val="center"/>
              <w:rPr>
                <w:rFonts w:ascii="Times New Roman" w:hAnsi="Times New Roman" w:cs="Times New Roman"/>
                <w:sz w:val="24"/>
                <w:szCs w:val="24"/>
              </w:rPr>
            </w:pPr>
            <w:r w:rsidRPr="00FF5D11">
              <w:rPr>
                <w:rFonts w:ascii="Times New Roman" w:hAnsi="Times New Roman" w:cs="Times New Roman"/>
                <w:sz w:val="24"/>
                <w:szCs w:val="24"/>
              </w:rPr>
              <w:t>F</w:t>
            </w:r>
          </w:p>
        </w:tc>
      </w:tr>
      <w:tr w:rsidR="000933E5" w:rsidRPr="00D26A62" w14:paraId="465C5FFB" w14:textId="77777777" w:rsidTr="00A25AD1">
        <w:tc>
          <w:tcPr>
            <w:tcW w:w="2928" w:type="dxa"/>
          </w:tcPr>
          <w:p w14:paraId="578D9950" w14:textId="258DD487" w:rsidR="00DF1BB1" w:rsidRPr="00503F80" w:rsidRDefault="004049F8" w:rsidP="00222826">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sidR="00A12300">
              <w:rPr>
                <w:rFonts w:ascii="Times New Roman" w:hAnsi="Times New Roman" w:cs="Times New Roman"/>
                <w:sz w:val="24"/>
                <w:szCs w:val="24"/>
              </w:rPr>
              <w:t xml:space="preserve"> 4. panta</w:t>
            </w:r>
            <w:r>
              <w:rPr>
                <w:rFonts w:ascii="Times New Roman" w:hAnsi="Times New Roman" w:cs="Times New Roman"/>
                <w:sz w:val="24"/>
                <w:szCs w:val="24"/>
              </w:rPr>
              <w:t xml:space="preserve"> 6.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00DF1BB1" w:rsidRPr="00503F80">
              <w:rPr>
                <w:rFonts w:ascii="Times New Roman" w:hAnsi="Times New Roman" w:cs="Times New Roman"/>
                <w:sz w:val="24"/>
                <w:szCs w:val="24"/>
              </w:rPr>
              <w:t>Direktīvas </w:t>
            </w:r>
            <w:r w:rsidR="00DF1BB1" w:rsidRPr="00CF52E0">
              <w:rPr>
                <w:rFonts w:ascii="Times New Roman" w:hAnsi="Times New Roman" w:cs="Times New Roman"/>
                <w:bCs/>
                <w:sz w:val="24"/>
                <w:szCs w:val="24"/>
              </w:rPr>
              <w:t>2009/138/EK</w:t>
            </w:r>
            <w:r w:rsidR="00DF1BB1" w:rsidRPr="00503F80">
              <w:rPr>
                <w:rFonts w:ascii="Times New Roman" w:hAnsi="Times New Roman" w:cs="Times New Roman"/>
                <w:sz w:val="24"/>
                <w:szCs w:val="24"/>
              </w:rPr>
              <w:t xml:space="preserve"> </w:t>
            </w:r>
            <w:r w:rsidR="00DF1BB1">
              <w:rPr>
                <w:rFonts w:ascii="Times New Roman" w:hAnsi="Times New Roman" w:cs="Times New Roman"/>
                <w:sz w:val="24"/>
                <w:szCs w:val="24"/>
              </w:rPr>
              <w:t>2</w:t>
            </w:r>
            <w:r w:rsidR="00DF1BB1" w:rsidRPr="00503F80">
              <w:rPr>
                <w:rFonts w:ascii="Times New Roman" w:hAnsi="Times New Roman" w:cs="Times New Roman"/>
                <w:sz w:val="24"/>
                <w:szCs w:val="24"/>
              </w:rPr>
              <w:t>1</w:t>
            </w:r>
            <w:r w:rsidR="00DF1BB1">
              <w:rPr>
                <w:rFonts w:ascii="Times New Roman" w:hAnsi="Times New Roman" w:cs="Times New Roman"/>
                <w:sz w:val="24"/>
                <w:szCs w:val="24"/>
              </w:rPr>
              <w:t>9</w:t>
            </w:r>
            <w:r w:rsidR="00DF1BB1" w:rsidRPr="00503F80">
              <w:rPr>
                <w:rFonts w:ascii="Times New Roman" w:hAnsi="Times New Roman" w:cs="Times New Roman"/>
                <w:sz w:val="24"/>
                <w:szCs w:val="24"/>
              </w:rPr>
              <w:t>.</w:t>
            </w:r>
            <w:r w:rsidR="00DF1BB1">
              <w:rPr>
                <w:rFonts w:ascii="Times New Roman" w:hAnsi="Times New Roman" w:cs="Times New Roman"/>
                <w:sz w:val="24"/>
                <w:szCs w:val="24"/>
              </w:rPr>
              <w:t> </w:t>
            </w:r>
            <w:r w:rsidR="00DF1BB1" w:rsidRPr="00503F80">
              <w:rPr>
                <w:rFonts w:ascii="Times New Roman" w:hAnsi="Times New Roman" w:cs="Times New Roman"/>
                <w:sz w:val="24"/>
                <w:szCs w:val="24"/>
              </w:rPr>
              <w:t>p</w:t>
            </w:r>
            <w:r w:rsidR="00DF1BB1">
              <w:rPr>
                <w:rFonts w:ascii="Times New Roman" w:hAnsi="Times New Roman" w:cs="Times New Roman"/>
                <w:sz w:val="24"/>
                <w:szCs w:val="24"/>
              </w:rPr>
              <w:t>anta 1. punkts</w:t>
            </w:r>
            <w:r>
              <w:rPr>
                <w:rFonts w:ascii="Times New Roman" w:hAnsi="Times New Roman" w:cs="Times New Roman"/>
                <w:sz w:val="24"/>
                <w:szCs w:val="24"/>
              </w:rPr>
              <w:t>)</w:t>
            </w:r>
          </w:p>
        </w:tc>
        <w:tc>
          <w:tcPr>
            <w:tcW w:w="2164" w:type="dxa"/>
          </w:tcPr>
          <w:p w14:paraId="6E3F823A" w14:textId="13CCA2E2" w:rsidR="00DF1BB1" w:rsidRDefault="00DF1BB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90.</w:t>
            </w:r>
            <w:r w:rsidRPr="00503F80">
              <w:rPr>
                <w:rFonts w:ascii="Times New Roman" w:hAnsi="Times New Roman" w:cs="Times New Roman"/>
                <w:sz w:val="24"/>
                <w:szCs w:val="24"/>
              </w:rPr>
              <w:t> punkts</w:t>
            </w:r>
          </w:p>
        </w:tc>
        <w:tc>
          <w:tcPr>
            <w:tcW w:w="1880" w:type="dxa"/>
          </w:tcPr>
          <w:p w14:paraId="1573E80E" w14:textId="0D071C7B" w:rsidR="00DF1BB1" w:rsidRPr="00503F80" w:rsidRDefault="00DF1BB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r>
              <w:rPr>
                <w:rFonts w:ascii="Times New Roman" w:hAnsi="Times New Roman" w:cs="Times New Roman"/>
                <w:sz w:val="24"/>
                <w:szCs w:val="24"/>
              </w:rPr>
              <w:t>, izņemot prasības attiecībā uz aprēķina periodiskumu vismaz reizi gadā, jo aprēķina periodiskumu nosaka Regulas Nr.</w:t>
            </w:r>
            <w:r w:rsidR="00222826">
              <w:rPr>
                <w:rFonts w:ascii="Times New Roman" w:hAnsi="Times New Roman" w:cs="Times New Roman"/>
                <w:sz w:val="24"/>
                <w:szCs w:val="24"/>
              </w:rPr>
              <w:t> </w:t>
            </w:r>
            <w:r>
              <w:rPr>
                <w:rFonts w:ascii="Times New Roman" w:hAnsi="Times New Roman" w:cs="Times New Roman"/>
                <w:sz w:val="24"/>
                <w:szCs w:val="24"/>
              </w:rPr>
              <w:t>2015/35 304., 312., 372. un 373.</w:t>
            </w:r>
            <w:r w:rsidR="00222826">
              <w:rPr>
                <w:rFonts w:ascii="Times New Roman" w:hAnsi="Times New Roman" w:cs="Times New Roman"/>
                <w:sz w:val="24"/>
                <w:szCs w:val="24"/>
              </w:rPr>
              <w:t> </w:t>
            </w:r>
            <w:r>
              <w:rPr>
                <w:rFonts w:ascii="Times New Roman" w:hAnsi="Times New Roman" w:cs="Times New Roman"/>
                <w:sz w:val="24"/>
                <w:szCs w:val="24"/>
              </w:rPr>
              <w:t xml:space="preserve">pants. </w:t>
            </w:r>
          </w:p>
        </w:tc>
        <w:tc>
          <w:tcPr>
            <w:tcW w:w="2067" w:type="dxa"/>
          </w:tcPr>
          <w:p w14:paraId="1A9A13AA" w14:textId="64044C5D" w:rsidR="00DF1BB1" w:rsidRPr="00503F80" w:rsidRDefault="00DF1BB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3F12B8A" w14:textId="49D2D172" w:rsidR="00DF1BB1" w:rsidRDefault="00DF1BB1" w:rsidP="00222826">
            <w:pPr>
              <w:rPr>
                <w:rFonts w:ascii="Times New Roman" w:hAnsi="Times New Roman" w:cs="Times New Roman"/>
                <w:sz w:val="24"/>
                <w:szCs w:val="24"/>
              </w:rPr>
            </w:pPr>
            <w:r w:rsidRPr="00503F80">
              <w:rPr>
                <w:rFonts w:ascii="Times New Roman" w:hAnsi="Times New Roman" w:cs="Times New Roman"/>
                <w:sz w:val="24"/>
                <w:szCs w:val="24"/>
              </w:rPr>
              <w:t>Jā</w:t>
            </w:r>
            <w:r w:rsidRPr="001676C9">
              <w:rPr>
                <w:rStyle w:val="cf01"/>
                <w:rFonts w:ascii="Times New Roman" w:hAnsi="Times New Roman" w:cs="Times New Roman"/>
                <w:color w:val="000000" w:themeColor="text1"/>
                <w:sz w:val="24"/>
                <w:szCs w:val="24"/>
              </w:rPr>
              <w:t xml:space="preserve"> </w:t>
            </w:r>
          </w:p>
        </w:tc>
        <w:tc>
          <w:tcPr>
            <w:tcW w:w="3703" w:type="dxa"/>
          </w:tcPr>
          <w:p w14:paraId="76200B3F" w14:textId="49361FA3" w:rsidR="00DF1BB1" w:rsidRPr="00FF5D11" w:rsidRDefault="00FF5D11" w:rsidP="00222826">
            <w:pPr>
              <w:rPr>
                <w:rFonts w:ascii="Times New Roman" w:hAnsi="Times New Roman" w:cs="Times New Roman"/>
                <w:color w:val="FF0000"/>
                <w:sz w:val="24"/>
                <w:szCs w:val="24"/>
              </w:rPr>
            </w:pPr>
            <w:r w:rsidRPr="00FF5D11">
              <w:rPr>
                <w:rFonts w:ascii="Times New Roman" w:hAnsi="Times New Roman" w:cs="Times New Roman"/>
                <w:sz w:val="24"/>
                <w:szCs w:val="24"/>
              </w:rPr>
              <w:t>Direktīvas 2011/89/ES</w:t>
            </w:r>
            <w:r w:rsidRPr="00525567">
              <w:t xml:space="preserve"> </w:t>
            </w:r>
            <w:r w:rsidRPr="00FF5D11">
              <w:rPr>
                <w:rFonts w:ascii="Times New Roman" w:hAnsi="Times New Roman" w:cs="Times New Roman"/>
                <w:sz w:val="24"/>
                <w:szCs w:val="24"/>
              </w:rPr>
              <w:t>6</w:t>
            </w:r>
            <w:r w:rsidR="00DF1BB1" w:rsidRPr="00FF5D11">
              <w:rPr>
                <w:rFonts w:ascii="Times New Roman" w:hAnsi="Times New Roman" w:cs="Times New Roman"/>
                <w:sz w:val="24"/>
                <w:szCs w:val="24"/>
              </w:rPr>
              <w:t>. panta 1. punkts paredz, ka dalībvalstis</w:t>
            </w:r>
            <w:r w:rsidR="00DF1BB1" w:rsidRPr="00FF5D11">
              <w:rPr>
                <w:rStyle w:val="cf01"/>
                <w:rFonts w:ascii="Times New Roman" w:hAnsi="Times New Roman" w:cs="Times New Roman"/>
                <w:color w:val="000000" w:themeColor="text1"/>
                <w:sz w:val="24"/>
                <w:szCs w:val="24"/>
              </w:rPr>
              <w:t xml:space="preserve"> paziņo Eiropas Komisijai par šīs direktīvas prasību pārņemšanu. Minēto paziņošanas pienākumu izpildīs Finanšu ministrija, sniedzot paziņojumu Eiropas Komisijai pēc Noteikumu projekta apstiprināšanas Latvijas Bankas padomē.</w:t>
            </w:r>
          </w:p>
        </w:tc>
      </w:tr>
      <w:tr w:rsidR="000933E5" w:rsidRPr="00D26A62" w14:paraId="40606D68" w14:textId="77777777" w:rsidTr="00A25AD1">
        <w:tc>
          <w:tcPr>
            <w:tcW w:w="2928" w:type="dxa"/>
          </w:tcPr>
          <w:p w14:paraId="2E10F0C0" w14:textId="0A232933"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pirmā un otrā daļa</w:t>
            </w:r>
          </w:p>
        </w:tc>
        <w:tc>
          <w:tcPr>
            <w:tcW w:w="2164" w:type="dxa"/>
          </w:tcPr>
          <w:p w14:paraId="5AF0CFF6" w14:textId="01F044EA"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8.</w:t>
            </w:r>
            <w:r w:rsidRPr="00503F80">
              <w:rPr>
                <w:rFonts w:ascii="Times New Roman" w:hAnsi="Times New Roman" w:cs="Times New Roman"/>
                <w:sz w:val="24"/>
                <w:szCs w:val="24"/>
              </w:rPr>
              <w:t> punkts</w:t>
            </w:r>
          </w:p>
        </w:tc>
        <w:tc>
          <w:tcPr>
            <w:tcW w:w="1880" w:type="dxa"/>
          </w:tcPr>
          <w:p w14:paraId="636704E1" w14:textId="585BF23B"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023316E4" w14:textId="5A68A90F"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D01D28F" w14:textId="7C2A864D"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val="restart"/>
          </w:tcPr>
          <w:p w14:paraId="49F7BED2" w14:textId="5DF22A68" w:rsidR="00FF5D11" w:rsidRPr="00F8177B" w:rsidRDefault="00FF5D11" w:rsidP="00222826">
            <w:pPr>
              <w:rPr>
                <w:rFonts w:ascii="Times New Roman" w:hAnsi="Times New Roman" w:cs="Times New Roman"/>
                <w:color w:val="FF0000"/>
                <w:sz w:val="24"/>
                <w:szCs w:val="24"/>
              </w:rPr>
            </w:pPr>
            <w:r w:rsidRPr="001676C9">
              <w:rPr>
                <w:rStyle w:val="cf01"/>
                <w:rFonts w:ascii="Times New Roman" w:hAnsi="Times New Roman" w:cs="Times New Roman"/>
                <w:color w:val="000000" w:themeColor="text1"/>
                <w:sz w:val="24"/>
                <w:szCs w:val="24"/>
              </w:rPr>
              <w:t>Direktīvas </w:t>
            </w:r>
            <w:r w:rsidRPr="00AE5AEC">
              <w:rPr>
                <w:rStyle w:val="cf01"/>
                <w:rFonts w:ascii="Times New Roman" w:hAnsi="Times New Roman" w:cs="Times New Roman"/>
                <w:color w:val="000000" w:themeColor="text1"/>
                <w:sz w:val="24"/>
                <w:szCs w:val="24"/>
              </w:rPr>
              <w:t>2009/138/EK 309</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a</w:t>
            </w:r>
            <w:r w:rsidRPr="00F75FC1">
              <w:rPr>
                <w:rStyle w:val="cf01"/>
                <w:rFonts w:ascii="Times New Roman" w:hAnsi="Times New Roman" w:cs="Times New Roman"/>
                <w:color w:val="000000" w:themeColor="text1"/>
                <w:sz w:val="24"/>
                <w:szCs w:val="24"/>
              </w:rPr>
              <w:t xml:space="preserve"> 1. punkts</w:t>
            </w:r>
            <w:r w:rsidRPr="001676C9">
              <w:rPr>
                <w:rStyle w:val="cf01"/>
                <w:rFonts w:ascii="Times New Roman" w:hAnsi="Times New Roman" w:cs="Times New Roman"/>
                <w:color w:val="000000" w:themeColor="text1"/>
                <w:sz w:val="24"/>
                <w:szCs w:val="24"/>
              </w:rPr>
              <w:t xml:space="preserve"> paredz, ka dalībvalstis paziņo Eiropas Komisijai par šīs direktīvas prasību pārņemšanu.</w:t>
            </w:r>
            <w:r>
              <w:rPr>
                <w:rStyle w:val="cf01"/>
                <w:rFonts w:ascii="Times New Roman" w:hAnsi="Times New Roman" w:cs="Times New Roman"/>
                <w:color w:val="000000" w:themeColor="text1"/>
                <w:sz w:val="24"/>
                <w:szCs w:val="24"/>
              </w:rPr>
              <w:t xml:space="preserve"> </w:t>
            </w: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 xml:space="preserve">Noteikumu </w:t>
            </w:r>
            <w:r w:rsidRPr="001676C9">
              <w:rPr>
                <w:rStyle w:val="cf01"/>
                <w:rFonts w:ascii="Times New Roman" w:hAnsi="Times New Roman" w:cs="Times New Roman"/>
                <w:color w:val="000000" w:themeColor="text1"/>
                <w:sz w:val="24"/>
                <w:szCs w:val="24"/>
              </w:rPr>
              <w:t>projekta apstiprināšanas Latvijas Bankas padomē.</w:t>
            </w:r>
          </w:p>
        </w:tc>
      </w:tr>
      <w:tr w:rsidR="000933E5" w:rsidRPr="00D26A62" w14:paraId="4BE1D6DB" w14:textId="77777777" w:rsidTr="00A25AD1">
        <w:tc>
          <w:tcPr>
            <w:tcW w:w="2928" w:type="dxa"/>
          </w:tcPr>
          <w:p w14:paraId="25D3B06A" w14:textId="79906363"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trešā un ceturtā daļa</w:t>
            </w:r>
          </w:p>
        </w:tc>
        <w:tc>
          <w:tcPr>
            <w:tcW w:w="2164" w:type="dxa"/>
          </w:tcPr>
          <w:p w14:paraId="4523A72D" w14:textId="3341D321"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w:t>
            </w:r>
            <w:r w:rsidRPr="00503F80">
              <w:rPr>
                <w:rFonts w:ascii="Times New Roman" w:hAnsi="Times New Roman" w:cs="Times New Roman"/>
                <w:sz w:val="24"/>
                <w:szCs w:val="24"/>
              </w:rPr>
              <w:t> punkts</w:t>
            </w:r>
          </w:p>
        </w:tc>
        <w:tc>
          <w:tcPr>
            <w:tcW w:w="1880" w:type="dxa"/>
          </w:tcPr>
          <w:p w14:paraId="03D14CEE" w14:textId="3B3E5E8A"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0F81094D" w14:textId="62BDB8E9"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644E8358" w14:textId="236BA840"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3311C5E6" w14:textId="77777777" w:rsidR="00FF5D11" w:rsidRPr="00F8177B" w:rsidRDefault="00FF5D11" w:rsidP="00222826">
            <w:pPr>
              <w:rPr>
                <w:rFonts w:ascii="Times New Roman" w:hAnsi="Times New Roman" w:cs="Times New Roman"/>
                <w:color w:val="FF0000"/>
                <w:sz w:val="24"/>
                <w:szCs w:val="24"/>
              </w:rPr>
            </w:pPr>
          </w:p>
        </w:tc>
      </w:tr>
      <w:tr w:rsidR="000933E5" w:rsidRPr="00D26A62" w14:paraId="746664BD" w14:textId="77777777" w:rsidTr="00A25AD1">
        <w:tc>
          <w:tcPr>
            <w:tcW w:w="2928" w:type="dxa"/>
          </w:tcPr>
          <w:p w14:paraId="7BF32D03" w14:textId="5CC88CEC"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164" w:type="dxa"/>
          </w:tcPr>
          <w:p w14:paraId="3B12CB8B" w14:textId="7F4D590C"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18. punkts</w:t>
            </w:r>
          </w:p>
        </w:tc>
        <w:tc>
          <w:tcPr>
            <w:tcW w:w="1880" w:type="dxa"/>
          </w:tcPr>
          <w:p w14:paraId="5B176C49" w14:textId="5F3BEDCD"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2CA20FBA" w14:textId="191EAAB7"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604218ED" w14:textId="4887EEC5"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62C32B70" w14:textId="77777777" w:rsidR="00FF5D11" w:rsidRPr="00F8177B" w:rsidRDefault="00FF5D11" w:rsidP="00222826">
            <w:pPr>
              <w:rPr>
                <w:rFonts w:ascii="Times New Roman" w:hAnsi="Times New Roman" w:cs="Times New Roman"/>
                <w:color w:val="FF0000"/>
                <w:sz w:val="24"/>
                <w:szCs w:val="24"/>
              </w:rPr>
            </w:pPr>
          </w:p>
        </w:tc>
      </w:tr>
      <w:tr w:rsidR="000933E5" w:rsidRPr="00D26A62" w14:paraId="2B10B933" w14:textId="77777777" w:rsidTr="00A25AD1">
        <w:tc>
          <w:tcPr>
            <w:tcW w:w="2928" w:type="dxa"/>
          </w:tcPr>
          <w:p w14:paraId="26B905E8" w14:textId="69445F6B"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64" w:type="dxa"/>
          </w:tcPr>
          <w:p w14:paraId="2324611C" w14:textId="555E2D2D"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20.</w:t>
            </w:r>
            <w:r w:rsidRPr="00503F80">
              <w:rPr>
                <w:rFonts w:ascii="Times New Roman" w:hAnsi="Times New Roman" w:cs="Times New Roman"/>
                <w:sz w:val="24"/>
                <w:szCs w:val="24"/>
              </w:rPr>
              <w:t> punkts</w:t>
            </w:r>
          </w:p>
        </w:tc>
        <w:tc>
          <w:tcPr>
            <w:tcW w:w="1880" w:type="dxa"/>
          </w:tcPr>
          <w:p w14:paraId="45AE421E" w14:textId="531AAE69"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92B55A9" w14:textId="41A1DF51"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E82094A" w14:textId="7A00F2D9"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7DAB2E00" w14:textId="77777777" w:rsidR="00FF5D11" w:rsidRPr="00F8177B" w:rsidRDefault="00FF5D11" w:rsidP="00222826">
            <w:pPr>
              <w:rPr>
                <w:rFonts w:ascii="Times New Roman" w:hAnsi="Times New Roman" w:cs="Times New Roman"/>
                <w:color w:val="FF0000"/>
                <w:sz w:val="24"/>
                <w:szCs w:val="24"/>
              </w:rPr>
            </w:pPr>
          </w:p>
        </w:tc>
      </w:tr>
      <w:tr w:rsidR="000933E5" w:rsidRPr="00D26A62" w14:paraId="7FE4923E" w14:textId="77777777" w:rsidTr="00A25AD1">
        <w:tc>
          <w:tcPr>
            <w:tcW w:w="2928" w:type="dxa"/>
          </w:tcPr>
          <w:p w14:paraId="231EE445" w14:textId="4156F987"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punkta pirmā daļa </w:t>
            </w:r>
          </w:p>
        </w:tc>
        <w:tc>
          <w:tcPr>
            <w:tcW w:w="2164" w:type="dxa"/>
          </w:tcPr>
          <w:p w14:paraId="7327ECA0" w14:textId="7A9C13BA"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w:t>
            </w:r>
            <w:r w:rsidRPr="00503F80">
              <w:rPr>
                <w:rFonts w:ascii="Times New Roman" w:hAnsi="Times New Roman" w:cs="Times New Roman"/>
                <w:sz w:val="24"/>
                <w:szCs w:val="24"/>
              </w:rPr>
              <w:t> punkts</w:t>
            </w:r>
          </w:p>
        </w:tc>
        <w:tc>
          <w:tcPr>
            <w:tcW w:w="1880" w:type="dxa"/>
          </w:tcPr>
          <w:p w14:paraId="5DADB3DA" w14:textId="5E1F09F0"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6BD9AA9A" w14:textId="67CD1B1F"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872D22E" w14:textId="4296536C"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07F5E87C" w14:textId="77777777" w:rsidR="00FF5D11" w:rsidRPr="00F8177B" w:rsidRDefault="00FF5D11" w:rsidP="00222826">
            <w:pPr>
              <w:rPr>
                <w:rFonts w:ascii="Times New Roman" w:hAnsi="Times New Roman" w:cs="Times New Roman"/>
                <w:color w:val="FF0000"/>
                <w:sz w:val="24"/>
                <w:szCs w:val="24"/>
              </w:rPr>
            </w:pPr>
          </w:p>
        </w:tc>
      </w:tr>
      <w:tr w:rsidR="000933E5" w:rsidRPr="00D26A62" w14:paraId="46C32189" w14:textId="77777777" w:rsidTr="00A25AD1">
        <w:tc>
          <w:tcPr>
            <w:tcW w:w="2928" w:type="dxa"/>
            <w:shd w:val="clear" w:color="auto" w:fill="auto"/>
          </w:tcPr>
          <w:p w14:paraId="288D269C" w14:textId="2B156015"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otrā daļa</w:t>
            </w:r>
          </w:p>
        </w:tc>
        <w:tc>
          <w:tcPr>
            <w:tcW w:w="2164" w:type="dxa"/>
          </w:tcPr>
          <w:p w14:paraId="4A0F091C" w14:textId="35A9ABF0"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22.</w:t>
            </w:r>
            <w:r w:rsidRPr="00503F80">
              <w:rPr>
                <w:rFonts w:ascii="Times New Roman" w:hAnsi="Times New Roman" w:cs="Times New Roman"/>
                <w:sz w:val="24"/>
                <w:szCs w:val="24"/>
              </w:rPr>
              <w:t> punkts</w:t>
            </w:r>
          </w:p>
        </w:tc>
        <w:tc>
          <w:tcPr>
            <w:tcW w:w="1880" w:type="dxa"/>
          </w:tcPr>
          <w:p w14:paraId="3DDD5A3A" w14:textId="1C6DA285"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6FDB41DA" w14:textId="35008DC7"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497A3FC8" w14:textId="714BCD61"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71EDB199" w14:textId="77777777" w:rsidR="00FF5D11" w:rsidRPr="00F8177B" w:rsidRDefault="00FF5D11" w:rsidP="00222826">
            <w:pPr>
              <w:rPr>
                <w:rFonts w:ascii="Times New Roman" w:hAnsi="Times New Roman" w:cs="Times New Roman"/>
                <w:color w:val="FF0000"/>
                <w:sz w:val="24"/>
                <w:szCs w:val="24"/>
              </w:rPr>
            </w:pPr>
          </w:p>
        </w:tc>
      </w:tr>
      <w:tr w:rsidR="000933E5" w:rsidRPr="00D26A62" w14:paraId="2D72DD4C" w14:textId="77777777" w:rsidTr="00A25AD1">
        <w:tc>
          <w:tcPr>
            <w:tcW w:w="2928" w:type="dxa"/>
            <w:shd w:val="clear" w:color="auto" w:fill="auto"/>
          </w:tcPr>
          <w:p w14:paraId="7FA477C9" w14:textId="55A731C7"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164" w:type="dxa"/>
          </w:tcPr>
          <w:p w14:paraId="6394654F" w14:textId="4935D86D"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24.</w:t>
            </w:r>
            <w:r w:rsidRPr="00503F80">
              <w:rPr>
                <w:rFonts w:ascii="Times New Roman" w:hAnsi="Times New Roman" w:cs="Times New Roman"/>
                <w:sz w:val="24"/>
                <w:szCs w:val="24"/>
              </w:rPr>
              <w:t> punkts</w:t>
            </w:r>
          </w:p>
        </w:tc>
        <w:tc>
          <w:tcPr>
            <w:tcW w:w="1880" w:type="dxa"/>
          </w:tcPr>
          <w:p w14:paraId="4EFF7B50" w14:textId="524C4E66"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3A2A9051" w14:textId="46C1DD10"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0DEF4E9E" w14:textId="43582CA0"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30A7B90C" w14:textId="77777777" w:rsidR="00FF5D11" w:rsidRPr="00F8177B" w:rsidRDefault="00FF5D11" w:rsidP="00222826">
            <w:pPr>
              <w:rPr>
                <w:rFonts w:ascii="Times New Roman" w:hAnsi="Times New Roman" w:cs="Times New Roman"/>
                <w:color w:val="FF0000"/>
                <w:sz w:val="24"/>
                <w:szCs w:val="24"/>
              </w:rPr>
            </w:pPr>
          </w:p>
        </w:tc>
      </w:tr>
      <w:tr w:rsidR="000933E5" w:rsidRPr="00D26A62" w14:paraId="21066D62" w14:textId="77777777" w:rsidTr="00A25AD1">
        <w:tc>
          <w:tcPr>
            <w:tcW w:w="2928" w:type="dxa"/>
            <w:shd w:val="clear" w:color="auto" w:fill="auto"/>
          </w:tcPr>
          <w:p w14:paraId="107B3F37" w14:textId="11D12DE2"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4. punkts</w:t>
            </w:r>
          </w:p>
        </w:tc>
        <w:tc>
          <w:tcPr>
            <w:tcW w:w="2164" w:type="dxa"/>
          </w:tcPr>
          <w:p w14:paraId="6334CD57" w14:textId="31BC96F4"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26.</w:t>
            </w:r>
            <w:r w:rsidRPr="00503F80">
              <w:rPr>
                <w:rFonts w:ascii="Times New Roman" w:hAnsi="Times New Roman" w:cs="Times New Roman"/>
                <w:sz w:val="24"/>
                <w:szCs w:val="24"/>
              </w:rPr>
              <w:t> punkts</w:t>
            </w:r>
          </w:p>
        </w:tc>
        <w:tc>
          <w:tcPr>
            <w:tcW w:w="1880" w:type="dxa"/>
          </w:tcPr>
          <w:p w14:paraId="7BB66176" w14:textId="6B6BDE84"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EC5EA6C" w14:textId="244460F8"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9BF0322" w14:textId="6E48DD09"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1FE7F749" w14:textId="77777777" w:rsidR="00FF5D11" w:rsidRPr="00F8177B" w:rsidRDefault="00FF5D11" w:rsidP="00222826">
            <w:pPr>
              <w:rPr>
                <w:rFonts w:ascii="Times New Roman" w:hAnsi="Times New Roman" w:cs="Times New Roman"/>
                <w:color w:val="FF0000"/>
                <w:sz w:val="24"/>
                <w:szCs w:val="24"/>
              </w:rPr>
            </w:pPr>
          </w:p>
        </w:tc>
      </w:tr>
      <w:tr w:rsidR="000933E5" w:rsidRPr="00D26A62" w14:paraId="694C0C43" w14:textId="77777777" w:rsidTr="00A25AD1">
        <w:tc>
          <w:tcPr>
            <w:tcW w:w="2928" w:type="dxa"/>
            <w:shd w:val="clear" w:color="auto" w:fill="auto"/>
          </w:tcPr>
          <w:p w14:paraId="098B2C94" w14:textId="64003650"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5. punkts</w:t>
            </w:r>
          </w:p>
        </w:tc>
        <w:tc>
          <w:tcPr>
            <w:tcW w:w="2164" w:type="dxa"/>
          </w:tcPr>
          <w:p w14:paraId="3B39E3C3" w14:textId="2AF7E1D0"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27.</w:t>
            </w:r>
            <w:r w:rsidRPr="00503F80">
              <w:rPr>
                <w:rFonts w:ascii="Times New Roman" w:hAnsi="Times New Roman" w:cs="Times New Roman"/>
                <w:sz w:val="24"/>
                <w:szCs w:val="24"/>
              </w:rPr>
              <w:t> punkts</w:t>
            </w:r>
          </w:p>
        </w:tc>
        <w:tc>
          <w:tcPr>
            <w:tcW w:w="1880" w:type="dxa"/>
          </w:tcPr>
          <w:p w14:paraId="36E379F2" w14:textId="21A6FD2A"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FCA050A" w14:textId="1E4AEFD4"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4303F74" w14:textId="3BDF5B01"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19FF116C" w14:textId="77777777" w:rsidR="00FF5D11" w:rsidRPr="00F8177B" w:rsidRDefault="00FF5D11" w:rsidP="00222826">
            <w:pPr>
              <w:rPr>
                <w:rFonts w:ascii="Times New Roman" w:hAnsi="Times New Roman" w:cs="Times New Roman"/>
                <w:color w:val="FF0000"/>
                <w:sz w:val="24"/>
                <w:szCs w:val="24"/>
              </w:rPr>
            </w:pPr>
          </w:p>
        </w:tc>
      </w:tr>
      <w:tr w:rsidR="000933E5" w:rsidRPr="00D26A62" w14:paraId="12E7807F" w14:textId="77777777" w:rsidTr="00A25AD1">
        <w:tc>
          <w:tcPr>
            <w:tcW w:w="2928" w:type="dxa"/>
            <w:shd w:val="clear" w:color="auto" w:fill="auto"/>
          </w:tcPr>
          <w:p w14:paraId="3A7CC949" w14:textId="1D5161EE"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64" w:type="dxa"/>
          </w:tcPr>
          <w:p w14:paraId="6042C3E5" w14:textId="029EB3DF"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28.</w:t>
            </w:r>
            <w:r w:rsidRPr="00503F80">
              <w:rPr>
                <w:rFonts w:ascii="Times New Roman" w:hAnsi="Times New Roman" w:cs="Times New Roman"/>
                <w:sz w:val="24"/>
                <w:szCs w:val="24"/>
              </w:rPr>
              <w:t> punkts</w:t>
            </w:r>
          </w:p>
        </w:tc>
        <w:tc>
          <w:tcPr>
            <w:tcW w:w="1880" w:type="dxa"/>
          </w:tcPr>
          <w:p w14:paraId="7C6201E1" w14:textId="4A5D4D66"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56EEFED6" w14:textId="786F1C31"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9B33960" w14:textId="59997158"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5BACE559" w14:textId="77777777" w:rsidR="00FF5D11" w:rsidRPr="00F8177B" w:rsidRDefault="00FF5D11" w:rsidP="00222826">
            <w:pPr>
              <w:rPr>
                <w:rFonts w:ascii="Times New Roman" w:hAnsi="Times New Roman" w:cs="Times New Roman"/>
                <w:color w:val="FF0000"/>
                <w:sz w:val="24"/>
                <w:szCs w:val="24"/>
              </w:rPr>
            </w:pPr>
          </w:p>
        </w:tc>
      </w:tr>
      <w:tr w:rsidR="000933E5" w:rsidRPr="00D26A62" w14:paraId="20FAB752" w14:textId="77777777" w:rsidTr="00A25AD1">
        <w:tc>
          <w:tcPr>
            <w:tcW w:w="2928" w:type="dxa"/>
            <w:shd w:val="clear" w:color="auto" w:fill="auto"/>
          </w:tcPr>
          <w:p w14:paraId="3DF04DAF" w14:textId="265709B8"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164" w:type="dxa"/>
          </w:tcPr>
          <w:p w14:paraId="46E0FD0E" w14:textId="1D67142E"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29.</w:t>
            </w:r>
            <w:r w:rsidRPr="00503F80">
              <w:rPr>
                <w:rFonts w:ascii="Times New Roman" w:hAnsi="Times New Roman" w:cs="Times New Roman"/>
                <w:sz w:val="24"/>
                <w:szCs w:val="24"/>
              </w:rPr>
              <w:t> punkts</w:t>
            </w:r>
          </w:p>
        </w:tc>
        <w:tc>
          <w:tcPr>
            <w:tcW w:w="1880" w:type="dxa"/>
          </w:tcPr>
          <w:p w14:paraId="4058CAB1" w14:textId="276E6AB4"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2964C284" w14:textId="52005634"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987101B" w14:textId="71F7E86C"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6D81A097" w14:textId="77777777" w:rsidR="00FF5D11" w:rsidRPr="00F8177B" w:rsidRDefault="00FF5D11" w:rsidP="00222826">
            <w:pPr>
              <w:rPr>
                <w:rFonts w:ascii="Times New Roman" w:hAnsi="Times New Roman" w:cs="Times New Roman"/>
                <w:color w:val="FF0000"/>
                <w:sz w:val="24"/>
                <w:szCs w:val="24"/>
              </w:rPr>
            </w:pPr>
          </w:p>
        </w:tc>
      </w:tr>
      <w:tr w:rsidR="000933E5" w:rsidRPr="00D26A62" w14:paraId="41E0AA5E" w14:textId="77777777" w:rsidTr="00A25AD1">
        <w:tc>
          <w:tcPr>
            <w:tcW w:w="2928" w:type="dxa"/>
          </w:tcPr>
          <w:p w14:paraId="3EBDA41A" w14:textId="0710CF58"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164" w:type="dxa"/>
          </w:tcPr>
          <w:p w14:paraId="0C4D4E01" w14:textId="167DFBF6"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30.</w:t>
            </w:r>
            <w:r w:rsidRPr="00503F80">
              <w:rPr>
                <w:rFonts w:ascii="Times New Roman" w:hAnsi="Times New Roman" w:cs="Times New Roman"/>
                <w:sz w:val="24"/>
                <w:szCs w:val="24"/>
              </w:rPr>
              <w:t> punkts</w:t>
            </w:r>
          </w:p>
        </w:tc>
        <w:tc>
          <w:tcPr>
            <w:tcW w:w="1880" w:type="dxa"/>
          </w:tcPr>
          <w:p w14:paraId="0CB6425A" w14:textId="76A79CC3"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71C1CD5" w14:textId="1735D54F"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C8B02AE" w14:textId="074503E8"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1BF284E3" w14:textId="77777777" w:rsidR="00FF5D11" w:rsidRPr="00F8177B" w:rsidRDefault="00FF5D11" w:rsidP="00222826">
            <w:pPr>
              <w:rPr>
                <w:rFonts w:ascii="Times New Roman" w:hAnsi="Times New Roman" w:cs="Times New Roman"/>
                <w:color w:val="FF0000"/>
                <w:sz w:val="24"/>
                <w:szCs w:val="24"/>
              </w:rPr>
            </w:pPr>
          </w:p>
        </w:tc>
      </w:tr>
      <w:tr w:rsidR="000933E5" w:rsidRPr="00D26A62" w14:paraId="7BC4EE12" w14:textId="77777777" w:rsidTr="00A25AD1">
        <w:tc>
          <w:tcPr>
            <w:tcW w:w="2928" w:type="dxa"/>
          </w:tcPr>
          <w:p w14:paraId="658D33BD" w14:textId="7A37CF46"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pirmā daļa</w:t>
            </w:r>
          </w:p>
        </w:tc>
        <w:tc>
          <w:tcPr>
            <w:tcW w:w="2164" w:type="dxa"/>
          </w:tcPr>
          <w:p w14:paraId="7506B572" w14:textId="4A17B880"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31.</w:t>
            </w:r>
            <w:r w:rsidRPr="00503F80">
              <w:rPr>
                <w:rFonts w:ascii="Times New Roman" w:hAnsi="Times New Roman" w:cs="Times New Roman"/>
                <w:sz w:val="24"/>
                <w:szCs w:val="24"/>
              </w:rPr>
              <w:t> punkts</w:t>
            </w:r>
          </w:p>
        </w:tc>
        <w:tc>
          <w:tcPr>
            <w:tcW w:w="1880" w:type="dxa"/>
          </w:tcPr>
          <w:p w14:paraId="1D6BC3D0" w14:textId="47F0C1CC"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A43BD88" w14:textId="7A47942F"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3CAE260" w14:textId="270CD08D"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395B39CB" w14:textId="77777777" w:rsidR="00FF5D11" w:rsidRPr="00F8177B" w:rsidRDefault="00FF5D11" w:rsidP="00222826">
            <w:pPr>
              <w:rPr>
                <w:rFonts w:ascii="Times New Roman" w:hAnsi="Times New Roman" w:cs="Times New Roman"/>
                <w:color w:val="FF0000"/>
                <w:sz w:val="24"/>
                <w:szCs w:val="24"/>
              </w:rPr>
            </w:pPr>
          </w:p>
        </w:tc>
      </w:tr>
      <w:tr w:rsidR="000933E5" w:rsidRPr="00D26A62" w14:paraId="22884EB3" w14:textId="77777777" w:rsidTr="00A25AD1">
        <w:tc>
          <w:tcPr>
            <w:tcW w:w="2928" w:type="dxa"/>
          </w:tcPr>
          <w:p w14:paraId="395183AF" w14:textId="0B0DDAF3"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otrā daļa</w:t>
            </w:r>
          </w:p>
        </w:tc>
        <w:tc>
          <w:tcPr>
            <w:tcW w:w="2164" w:type="dxa"/>
          </w:tcPr>
          <w:p w14:paraId="07359D28" w14:textId="2D954497" w:rsidR="00FF5D11" w:rsidRDefault="00FF5D11"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32.</w:t>
            </w:r>
            <w:r w:rsidRPr="00503F80">
              <w:rPr>
                <w:rFonts w:ascii="Times New Roman" w:hAnsi="Times New Roman" w:cs="Times New Roman"/>
                <w:sz w:val="24"/>
                <w:szCs w:val="24"/>
              </w:rPr>
              <w:t> punkts</w:t>
            </w:r>
          </w:p>
        </w:tc>
        <w:tc>
          <w:tcPr>
            <w:tcW w:w="1880" w:type="dxa"/>
          </w:tcPr>
          <w:p w14:paraId="2EDAAD12" w14:textId="149B75F4"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62E6575" w14:textId="2B08CC50" w:rsidR="00FF5D11" w:rsidRPr="00503F80"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0CF6EBC9" w14:textId="0B92D529" w:rsidR="00FF5D11" w:rsidRDefault="00FF5D11"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77C02CEC" w14:textId="77777777" w:rsidR="00FF5D11" w:rsidRPr="00F8177B" w:rsidRDefault="00FF5D11" w:rsidP="00222826">
            <w:pPr>
              <w:rPr>
                <w:rFonts w:ascii="Times New Roman" w:hAnsi="Times New Roman" w:cs="Times New Roman"/>
                <w:color w:val="FF0000"/>
                <w:sz w:val="24"/>
                <w:szCs w:val="24"/>
              </w:rPr>
            </w:pPr>
          </w:p>
        </w:tc>
      </w:tr>
      <w:tr w:rsidR="00E422E0" w:rsidRPr="00D26A62" w14:paraId="69E0923F" w14:textId="77777777" w:rsidTr="00A25AD1">
        <w:tc>
          <w:tcPr>
            <w:tcW w:w="2928" w:type="dxa"/>
          </w:tcPr>
          <w:p w14:paraId="11FBDF14" w14:textId="48D032A9" w:rsidR="00E422E0" w:rsidRPr="00503F80" w:rsidRDefault="00E422E0" w:rsidP="00222826">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Pr>
                <w:rFonts w:ascii="Times New Roman" w:hAnsi="Times New Roman" w:cs="Times New Roman"/>
                <w:sz w:val="24"/>
                <w:szCs w:val="24"/>
              </w:rPr>
              <w:t xml:space="preserve"> 4. panta 7.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pirmā daļa)</w:t>
            </w:r>
          </w:p>
        </w:tc>
        <w:tc>
          <w:tcPr>
            <w:tcW w:w="2164" w:type="dxa"/>
          </w:tcPr>
          <w:p w14:paraId="06A9B645" w14:textId="72F506B3" w:rsidR="00E422E0" w:rsidRDefault="00E422E0" w:rsidP="00222826">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33.</w:t>
            </w:r>
            <w:r w:rsidRPr="00503F80">
              <w:rPr>
                <w:rFonts w:ascii="Times New Roman" w:hAnsi="Times New Roman" w:cs="Times New Roman"/>
                <w:sz w:val="24"/>
                <w:szCs w:val="24"/>
              </w:rPr>
              <w:t> punkts</w:t>
            </w:r>
          </w:p>
        </w:tc>
        <w:tc>
          <w:tcPr>
            <w:tcW w:w="1880" w:type="dxa"/>
          </w:tcPr>
          <w:p w14:paraId="37C22ACA" w14:textId="5AFB4FBB" w:rsidR="00E422E0" w:rsidRPr="00503F80" w:rsidRDefault="00E422E0" w:rsidP="00222826">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2EF06A4A" w14:textId="762EB191" w:rsidR="00E422E0" w:rsidRPr="00503F80" w:rsidRDefault="00E422E0" w:rsidP="00222826">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582A69BB" w14:textId="785EFDE9" w:rsidR="00E422E0" w:rsidRDefault="00E422E0" w:rsidP="00222826">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val="restart"/>
          </w:tcPr>
          <w:p w14:paraId="6E270465" w14:textId="640A4FC3" w:rsidR="00E422E0" w:rsidRPr="00F8177B" w:rsidRDefault="00E422E0" w:rsidP="00222826">
            <w:pPr>
              <w:rPr>
                <w:rFonts w:ascii="Times New Roman" w:hAnsi="Times New Roman" w:cs="Times New Roman"/>
                <w:color w:val="FF0000"/>
                <w:sz w:val="24"/>
                <w:szCs w:val="24"/>
              </w:rPr>
            </w:pPr>
            <w:r w:rsidRPr="00FF5D11">
              <w:rPr>
                <w:rFonts w:ascii="Times New Roman" w:hAnsi="Times New Roman" w:cs="Times New Roman"/>
                <w:sz w:val="24"/>
                <w:szCs w:val="24"/>
              </w:rPr>
              <w:t>Direktīvas 2011/89/ES</w:t>
            </w:r>
            <w:r w:rsidRPr="0092468A">
              <w:rPr>
                <w:rFonts w:ascii="Times New Roman" w:hAnsi="Times New Roman" w:cs="Times New Roman"/>
                <w:sz w:val="24"/>
                <w:szCs w:val="24"/>
              </w:rPr>
              <w:t xml:space="preserve"> </w:t>
            </w:r>
            <w:r w:rsidRPr="00FF5D11">
              <w:rPr>
                <w:rFonts w:ascii="Times New Roman" w:hAnsi="Times New Roman" w:cs="Times New Roman"/>
                <w:sz w:val="24"/>
                <w:szCs w:val="24"/>
              </w:rPr>
              <w:t>6. panta 1. punkts paredz, ka dalībvalstis</w:t>
            </w:r>
            <w:r w:rsidRPr="00FF5D11">
              <w:rPr>
                <w:rStyle w:val="cf01"/>
                <w:rFonts w:ascii="Times New Roman" w:hAnsi="Times New Roman" w:cs="Times New Roman"/>
                <w:color w:val="000000" w:themeColor="text1"/>
                <w:sz w:val="24"/>
                <w:szCs w:val="24"/>
              </w:rPr>
              <w:t xml:space="preserve"> paziņo Eiropas Komisijai par šīs direktīvas prasību pārņemšanu. Minēto paziņošanas pienākumu izpildīs Finanšu ministrija, sniedzot paziņojumu Eiropas Komisijai pēc </w:t>
            </w:r>
            <w:r w:rsidRPr="00FF5D11">
              <w:rPr>
                <w:rStyle w:val="cf01"/>
                <w:rFonts w:ascii="Times New Roman" w:hAnsi="Times New Roman" w:cs="Times New Roman"/>
                <w:color w:val="000000" w:themeColor="text1"/>
                <w:sz w:val="24"/>
                <w:szCs w:val="24"/>
              </w:rPr>
              <w:lastRenderedPageBreak/>
              <w:t>Noteikumu projekta apstiprināšanas Latvijas Bankas padomē.</w:t>
            </w:r>
          </w:p>
        </w:tc>
      </w:tr>
      <w:tr w:rsidR="00E422E0" w:rsidRPr="00D26A62" w14:paraId="1820DD83" w14:textId="77777777" w:rsidTr="00A25AD1">
        <w:tc>
          <w:tcPr>
            <w:tcW w:w="2928" w:type="dxa"/>
          </w:tcPr>
          <w:p w14:paraId="1030B23B" w14:textId="441A1A40" w:rsidR="00E422E0" w:rsidRPr="00503F80" w:rsidRDefault="00E422E0" w:rsidP="00A25AD1">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Pr>
                <w:rFonts w:ascii="Times New Roman" w:hAnsi="Times New Roman" w:cs="Times New Roman"/>
                <w:sz w:val="24"/>
                <w:szCs w:val="24"/>
              </w:rPr>
              <w:t xml:space="preserve"> 4. panta 7.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lastRenderedPageBreak/>
              <w:t>226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otrā daļa)</w:t>
            </w:r>
          </w:p>
        </w:tc>
        <w:tc>
          <w:tcPr>
            <w:tcW w:w="2164" w:type="dxa"/>
          </w:tcPr>
          <w:p w14:paraId="3732477E" w14:textId="7F53B85B" w:rsidR="00E422E0" w:rsidRDefault="00E422E0" w:rsidP="00A25AD1">
            <w:pPr>
              <w:rPr>
                <w:rFonts w:ascii="Times New Roman" w:hAnsi="Times New Roman" w:cs="Times New Roman"/>
                <w:sz w:val="24"/>
                <w:szCs w:val="24"/>
              </w:rPr>
            </w:pPr>
            <w:r>
              <w:rPr>
                <w:rFonts w:ascii="Times New Roman" w:hAnsi="Times New Roman" w:cs="Times New Roman"/>
                <w:sz w:val="24"/>
                <w:szCs w:val="24"/>
              </w:rPr>
              <w:lastRenderedPageBreak/>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34.</w:t>
            </w:r>
            <w:r w:rsidRPr="00503F80">
              <w:rPr>
                <w:rFonts w:ascii="Times New Roman" w:hAnsi="Times New Roman" w:cs="Times New Roman"/>
                <w:sz w:val="24"/>
                <w:szCs w:val="24"/>
              </w:rPr>
              <w:t> punkts</w:t>
            </w:r>
          </w:p>
        </w:tc>
        <w:tc>
          <w:tcPr>
            <w:tcW w:w="1880" w:type="dxa"/>
          </w:tcPr>
          <w:p w14:paraId="1EED803F" w14:textId="3EF51C49"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85DB1B4" w14:textId="5C4AFCBA"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5D76FE6F" w14:textId="43CE4E1A" w:rsidR="00E422E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390BE36F" w14:textId="4F952E94" w:rsidR="00E422E0" w:rsidRPr="00F8177B" w:rsidRDefault="00E422E0" w:rsidP="00A25AD1">
            <w:pPr>
              <w:rPr>
                <w:rFonts w:ascii="Times New Roman" w:hAnsi="Times New Roman" w:cs="Times New Roman"/>
                <w:color w:val="FF0000"/>
                <w:sz w:val="24"/>
                <w:szCs w:val="24"/>
              </w:rPr>
            </w:pPr>
          </w:p>
        </w:tc>
      </w:tr>
      <w:tr w:rsidR="00E422E0" w:rsidRPr="00D26A62" w14:paraId="0B82B6EF" w14:textId="77777777" w:rsidTr="00A25AD1">
        <w:tc>
          <w:tcPr>
            <w:tcW w:w="2928" w:type="dxa"/>
          </w:tcPr>
          <w:p w14:paraId="2AC60BC9" w14:textId="5F10CC84" w:rsidR="00E422E0" w:rsidRPr="00503F80" w:rsidRDefault="00E422E0" w:rsidP="00A25AD1">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Pr>
                <w:rFonts w:ascii="Times New Roman" w:hAnsi="Times New Roman" w:cs="Times New Roman"/>
                <w:sz w:val="24"/>
                <w:szCs w:val="24"/>
              </w:rPr>
              <w:t xml:space="preserve"> 4. panta 7.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pirmā daļa)</w:t>
            </w:r>
          </w:p>
        </w:tc>
        <w:tc>
          <w:tcPr>
            <w:tcW w:w="2164" w:type="dxa"/>
          </w:tcPr>
          <w:p w14:paraId="0ABEDBB0" w14:textId="76AC351E" w:rsidR="00E422E0" w:rsidRDefault="00E422E0"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35.</w:t>
            </w:r>
            <w:r w:rsidRPr="00503F80">
              <w:rPr>
                <w:rFonts w:ascii="Times New Roman" w:hAnsi="Times New Roman" w:cs="Times New Roman"/>
                <w:sz w:val="24"/>
                <w:szCs w:val="24"/>
              </w:rPr>
              <w:t> punkts</w:t>
            </w:r>
          </w:p>
        </w:tc>
        <w:tc>
          <w:tcPr>
            <w:tcW w:w="1880" w:type="dxa"/>
          </w:tcPr>
          <w:p w14:paraId="56FEB538" w14:textId="70C59863"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047B0DB9" w14:textId="6773FDC1"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FCA26A7" w14:textId="67DAD59D" w:rsidR="00E422E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0939DA92" w14:textId="77777777" w:rsidR="00E422E0" w:rsidRPr="00F8177B" w:rsidRDefault="00E422E0" w:rsidP="00A25AD1">
            <w:pPr>
              <w:rPr>
                <w:rFonts w:ascii="Times New Roman" w:hAnsi="Times New Roman" w:cs="Times New Roman"/>
                <w:color w:val="FF0000"/>
                <w:sz w:val="24"/>
                <w:szCs w:val="24"/>
              </w:rPr>
            </w:pPr>
          </w:p>
        </w:tc>
      </w:tr>
      <w:tr w:rsidR="00E422E0" w:rsidRPr="00D26A62" w14:paraId="09259B58" w14:textId="77777777" w:rsidTr="00A25AD1">
        <w:tc>
          <w:tcPr>
            <w:tcW w:w="2928" w:type="dxa"/>
          </w:tcPr>
          <w:p w14:paraId="0C58417F" w14:textId="57881C12" w:rsidR="00E422E0" w:rsidRPr="00503F80" w:rsidRDefault="00E422E0" w:rsidP="00A25AD1">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Pr>
                <w:rFonts w:ascii="Times New Roman" w:hAnsi="Times New Roman" w:cs="Times New Roman"/>
                <w:sz w:val="24"/>
                <w:szCs w:val="24"/>
              </w:rPr>
              <w:t xml:space="preserve"> 4. panta 7.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otrā daļa)</w:t>
            </w:r>
          </w:p>
        </w:tc>
        <w:tc>
          <w:tcPr>
            <w:tcW w:w="2164" w:type="dxa"/>
          </w:tcPr>
          <w:p w14:paraId="30D567E6" w14:textId="6271B03A" w:rsidR="00E422E0" w:rsidRDefault="00E422E0"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36.</w:t>
            </w:r>
            <w:r w:rsidRPr="00503F80">
              <w:rPr>
                <w:rFonts w:ascii="Times New Roman" w:hAnsi="Times New Roman" w:cs="Times New Roman"/>
                <w:sz w:val="24"/>
                <w:szCs w:val="24"/>
              </w:rPr>
              <w:t> punkts</w:t>
            </w:r>
          </w:p>
        </w:tc>
        <w:tc>
          <w:tcPr>
            <w:tcW w:w="1880" w:type="dxa"/>
          </w:tcPr>
          <w:p w14:paraId="05FFB654" w14:textId="5A338EAA"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3E026AD7" w14:textId="06F5064C" w:rsidR="00E422E0" w:rsidRPr="00503F8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DC98807" w14:textId="00FF52BA" w:rsidR="00E422E0" w:rsidRDefault="00E422E0"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37747126" w14:textId="77777777" w:rsidR="00E422E0" w:rsidRPr="00F8177B" w:rsidRDefault="00E422E0" w:rsidP="00A25AD1">
            <w:pPr>
              <w:rPr>
                <w:rFonts w:ascii="Times New Roman" w:hAnsi="Times New Roman" w:cs="Times New Roman"/>
                <w:color w:val="FF0000"/>
                <w:sz w:val="24"/>
                <w:szCs w:val="24"/>
              </w:rPr>
            </w:pPr>
          </w:p>
        </w:tc>
      </w:tr>
      <w:tr w:rsidR="003973CB" w:rsidRPr="00D26A62" w14:paraId="5ADBF204" w14:textId="77777777" w:rsidTr="00A25AD1">
        <w:tc>
          <w:tcPr>
            <w:tcW w:w="2928" w:type="dxa"/>
          </w:tcPr>
          <w:p w14:paraId="17145F70" w14:textId="612EE8C4" w:rsidR="003973CB" w:rsidRPr="00503F80" w:rsidRDefault="003973CB" w:rsidP="00A25AD1">
            <w:pPr>
              <w:rPr>
                <w:rFonts w:ascii="Times New Roman" w:hAnsi="Times New Roman" w:cs="Times New Roman"/>
                <w:sz w:val="24"/>
                <w:szCs w:val="24"/>
              </w:rPr>
            </w:pPr>
            <w:r w:rsidRPr="00A25AD1">
              <w:rPr>
                <w:rFonts w:ascii="Times New Roman" w:hAnsi="Times New Roman" w:cs="Times New Roman"/>
                <w:sz w:val="24"/>
                <w:szCs w:val="24"/>
              </w:rPr>
              <w:t>Direktīva</w:t>
            </w:r>
            <w:r>
              <w:rPr>
                <w:rFonts w:ascii="Times New Roman" w:hAnsi="Times New Roman" w:cs="Times New Roman"/>
                <w:sz w:val="24"/>
                <w:szCs w:val="24"/>
              </w:rPr>
              <w:t>s</w:t>
            </w:r>
            <w:r w:rsidRPr="00A25AD1">
              <w:rPr>
                <w:rFonts w:ascii="Times New Roman" w:hAnsi="Times New Roman" w:cs="Times New Roman"/>
                <w:sz w:val="24"/>
                <w:szCs w:val="24"/>
              </w:rPr>
              <w:t xml:space="preserve"> 2014/51/ES</w:t>
            </w:r>
            <w:r>
              <w:rPr>
                <w:rFonts w:ascii="Times New Roman" w:hAnsi="Times New Roman" w:cs="Times New Roman"/>
                <w:sz w:val="24"/>
                <w:szCs w:val="24"/>
              </w:rPr>
              <w:t xml:space="preserve"> 2. panta 50. punkts (</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pirmā daļa)</w:t>
            </w:r>
          </w:p>
        </w:tc>
        <w:tc>
          <w:tcPr>
            <w:tcW w:w="2164" w:type="dxa"/>
          </w:tcPr>
          <w:p w14:paraId="039E0D7B" w14:textId="2F2DA8C2" w:rsidR="003973CB" w:rsidRDefault="003973CB"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37.</w:t>
            </w:r>
            <w:r w:rsidRPr="00503F80">
              <w:rPr>
                <w:rFonts w:ascii="Times New Roman" w:hAnsi="Times New Roman" w:cs="Times New Roman"/>
                <w:sz w:val="24"/>
                <w:szCs w:val="24"/>
              </w:rPr>
              <w:t> punkts</w:t>
            </w:r>
          </w:p>
        </w:tc>
        <w:tc>
          <w:tcPr>
            <w:tcW w:w="1880" w:type="dxa"/>
          </w:tcPr>
          <w:p w14:paraId="6177C73A" w14:textId="1EB72CB0"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B22E7F7" w14:textId="743A23CA"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529DE27" w14:textId="757C0400" w:rsidR="003973CB"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val="restart"/>
          </w:tcPr>
          <w:p w14:paraId="023C3578" w14:textId="4886AF5C" w:rsidR="003973CB" w:rsidRPr="00F8177B" w:rsidRDefault="003973CB" w:rsidP="00A25AD1">
            <w:pPr>
              <w:rPr>
                <w:rFonts w:ascii="Times New Roman" w:hAnsi="Times New Roman" w:cs="Times New Roman"/>
                <w:color w:val="FF0000"/>
                <w:sz w:val="24"/>
                <w:szCs w:val="24"/>
              </w:rPr>
            </w:pPr>
            <w:r w:rsidRPr="00A25AD1">
              <w:rPr>
                <w:rFonts w:ascii="Times New Roman" w:hAnsi="Times New Roman" w:cs="Times New Roman"/>
                <w:sz w:val="24"/>
                <w:szCs w:val="24"/>
              </w:rPr>
              <w:t>Direktīva</w:t>
            </w:r>
            <w:r>
              <w:rPr>
                <w:rFonts w:ascii="Times New Roman" w:hAnsi="Times New Roman" w:cs="Times New Roman"/>
                <w:sz w:val="24"/>
                <w:szCs w:val="24"/>
              </w:rPr>
              <w:t>s</w:t>
            </w:r>
            <w:r w:rsidRPr="00A25AD1">
              <w:rPr>
                <w:rFonts w:ascii="Times New Roman" w:hAnsi="Times New Roman" w:cs="Times New Roman"/>
                <w:sz w:val="24"/>
                <w:szCs w:val="24"/>
              </w:rPr>
              <w:t xml:space="preserve"> 2014/51/ES</w:t>
            </w:r>
            <w:r>
              <w:rPr>
                <w:rFonts w:ascii="Times New Roman" w:hAnsi="Times New Roman" w:cs="Times New Roman"/>
                <w:sz w:val="24"/>
                <w:szCs w:val="24"/>
              </w:rPr>
              <w:t xml:space="preserve"> 7. panta 1. punkts </w:t>
            </w:r>
            <w:r w:rsidRPr="001676C9">
              <w:rPr>
                <w:rStyle w:val="cf01"/>
                <w:rFonts w:ascii="Times New Roman" w:hAnsi="Times New Roman" w:cs="Times New Roman"/>
                <w:color w:val="000000" w:themeColor="text1"/>
                <w:sz w:val="24"/>
                <w:szCs w:val="24"/>
              </w:rPr>
              <w:t>paredz, ka dalībvalstis paziņo Eiropas Komisijai par šīs direktīvas prasību pārņemšanu.</w:t>
            </w:r>
            <w:r>
              <w:rPr>
                <w:rStyle w:val="cf01"/>
                <w:rFonts w:ascii="Times New Roman" w:hAnsi="Times New Roman" w:cs="Times New Roman"/>
                <w:color w:val="000000" w:themeColor="text1"/>
                <w:sz w:val="24"/>
                <w:szCs w:val="24"/>
              </w:rPr>
              <w:t xml:space="preserve"> </w:t>
            </w: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 xml:space="preserve">Noteikumu </w:t>
            </w:r>
            <w:r w:rsidRPr="001676C9">
              <w:rPr>
                <w:rStyle w:val="cf01"/>
                <w:rFonts w:ascii="Times New Roman" w:hAnsi="Times New Roman" w:cs="Times New Roman"/>
                <w:color w:val="000000" w:themeColor="text1"/>
                <w:sz w:val="24"/>
                <w:szCs w:val="24"/>
              </w:rPr>
              <w:t>projekta apstiprināšanas Latvijas Bankas padomē.</w:t>
            </w:r>
          </w:p>
        </w:tc>
      </w:tr>
      <w:tr w:rsidR="003973CB" w:rsidRPr="00D26A62" w14:paraId="735424E7" w14:textId="77777777" w:rsidTr="00A25AD1">
        <w:tc>
          <w:tcPr>
            <w:tcW w:w="2928" w:type="dxa"/>
          </w:tcPr>
          <w:p w14:paraId="3665AA39" w14:textId="61552DAC" w:rsidR="003973CB" w:rsidRPr="00503F80" w:rsidRDefault="003973CB" w:rsidP="00A25AD1">
            <w:pPr>
              <w:rPr>
                <w:rFonts w:ascii="Times New Roman" w:hAnsi="Times New Roman" w:cs="Times New Roman"/>
                <w:sz w:val="24"/>
                <w:szCs w:val="24"/>
              </w:rPr>
            </w:pPr>
            <w:r w:rsidRPr="00A25AD1">
              <w:rPr>
                <w:rFonts w:ascii="Times New Roman" w:hAnsi="Times New Roman" w:cs="Times New Roman"/>
                <w:sz w:val="24"/>
                <w:szCs w:val="24"/>
              </w:rPr>
              <w:t>Direktīva</w:t>
            </w:r>
            <w:r>
              <w:rPr>
                <w:rFonts w:ascii="Times New Roman" w:hAnsi="Times New Roman" w:cs="Times New Roman"/>
                <w:sz w:val="24"/>
                <w:szCs w:val="24"/>
              </w:rPr>
              <w:t>s</w:t>
            </w:r>
            <w:r w:rsidRPr="00A25AD1">
              <w:rPr>
                <w:rFonts w:ascii="Times New Roman" w:hAnsi="Times New Roman" w:cs="Times New Roman"/>
                <w:sz w:val="24"/>
                <w:szCs w:val="24"/>
              </w:rPr>
              <w:t xml:space="preserve"> 2014/51/ES</w:t>
            </w:r>
            <w:r>
              <w:rPr>
                <w:rFonts w:ascii="Times New Roman" w:hAnsi="Times New Roman" w:cs="Times New Roman"/>
                <w:sz w:val="24"/>
                <w:szCs w:val="24"/>
              </w:rPr>
              <w:t xml:space="preserve"> 2. panta 50. punkts (</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otrā daļa)</w:t>
            </w:r>
          </w:p>
        </w:tc>
        <w:tc>
          <w:tcPr>
            <w:tcW w:w="2164" w:type="dxa"/>
          </w:tcPr>
          <w:p w14:paraId="75402412" w14:textId="469C22DF" w:rsidR="003973CB" w:rsidRDefault="003973CB"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38.</w:t>
            </w:r>
            <w:r w:rsidRPr="00503F80">
              <w:rPr>
                <w:rFonts w:ascii="Times New Roman" w:hAnsi="Times New Roman" w:cs="Times New Roman"/>
                <w:sz w:val="24"/>
                <w:szCs w:val="24"/>
              </w:rPr>
              <w:t> punkts</w:t>
            </w:r>
          </w:p>
        </w:tc>
        <w:tc>
          <w:tcPr>
            <w:tcW w:w="1880" w:type="dxa"/>
          </w:tcPr>
          <w:p w14:paraId="38B4BECD" w14:textId="0574E2EF"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0908867C" w14:textId="70329934"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71BE584" w14:textId="602C4A70" w:rsidR="003973CB"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7440C1B5" w14:textId="77777777" w:rsidR="003973CB" w:rsidRPr="00F8177B" w:rsidRDefault="003973CB" w:rsidP="00A25AD1">
            <w:pPr>
              <w:rPr>
                <w:rFonts w:ascii="Times New Roman" w:hAnsi="Times New Roman" w:cs="Times New Roman"/>
                <w:color w:val="FF0000"/>
                <w:sz w:val="24"/>
                <w:szCs w:val="24"/>
              </w:rPr>
            </w:pPr>
          </w:p>
        </w:tc>
      </w:tr>
      <w:tr w:rsidR="003973CB" w:rsidRPr="00D26A62" w14:paraId="7A49B53C" w14:textId="77777777" w:rsidTr="00A25AD1">
        <w:tc>
          <w:tcPr>
            <w:tcW w:w="2928" w:type="dxa"/>
          </w:tcPr>
          <w:p w14:paraId="6A2E72A9" w14:textId="60D6CDFA" w:rsidR="003973CB" w:rsidRPr="00754161" w:rsidRDefault="003973CB" w:rsidP="00A25AD1">
            <w:pPr>
              <w:rPr>
                <w:rFonts w:ascii="Times New Roman" w:hAnsi="Times New Roman" w:cs="Times New Roman"/>
                <w:sz w:val="24"/>
                <w:szCs w:val="24"/>
              </w:rPr>
            </w:pPr>
            <w:r w:rsidRPr="00A25AD1">
              <w:rPr>
                <w:rFonts w:ascii="Times New Roman" w:hAnsi="Times New Roman" w:cs="Times New Roman"/>
                <w:sz w:val="24"/>
                <w:szCs w:val="24"/>
              </w:rPr>
              <w:t>Direktīva</w:t>
            </w:r>
            <w:r>
              <w:rPr>
                <w:rFonts w:ascii="Times New Roman" w:hAnsi="Times New Roman" w:cs="Times New Roman"/>
                <w:sz w:val="24"/>
                <w:szCs w:val="24"/>
              </w:rPr>
              <w:t>s</w:t>
            </w:r>
            <w:r w:rsidRPr="00A25AD1">
              <w:rPr>
                <w:rFonts w:ascii="Times New Roman" w:hAnsi="Times New Roman" w:cs="Times New Roman"/>
                <w:sz w:val="24"/>
                <w:szCs w:val="24"/>
              </w:rPr>
              <w:t xml:space="preserve"> 2014/51/ES</w:t>
            </w:r>
            <w:r>
              <w:rPr>
                <w:rFonts w:ascii="Times New Roman" w:hAnsi="Times New Roman" w:cs="Times New Roman"/>
                <w:sz w:val="24"/>
                <w:szCs w:val="24"/>
              </w:rPr>
              <w:t xml:space="preserve"> 2. panta 50. punkts (</w:t>
            </w:r>
            <w:r w:rsidRPr="00754161">
              <w:rPr>
                <w:rFonts w:ascii="Times New Roman" w:hAnsi="Times New Roman" w:cs="Times New Roman"/>
                <w:sz w:val="24"/>
                <w:szCs w:val="24"/>
              </w:rPr>
              <w:t>Direktīvas </w:t>
            </w:r>
            <w:r w:rsidRPr="00754161">
              <w:rPr>
                <w:rFonts w:ascii="Times New Roman" w:hAnsi="Times New Roman" w:cs="Times New Roman"/>
                <w:bCs/>
                <w:sz w:val="24"/>
                <w:szCs w:val="24"/>
              </w:rPr>
              <w:t>2009/138/EK</w:t>
            </w:r>
            <w:r w:rsidRPr="00754161">
              <w:rPr>
                <w:rFonts w:ascii="Times New Roman" w:hAnsi="Times New Roman" w:cs="Times New Roman"/>
                <w:sz w:val="24"/>
                <w:szCs w:val="24"/>
              </w:rPr>
              <w:t xml:space="preserve"> 227. panta 2. punkts</w:t>
            </w:r>
            <w:r>
              <w:rPr>
                <w:rFonts w:ascii="Times New Roman" w:hAnsi="Times New Roman" w:cs="Times New Roman"/>
                <w:sz w:val="24"/>
                <w:szCs w:val="24"/>
              </w:rPr>
              <w:t>)</w:t>
            </w:r>
          </w:p>
        </w:tc>
        <w:tc>
          <w:tcPr>
            <w:tcW w:w="2164" w:type="dxa"/>
          </w:tcPr>
          <w:p w14:paraId="12F1AF83" w14:textId="6EF292C9" w:rsidR="003973CB" w:rsidRPr="00754161" w:rsidRDefault="003973CB" w:rsidP="00A25AD1">
            <w:pPr>
              <w:rPr>
                <w:rFonts w:ascii="Times New Roman" w:hAnsi="Times New Roman" w:cs="Times New Roman"/>
                <w:sz w:val="24"/>
                <w:szCs w:val="24"/>
              </w:rPr>
            </w:pPr>
            <w:r w:rsidRPr="00754161">
              <w:rPr>
                <w:rFonts w:ascii="Times New Roman" w:hAnsi="Times New Roman" w:cs="Times New Roman"/>
                <w:sz w:val="24"/>
                <w:szCs w:val="24"/>
              </w:rPr>
              <w:t xml:space="preserve">Noteikumu projekta </w:t>
            </w:r>
            <w:r>
              <w:rPr>
                <w:rFonts w:ascii="Times New Roman" w:hAnsi="Times New Roman" w:cs="Times New Roman"/>
                <w:sz w:val="24"/>
                <w:szCs w:val="24"/>
              </w:rPr>
              <w:t>39</w:t>
            </w:r>
            <w:r w:rsidRPr="00754161">
              <w:rPr>
                <w:rFonts w:ascii="Times New Roman" w:hAnsi="Times New Roman" w:cs="Times New Roman"/>
                <w:sz w:val="24"/>
                <w:szCs w:val="24"/>
              </w:rPr>
              <w:t>. punkts</w:t>
            </w:r>
          </w:p>
        </w:tc>
        <w:tc>
          <w:tcPr>
            <w:tcW w:w="1880" w:type="dxa"/>
          </w:tcPr>
          <w:p w14:paraId="5CE70091" w14:textId="6C15BA2F"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250D9B8F" w14:textId="77DF1526"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6159179" w14:textId="443B39D5" w:rsidR="003973CB"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547A7E3C" w14:textId="77777777" w:rsidR="003973CB" w:rsidRPr="00F8177B" w:rsidRDefault="003973CB" w:rsidP="00A25AD1">
            <w:pPr>
              <w:rPr>
                <w:rFonts w:ascii="Times New Roman" w:hAnsi="Times New Roman" w:cs="Times New Roman"/>
                <w:color w:val="FF0000"/>
                <w:sz w:val="24"/>
                <w:szCs w:val="24"/>
              </w:rPr>
            </w:pPr>
          </w:p>
        </w:tc>
      </w:tr>
      <w:tr w:rsidR="003973CB" w:rsidRPr="00D26A62" w14:paraId="18D48846" w14:textId="77777777" w:rsidTr="00A25AD1">
        <w:tc>
          <w:tcPr>
            <w:tcW w:w="2928" w:type="dxa"/>
          </w:tcPr>
          <w:p w14:paraId="43FAA424" w14:textId="40B1255C" w:rsidR="003973CB" w:rsidRPr="00503F80" w:rsidRDefault="003973CB" w:rsidP="00A25AD1">
            <w:pPr>
              <w:rPr>
                <w:rFonts w:ascii="Times New Roman" w:hAnsi="Times New Roman" w:cs="Times New Roman"/>
                <w:sz w:val="24"/>
                <w:szCs w:val="24"/>
              </w:rPr>
            </w:pPr>
            <w:r w:rsidRPr="00A25AD1">
              <w:rPr>
                <w:rFonts w:ascii="Times New Roman" w:hAnsi="Times New Roman" w:cs="Times New Roman"/>
                <w:sz w:val="24"/>
                <w:szCs w:val="24"/>
              </w:rPr>
              <w:t>Direktīva</w:t>
            </w:r>
            <w:r>
              <w:rPr>
                <w:rFonts w:ascii="Times New Roman" w:hAnsi="Times New Roman" w:cs="Times New Roman"/>
                <w:sz w:val="24"/>
                <w:szCs w:val="24"/>
              </w:rPr>
              <w:t>s</w:t>
            </w:r>
            <w:r w:rsidRPr="00A25AD1">
              <w:rPr>
                <w:rFonts w:ascii="Times New Roman" w:hAnsi="Times New Roman" w:cs="Times New Roman"/>
                <w:sz w:val="24"/>
                <w:szCs w:val="24"/>
              </w:rPr>
              <w:t xml:space="preserve"> 2014/51/ES</w:t>
            </w:r>
            <w:r>
              <w:rPr>
                <w:rFonts w:ascii="Times New Roman" w:hAnsi="Times New Roman" w:cs="Times New Roman"/>
                <w:sz w:val="24"/>
                <w:szCs w:val="24"/>
              </w:rPr>
              <w:t xml:space="preserve"> 2. panta 50. punkts (</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7. punkts)</w:t>
            </w:r>
          </w:p>
        </w:tc>
        <w:tc>
          <w:tcPr>
            <w:tcW w:w="2164" w:type="dxa"/>
          </w:tcPr>
          <w:p w14:paraId="0177D817" w14:textId="6AF617B0" w:rsidR="003973CB" w:rsidRDefault="003973CB"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39.</w:t>
            </w:r>
            <w:r w:rsidRPr="00503F80">
              <w:rPr>
                <w:rFonts w:ascii="Times New Roman" w:hAnsi="Times New Roman" w:cs="Times New Roman"/>
                <w:sz w:val="24"/>
                <w:szCs w:val="24"/>
              </w:rPr>
              <w:t> punkts</w:t>
            </w:r>
          </w:p>
        </w:tc>
        <w:tc>
          <w:tcPr>
            <w:tcW w:w="1880" w:type="dxa"/>
          </w:tcPr>
          <w:p w14:paraId="6DA9AA1E" w14:textId="1FCBD42E"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20F030D8" w14:textId="6997ADDE" w:rsidR="003973CB" w:rsidRPr="00503F80"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398E9BB8" w14:textId="7AF61096" w:rsidR="003973CB" w:rsidRDefault="003973CB"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2EF8C619" w14:textId="77777777" w:rsidR="003973CB" w:rsidRPr="00F8177B" w:rsidRDefault="003973CB" w:rsidP="00A25AD1">
            <w:pPr>
              <w:rPr>
                <w:rFonts w:ascii="Times New Roman" w:hAnsi="Times New Roman" w:cs="Times New Roman"/>
                <w:color w:val="FF0000"/>
                <w:sz w:val="24"/>
                <w:szCs w:val="24"/>
              </w:rPr>
            </w:pPr>
          </w:p>
        </w:tc>
      </w:tr>
      <w:tr w:rsidR="00EE337F" w:rsidRPr="00D26A62" w14:paraId="59351610" w14:textId="77777777" w:rsidTr="00A25AD1">
        <w:tc>
          <w:tcPr>
            <w:tcW w:w="2928" w:type="dxa"/>
          </w:tcPr>
          <w:p w14:paraId="58E68278" w14:textId="7DF79FB6"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228</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pirmā daļa</w:t>
            </w:r>
          </w:p>
        </w:tc>
        <w:tc>
          <w:tcPr>
            <w:tcW w:w="2164" w:type="dxa"/>
          </w:tcPr>
          <w:p w14:paraId="1E282DA2" w14:textId="1FB71529"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40.</w:t>
            </w:r>
            <w:r w:rsidRPr="00503F80">
              <w:rPr>
                <w:rFonts w:ascii="Times New Roman" w:hAnsi="Times New Roman" w:cs="Times New Roman"/>
                <w:sz w:val="24"/>
                <w:szCs w:val="24"/>
              </w:rPr>
              <w:t> punkts</w:t>
            </w:r>
          </w:p>
        </w:tc>
        <w:tc>
          <w:tcPr>
            <w:tcW w:w="1880" w:type="dxa"/>
          </w:tcPr>
          <w:p w14:paraId="066B52E2" w14:textId="5B269097"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5E574FF6" w14:textId="7185DDA6"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56A3827B" w14:textId="37951F9E" w:rsidR="00EE337F"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val="restart"/>
          </w:tcPr>
          <w:p w14:paraId="59D19B06" w14:textId="4D49FCAB" w:rsidR="00EE337F" w:rsidRPr="00F8177B" w:rsidRDefault="00EE337F" w:rsidP="00A25AD1">
            <w:pPr>
              <w:rPr>
                <w:rFonts w:ascii="Times New Roman" w:hAnsi="Times New Roman" w:cs="Times New Roman"/>
                <w:color w:val="FF0000"/>
                <w:sz w:val="24"/>
                <w:szCs w:val="24"/>
              </w:rPr>
            </w:pPr>
            <w:r w:rsidRPr="001676C9">
              <w:rPr>
                <w:rStyle w:val="cf01"/>
                <w:rFonts w:ascii="Times New Roman" w:hAnsi="Times New Roman" w:cs="Times New Roman"/>
                <w:color w:val="000000" w:themeColor="text1"/>
                <w:sz w:val="24"/>
                <w:szCs w:val="24"/>
              </w:rPr>
              <w:t>Direktīvas </w:t>
            </w:r>
            <w:r w:rsidRPr="00AE5AEC">
              <w:rPr>
                <w:rStyle w:val="cf01"/>
                <w:rFonts w:ascii="Times New Roman" w:hAnsi="Times New Roman" w:cs="Times New Roman"/>
                <w:color w:val="000000" w:themeColor="text1"/>
                <w:sz w:val="24"/>
                <w:szCs w:val="24"/>
              </w:rPr>
              <w:t>2009/138/EK 309</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a</w:t>
            </w:r>
            <w:r w:rsidRPr="00F75FC1">
              <w:rPr>
                <w:rStyle w:val="cf01"/>
                <w:rFonts w:ascii="Times New Roman" w:hAnsi="Times New Roman" w:cs="Times New Roman"/>
                <w:color w:val="000000" w:themeColor="text1"/>
                <w:sz w:val="24"/>
                <w:szCs w:val="24"/>
              </w:rPr>
              <w:t xml:space="preserve"> 1. punkts</w:t>
            </w:r>
            <w:r w:rsidRPr="001676C9">
              <w:rPr>
                <w:rStyle w:val="cf01"/>
                <w:rFonts w:ascii="Times New Roman" w:hAnsi="Times New Roman" w:cs="Times New Roman"/>
                <w:color w:val="000000" w:themeColor="text1"/>
                <w:sz w:val="24"/>
                <w:szCs w:val="24"/>
              </w:rPr>
              <w:t xml:space="preserve"> paredz, ka dalībvalstis paziņo Eiropas Komisijai par šīs direktīvas prasību pārņemšanu.</w:t>
            </w:r>
            <w:r>
              <w:rPr>
                <w:rStyle w:val="cf01"/>
                <w:rFonts w:ascii="Times New Roman" w:hAnsi="Times New Roman" w:cs="Times New Roman"/>
                <w:color w:val="000000" w:themeColor="text1"/>
                <w:sz w:val="24"/>
                <w:szCs w:val="24"/>
              </w:rPr>
              <w:t xml:space="preserve"> </w:t>
            </w: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 xml:space="preserve">Noteikumu </w:t>
            </w:r>
            <w:r w:rsidRPr="001676C9">
              <w:rPr>
                <w:rStyle w:val="cf01"/>
                <w:rFonts w:ascii="Times New Roman" w:hAnsi="Times New Roman" w:cs="Times New Roman"/>
                <w:color w:val="000000" w:themeColor="text1"/>
                <w:sz w:val="24"/>
                <w:szCs w:val="24"/>
              </w:rPr>
              <w:t>projekta apstiprināšanas Latvijas Bankas padomē.</w:t>
            </w:r>
          </w:p>
        </w:tc>
      </w:tr>
      <w:tr w:rsidR="00EE337F" w:rsidRPr="00D26A62" w14:paraId="5FC2DE7D" w14:textId="77777777" w:rsidTr="00A25AD1">
        <w:tc>
          <w:tcPr>
            <w:tcW w:w="2928" w:type="dxa"/>
          </w:tcPr>
          <w:p w14:paraId="6028D89F" w14:textId="4DB38C1A"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228</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otrā daļa</w:t>
            </w:r>
          </w:p>
        </w:tc>
        <w:tc>
          <w:tcPr>
            <w:tcW w:w="2164" w:type="dxa"/>
          </w:tcPr>
          <w:p w14:paraId="1A0B41B4" w14:textId="7C12A2D9"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42.</w:t>
            </w:r>
            <w:r w:rsidRPr="00503F80">
              <w:rPr>
                <w:rFonts w:ascii="Times New Roman" w:hAnsi="Times New Roman" w:cs="Times New Roman"/>
                <w:sz w:val="24"/>
                <w:szCs w:val="24"/>
              </w:rPr>
              <w:t> punkts</w:t>
            </w:r>
          </w:p>
        </w:tc>
        <w:tc>
          <w:tcPr>
            <w:tcW w:w="1880" w:type="dxa"/>
          </w:tcPr>
          <w:p w14:paraId="3CE4461F" w14:textId="3DEB961F"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C62E1CA" w14:textId="11EAF89C"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87CC3A6" w14:textId="7E5027E0" w:rsidR="00EE337F"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056A72CD" w14:textId="77777777" w:rsidR="00EE337F" w:rsidRPr="00F8177B" w:rsidRDefault="00EE337F" w:rsidP="00A25AD1">
            <w:pPr>
              <w:rPr>
                <w:rFonts w:ascii="Times New Roman" w:hAnsi="Times New Roman" w:cs="Times New Roman"/>
                <w:color w:val="FF0000"/>
                <w:sz w:val="24"/>
                <w:szCs w:val="24"/>
              </w:rPr>
            </w:pPr>
          </w:p>
        </w:tc>
      </w:tr>
      <w:tr w:rsidR="00EE337F" w:rsidRPr="00D26A62" w14:paraId="597B213E" w14:textId="77777777" w:rsidTr="00A25AD1">
        <w:tc>
          <w:tcPr>
            <w:tcW w:w="2928" w:type="dxa"/>
          </w:tcPr>
          <w:p w14:paraId="44718AFE" w14:textId="74CFA42A"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229</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ants</w:t>
            </w:r>
          </w:p>
        </w:tc>
        <w:tc>
          <w:tcPr>
            <w:tcW w:w="2164" w:type="dxa"/>
          </w:tcPr>
          <w:p w14:paraId="52EDF961" w14:textId="71FE6420"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43.</w:t>
            </w:r>
            <w:r w:rsidRPr="00503F80">
              <w:rPr>
                <w:rFonts w:ascii="Times New Roman" w:hAnsi="Times New Roman" w:cs="Times New Roman"/>
                <w:sz w:val="24"/>
                <w:szCs w:val="24"/>
              </w:rPr>
              <w:t> punkts</w:t>
            </w:r>
          </w:p>
        </w:tc>
        <w:tc>
          <w:tcPr>
            <w:tcW w:w="1880" w:type="dxa"/>
          </w:tcPr>
          <w:p w14:paraId="0E84E68B" w14:textId="06D71C3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B8D0FFB" w14:textId="0562C440"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0DAACD7A" w14:textId="390F834C" w:rsidR="00EE337F"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6C998B1F" w14:textId="77777777" w:rsidR="00EE337F" w:rsidRPr="00F8177B" w:rsidRDefault="00EE337F" w:rsidP="00A25AD1">
            <w:pPr>
              <w:rPr>
                <w:rFonts w:ascii="Times New Roman" w:hAnsi="Times New Roman" w:cs="Times New Roman"/>
                <w:color w:val="FF0000"/>
                <w:sz w:val="24"/>
                <w:szCs w:val="24"/>
              </w:rPr>
            </w:pPr>
          </w:p>
        </w:tc>
      </w:tr>
      <w:tr w:rsidR="00EE337F" w:rsidRPr="00D26A62" w14:paraId="74C17BD0" w14:textId="77777777" w:rsidTr="00A25AD1">
        <w:tc>
          <w:tcPr>
            <w:tcW w:w="2928" w:type="dxa"/>
          </w:tcPr>
          <w:p w14:paraId="738DEAA3" w14:textId="47542539"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pirmā un otrā daļa</w:t>
            </w:r>
          </w:p>
        </w:tc>
        <w:tc>
          <w:tcPr>
            <w:tcW w:w="2164" w:type="dxa"/>
          </w:tcPr>
          <w:p w14:paraId="266F51AC" w14:textId="0224D074"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45.</w:t>
            </w:r>
            <w:r w:rsidRPr="00503F80">
              <w:rPr>
                <w:rFonts w:ascii="Times New Roman" w:hAnsi="Times New Roman" w:cs="Times New Roman"/>
                <w:sz w:val="24"/>
                <w:szCs w:val="24"/>
              </w:rPr>
              <w:t> punkts</w:t>
            </w:r>
          </w:p>
        </w:tc>
        <w:tc>
          <w:tcPr>
            <w:tcW w:w="1880" w:type="dxa"/>
          </w:tcPr>
          <w:p w14:paraId="179D010A" w14:textId="04F42582"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7D3D9008" w14:textId="254F8CBF"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3DCB73F9" w14:textId="77D74EC7" w:rsidR="00EE337F"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412CF50B" w14:textId="77777777" w:rsidR="00EE337F" w:rsidRPr="00F8177B" w:rsidRDefault="00EE337F" w:rsidP="00A25AD1">
            <w:pPr>
              <w:rPr>
                <w:rFonts w:ascii="Times New Roman" w:hAnsi="Times New Roman" w:cs="Times New Roman"/>
                <w:color w:val="FF0000"/>
                <w:sz w:val="24"/>
                <w:szCs w:val="24"/>
              </w:rPr>
            </w:pPr>
          </w:p>
        </w:tc>
      </w:tr>
      <w:tr w:rsidR="00EE337F" w:rsidRPr="00D26A62" w14:paraId="51533748" w14:textId="77777777" w:rsidTr="00A25AD1">
        <w:tc>
          <w:tcPr>
            <w:tcW w:w="2928" w:type="dxa"/>
          </w:tcPr>
          <w:p w14:paraId="78DDCA04" w14:textId="595DB653"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punkta trešā daļa</w:t>
            </w:r>
          </w:p>
        </w:tc>
        <w:tc>
          <w:tcPr>
            <w:tcW w:w="2164" w:type="dxa"/>
          </w:tcPr>
          <w:p w14:paraId="6F9BF6B5" w14:textId="7B28733B"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46.</w:t>
            </w:r>
            <w:r w:rsidRPr="00503F80">
              <w:rPr>
                <w:rFonts w:ascii="Times New Roman" w:hAnsi="Times New Roman" w:cs="Times New Roman"/>
                <w:sz w:val="24"/>
                <w:szCs w:val="24"/>
              </w:rPr>
              <w:t> punkts</w:t>
            </w:r>
          </w:p>
        </w:tc>
        <w:tc>
          <w:tcPr>
            <w:tcW w:w="1880" w:type="dxa"/>
          </w:tcPr>
          <w:p w14:paraId="4D547650" w14:textId="74551B6F"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3C4BBEF1" w14:textId="000A70D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40E90243" w14:textId="2B983B08" w:rsidR="00EE337F"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Jā</w:t>
            </w:r>
          </w:p>
        </w:tc>
        <w:tc>
          <w:tcPr>
            <w:tcW w:w="3703" w:type="dxa"/>
            <w:vMerge/>
          </w:tcPr>
          <w:p w14:paraId="46088E98" w14:textId="77777777" w:rsidR="00EE337F" w:rsidRPr="00F8177B" w:rsidRDefault="00EE337F" w:rsidP="00A25AD1">
            <w:pPr>
              <w:rPr>
                <w:rFonts w:ascii="Times New Roman" w:hAnsi="Times New Roman" w:cs="Times New Roman"/>
                <w:color w:val="FF0000"/>
                <w:sz w:val="24"/>
                <w:szCs w:val="24"/>
              </w:rPr>
            </w:pPr>
          </w:p>
        </w:tc>
      </w:tr>
      <w:tr w:rsidR="00EE337F" w:rsidRPr="00D26A62" w14:paraId="2762C303" w14:textId="77777777" w:rsidTr="00A25AD1">
        <w:tc>
          <w:tcPr>
            <w:tcW w:w="2928" w:type="dxa"/>
          </w:tcPr>
          <w:p w14:paraId="7E88183B" w14:textId="59D9908C"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pirmā daļa</w:t>
            </w:r>
          </w:p>
        </w:tc>
        <w:tc>
          <w:tcPr>
            <w:tcW w:w="2164" w:type="dxa"/>
          </w:tcPr>
          <w:p w14:paraId="46168BBD" w14:textId="0A8B3D47"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48.</w:t>
            </w:r>
            <w:r w:rsidRPr="00503F80">
              <w:rPr>
                <w:rFonts w:ascii="Times New Roman" w:hAnsi="Times New Roman" w:cs="Times New Roman"/>
                <w:sz w:val="24"/>
                <w:szCs w:val="24"/>
              </w:rPr>
              <w:t> punkts</w:t>
            </w:r>
          </w:p>
        </w:tc>
        <w:tc>
          <w:tcPr>
            <w:tcW w:w="1880" w:type="dxa"/>
          </w:tcPr>
          <w:p w14:paraId="69FBB8AF" w14:textId="70041D24"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78E90868" w14:textId="68DEF492"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1EF48122" w14:textId="4C59870A" w:rsidR="00EE337F"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250AB8DD" w14:textId="77777777" w:rsidR="00EE337F" w:rsidRPr="00F8177B" w:rsidRDefault="00EE337F" w:rsidP="00A25AD1">
            <w:pPr>
              <w:rPr>
                <w:rFonts w:ascii="Times New Roman" w:hAnsi="Times New Roman" w:cs="Times New Roman"/>
                <w:color w:val="FF0000"/>
                <w:sz w:val="24"/>
                <w:szCs w:val="24"/>
              </w:rPr>
            </w:pPr>
          </w:p>
        </w:tc>
      </w:tr>
      <w:tr w:rsidR="00EE337F" w:rsidRPr="00D26A62" w14:paraId="4B0B8988" w14:textId="77777777" w:rsidTr="00A25AD1">
        <w:tc>
          <w:tcPr>
            <w:tcW w:w="2928" w:type="dxa"/>
          </w:tcPr>
          <w:p w14:paraId="0D4414F0" w14:textId="1ABA8E48"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otrā daļa</w:t>
            </w:r>
          </w:p>
        </w:tc>
        <w:tc>
          <w:tcPr>
            <w:tcW w:w="2164" w:type="dxa"/>
          </w:tcPr>
          <w:p w14:paraId="07E3F7A9" w14:textId="01F1308F" w:rsidR="00EE337F" w:rsidRPr="00503F80"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51.</w:t>
            </w:r>
            <w:r w:rsidRPr="00503F80">
              <w:rPr>
                <w:rFonts w:ascii="Times New Roman" w:hAnsi="Times New Roman" w:cs="Times New Roman"/>
                <w:sz w:val="24"/>
                <w:szCs w:val="24"/>
              </w:rPr>
              <w:t> punkts</w:t>
            </w:r>
          </w:p>
        </w:tc>
        <w:tc>
          <w:tcPr>
            <w:tcW w:w="1880" w:type="dxa"/>
          </w:tcPr>
          <w:p w14:paraId="4FA0B1E9" w14:textId="674337C2"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62D6153A" w14:textId="77777777"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C1581C3" w14:textId="3955ADFA"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60201D29" w14:textId="77777777" w:rsidR="00EE337F" w:rsidRPr="00F8177B" w:rsidRDefault="00EE337F" w:rsidP="00A25AD1">
            <w:pPr>
              <w:rPr>
                <w:rFonts w:ascii="Times New Roman" w:hAnsi="Times New Roman" w:cs="Times New Roman"/>
                <w:color w:val="FF0000"/>
                <w:sz w:val="24"/>
                <w:szCs w:val="24"/>
              </w:rPr>
            </w:pPr>
          </w:p>
        </w:tc>
      </w:tr>
      <w:tr w:rsidR="00EE337F" w:rsidRPr="00D26A62" w14:paraId="0A98344B" w14:textId="77777777" w:rsidTr="00A25AD1">
        <w:tc>
          <w:tcPr>
            <w:tcW w:w="2928" w:type="dxa"/>
          </w:tcPr>
          <w:p w14:paraId="56723DD3" w14:textId="1CE08D9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trešā daļa</w:t>
            </w:r>
          </w:p>
        </w:tc>
        <w:tc>
          <w:tcPr>
            <w:tcW w:w="2164" w:type="dxa"/>
          </w:tcPr>
          <w:p w14:paraId="77BAAC5A" w14:textId="6DA53ADD"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53.</w:t>
            </w:r>
            <w:r w:rsidRPr="00503F80">
              <w:rPr>
                <w:rFonts w:ascii="Times New Roman" w:hAnsi="Times New Roman" w:cs="Times New Roman"/>
                <w:sz w:val="24"/>
                <w:szCs w:val="24"/>
              </w:rPr>
              <w:t> punkts</w:t>
            </w:r>
          </w:p>
        </w:tc>
        <w:tc>
          <w:tcPr>
            <w:tcW w:w="1880" w:type="dxa"/>
          </w:tcPr>
          <w:p w14:paraId="4F72FDB1" w14:textId="2E6EF29A"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097B5907" w14:textId="715DD6F5"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5C132055" w14:textId="380C6D1D"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64CC3EF5" w14:textId="77777777" w:rsidR="00EE337F" w:rsidRPr="00F8177B" w:rsidRDefault="00EE337F" w:rsidP="00A25AD1">
            <w:pPr>
              <w:rPr>
                <w:rFonts w:ascii="Times New Roman" w:hAnsi="Times New Roman" w:cs="Times New Roman"/>
                <w:color w:val="FF0000"/>
                <w:sz w:val="24"/>
                <w:szCs w:val="24"/>
              </w:rPr>
            </w:pPr>
          </w:p>
        </w:tc>
      </w:tr>
      <w:tr w:rsidR="00EE337F" w:rsidRPr="00D26A62" w14:paraId="3A68E0B8" w14:textId="77777777" w:rsidTr="00A25AD1">
        <w:tc>
          <w:tcPr>
            <w:tcW w:w="2928" w:type="dxa"/>
          </w:tcPr>
          <w:p w14:paraId="373A387C" w14:textId="76D03308"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ceturtās daļas pirmais teikums</w:t>
            </w:r>
          </w:p>
        </w:tc>
        <w:tc>
          <w:tcPr>
            <w:tcW w:w="2164" w:type="dxa"/>
          </w:tcPr>
          <w:p w14:paraId="4F95C0E4" w14:textId="2C42B8C3"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54.</w:t>
            </w:r>
            <w:r w:rsidRPr="00503F80">
              <w:rPr>
                <w:rFonts w:ascii="Times New Roman" w:hAnsi="Times New Roman" w:cs="Times New Roman"/>
                <w:sz w:val="24"/>
                <w:szCs w:val="24"/>
              </w:rPr>
              <w:t> punkts</w:t>
            </w:r>
          </w:p>
        </w:tc>
        <w:tc>
          <w:tcPr>
            <w:tcW w:w="1880" w:type="dxa"/>
          </w:tcPr>
          <w:p w14:paraId="3F15CE7C" w14:textId="15F07BF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429F34DA" w14:textId="45D11982"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0BB65CF" w14:textId="01CC7B74"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603DB580" w14:textId="77777777" w:rsidR="00EE337F" w:rsidRPr="00F8177B" w:rsidRDefault="00EE337F" w:rsidP="00A25AD1">
            <w:pPr>
              <w:rPr>
                <w:rFonts w:ascii="Times New Roman" w:hAnsi="Times New Roman" w:cs="Times New Roman"/>
                <w:color w:val="FF0000"/>
                <w:sz w:val="24"/>
                <w:szCs w:val="24"/>
              </w:rPr>
            </w:pPr>
          </w:p>
        </w:tc>
      </w:tr>
      <w:tr w:rsidR="00EE337F" w:rsidRPr="00D26A62" w14:paraId="143D89FC" w14:textId="77777777" w:rsidTr="00A25AD1">
        <w:tc>
          <w:tcPr>
            <w:tcW w:w="2928" w:type="dxa"/>
          </w:tcPr>
          <w:p w14:paraId="14A805DE" w14:textId="16B6D840" w:rsidR="00EE337F" w:rsidRPr="00342764" w:rsidRDefault="00EE337F" w:rsidP="00A25AD1">
            <w:pPr>
              <w:rPr>
                <w:rFonts w:ascii="Times New Roman" w:hAnsi="Times New Roman" w:cs="Times New Roman"/>
                <w:sz w:val="24"/>
                <w:szCs w:val="24"/>
                <w:highlight w:val="lightGray"/>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ceturtās daļas otrais teikums</w:t>
            </w:r>
          </w:p>
        </w:tc>
        <w:tc>
          <w:tcPr>
            <w:tcW w:w="2164" w:type="dxa"/>
          </w:tcPr>
          <w:p w14:paraId="0CF5D8DD" w14:textId="7F92C6B2" w:rsidR="00EE337F" w:rsidRPr="00342764" w:rsidRDefault="00EE337F" w:rsidP="00A25AD1">
            <w:pPr>
              <w:rPr>
                <w:rFonts w:ascii="Times New Roman" w:hAnsi="Times New Roman" w:cs="Times New Roman"/>
                <w:sz w:val="24"/>
                <w:szCs w:val="24"/>
                <w:highlight w:val="lightGray"/>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55.</w:t>
            </w:r>
            <w:r w:rsidRPr="00503F80">
              <w:rPr>
                <w:rFonts w:ascii="Times New Roman" w:hAnsi="Times New Roman" w:cs="Times New Roman"/>
                <w:sz w:val="24"/>
                <w:szCs w:val="24"/>
              </w:rPr>
              <w:t> punkts</w:t>
            </w:r>
          </w:p>
        </w:tc>
        <w:tc>
          <w:tcPr>
            <w:tcW w:w="1880" w:type="dxa"/>
          </w:tcPr>
          <w:p w14:paraId="4E8D4723" w14:textId="22158092" w:rsidR="00EE337F" w:rsidRPr="00342764" w:rsidRDefault="00EE337F" w:rsidP="00A25AD1">
            <w:pPr>
              <w:rPr>
                <w:rFonts w:ascii="Times New Roman" w:hAnsi="Times New Roman" w:cs="Times New Roman"/>
                <w:sz w:val="24"/>
                <w:szCs w:val="24"/>
                <w:highlight w:val="lightGray"/>
              </w:rPr>
            </w:pPr>
            <w:r w:rsidRPr="00503F80">
              <w:rPr>
                <w:rFonts w:ascii="Times New Roman" w:hAnsi="Times New Roman" w:cs="Times New Roman"/>
                <w:sz w:val="24"/>
                <w:szCs w:val="24"/>
              </w:rPr>
              <w:t>Izpilda pilnībā</w:t>
            </w:r>
          </w:p>
        </w:tc>
        <w:tc>
          <w:tcPr>
            <w:tcW w:w="2067" w:type="dxa"/>
          </w:tcPr>
          <w:p w14:paraId="1CEEF40A" w14:textId="3E11FAB5" w:rsidR="00EE337F" w:rsidRPr="00342764" w:rsidRDefault="00EE337F" w:rsidP="00A25AD1">
            <w:pPr>
              <w:rPr>
                <w:rFonts w:ascii="Times New Roman" w:hAnsi="Times New Roman" w:cs="Times New Roman"/>
                <w:sz w:val="24"/>
                <w:szCs w:val="24"/>
                <w:highlight w:val="lightGray"/>
              </w:rPr>
            </w:pPr>
            <w:r w:rsidRPr="00503F80">
              <w:rPr>
                <w:rFonts w:ascii="Times New Roman" w:hAnsi="Times New Roman" w:cs="Times New Roman"/>
                <w:sz w:val="24"/>
                <w:szCs w:val="24"/>
              </w:rPr>
              <w:t>Nē</w:t>
            </w:r>
          </w:p>
        </w:tc>
        <w:tc>
          <w:tcPr>
            <w:tcW w:w="2029" w:type="dxa"/>
          </w:tcPr>
          <w:p w14:paraId="1614F3CF" w14:textId="77777777"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3CDA0D50" w14:textId="77777777" w:rsidR="00EE337F" w:rsidRPr="00F8177B" w:rsidRDefault="00EE337F" w:rsidP="00A25AD1">
            <w:pPr>
              <w:rPr>
                <w:rFonts w:ascii="Times New Roman" w:hAnsi="Times New Roman" w:cs="Times New Roman"/>
                <w:color w:val="FF0000"/>
                <w:sz w:val="24"/>
                <w:szCs w:val="24"/>
              </w:rPr>
            </w:pPr>
          </w:p>
        </w:tc>
      </w:tr>
      <w:tr w:rsidR="00EE337F" w:rsidRPr="00D26A62" w14:paraId="07D29643" w14:textId="77777777" w:rsidTr="00A25AD1">
        <w:tc>
          <w:tcPr>
            <w:tcW w:w="2928" w:type="dxa"/>
          </w:tcPr>
          <w:p w14:paraId="77E6D10E" w14:textId="524007B9"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64" w:type="dxa"/>
          </w:tcPr>
          <w:p w14:paraId="6CEEF73A" w14:textId="3CDD8463"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56.</w:t>
            </w:r>
            <w:r w:rsidRPr="00503F80">
              <w:rPr>
                <w:rFonts w:ascii="Times New Roman" w:hAnsi="Times New Roman" w:cs="Times New Roman"/>
                <w:sz w:val="24"/>
                <w:szCs w:val="24"/>
              </w:rPr>
              <w:t> punkts</w:t>
            </w:r>
          </w:p>
        </w:tc>
        <w:tc>
          <w:tcPr>
            <w:tcW w:w="1880" w:type="dxa"/>
          </w:tcPr>
          <w:p w14:paraId="268F50B3" w14:textId="3A143694"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6317BAC4" w14:textId="347E986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2064E5F2" w14:textId="77AA13BD"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59D6283D" w14:textId="77777777" w:rsidR="00EE337F" w:rsidRPr="00F8177B" w:rsidRDefault="00EE337F" w:rsidP="00A25AD1">
            <w:pPr>
              <w:rPr>
                <w:rFonts w:ascii="Times New Roman" w:hAnsi="Times New Roman" w:cs="Times New Roman"/>
                <w:color w:val="FF0000"/>
                <w:sz w:val="24"/>
                <w:szCs w:val="24"/>
              </w:rPr>
            </w:pPr>
          </w:p>
        </w:tc>
      </w:tr>
      <w:tr w:rsidR="00EE337F" w:rsidRPr="00D26A62" w14:paraId="6A27E9EA" w14:textId="77777777" w:rsidTr="00A25AD1">
        <w:tc>
          <w:tcPr>
            <w:tcW w:w="2928" w:type="dxa"/>
          </w:tcPr>
          <w:p w14:paraId="474AD3A0" w14:textId="12DA6F58"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164" w:type="dxa"/>
          </w:tcPr>
          <w:p w14:paraId="1CA5792B" w14:textId="192CAF32"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57.</w:t>
            </w:r>
            <w:r w:rsidRPr="00503F80">
              <w:rPr>
                <w:rFonts w:ascii="Times New Roman" w:hAnsi="Times New Roman" w:cs="Times New Roman"/>
                <w:sz w:val="24"/>
                <w:szCs w:val="24"/>
              </w:rPr>
              <w:t> punkts</w:t>
            </w:r>
          </w:p>
        </w:tc>
        <w:tc>
          <w:tcPr>
            <w:tcW w:w="1880" w:type="dxa"/>
          </w:tcPr>
          <w:p w14:paraId="13262A82" w14:textId="5BD47F15"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3A39866F" w14:textId="021C22B2"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4BE7158F" w14:textId="0C6BC6E2"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7B32E27E" w14:textId="77777777" w:rsidR="00EE337F" w:rsidRPr="00F8177B" w:rsidRDefault="00EE337F" w:rsidP="00A25AD1">
            <w:pPr>
              <w:rPr>
                <w:rFonts w:ascii="Times New Roman" w:hAnsi="Times New Roman" w:cs="Times New Roman"/>
                <w:color w:val="FF0000"/>
                <w:sz w:val="24"/>
                <w:szCs w:val="24"/>
              </w:rPr>
            </w:pPr>
          </w:p>
        </w:tc>
      </w:tr>
      <w:tr w:rsidR="00EE337F" w:rsidRPr="00D26A62" w14:paraId="07EE3FB2" w14:textId="77777777" w:rsidTr="00A25AD1">
        <w:tc>
          <w:tcPr>
            <w:tcW w:w="2928" w:type="dxa"/>
          </w:tcPr>
          <w:p w14:paraId="1865BC8D" w14:textId="2C8C1205"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164" w:type="dxa"/>
          </w:tcPr>
          <w:p w14:paraId="11FF2E57" w14:textId="6249D3D9"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58.</w:t>
            </w:r>
            <w:r w:rsidRPr="00503F80">
              <w:rPr>
                <w:rFonts w:ascii="Times New Roman" w:hAnsi="Times New Roman" w:cs="Times New Roman"/>
                <w:sz w:val="24"/>
                <w:szCs w:val="24"/>
              </w:rPr>
              <w:t> punkts</w:t>
            </w:r>
          </w:p>
        </w:tc>
        <w:tc>
          <w:tcPr>
            <w:tcW w:w="1880" w:type="dxa"/>
          </w:tcPr>
          <w:p w14:paraId="05A16D2A" w14:textId="1EFA8008"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CE5A885" w14:textId="0B0E87CE"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317EBC00" w14:textId="477C9598"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65FF22FD" w14:textId="77777777" w:rsidR="00EE337F" w:rsidRPr="00F8177B" w:rsidRDefault="00EE337F" w:rsidP="00A25AD1">
            <w:pPr>
              <w:rPr>
                <w:rFonts w:ascii="Times New Roman" w:hAnsi="Times New Roman" w:cs="Times New Roman"/>
                <w:color w:val="FF0000"/>
                <w:sz w:val="24"/>
                <w:szCs w:val="24"/>
              </w:rPr>
            </w:pPr>
          </w:p>
        </w:tc>
      </w:tr>
      <w:tr w:rsidR="00EE337F" w:rsidRPr="00D26A62" w14:paraId="11814A30" w14:textId="77777777" w:rsidTr="00A25AD1">
        <w:tc>
          <w:tcPr>
            <w:tcW w:w="2928" w:type="dxa"/>
          </w:tcPr>
          <w:p w14:paraId="2ED0083C" w14:textId="4384078D"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4. punkts</w:t>
            </w:r>
          </w:p>
        </w:tc>
        <w:tc>
          <w:tcPr>
            <w:tcW w:w="2164" w:type="dxa"/>
          </w:tcPr>
          <w:p w14:paraId="7DD8C135" w14:textId="45511EFF"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59.</w:t>
            </w:r>
            <w:r w:rsidRPr="00503F80">
              <w:rPr>
                <w:rFonts w:ascii="Times New Roman" w:hAnsi="Times New Roman" w:cs="Times New Roman"/>
                <w:sz w:val="24"/>
                <w:szCs w:val="24"/>
              </w:rPr>
              <w:t> punkts</w:t>
            </w:r>
          </w:p>
        </w:tc>
        <w:tc>
          <w:tcPr>
            <w:tcW w:w="1880" w:type="dxa"/>
          </w:tcPr>
          <w:p w14:paraId="7F78FF2B" w14:textId="4BC682F4"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5FE20AA2" w14:textId="199AB5B8"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DBEC5FC" w14:textId="5F3A0D9D"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tcPr>
          <w:p w14:paraId="1ABE4C49" w14:textId="77777777" w:rsidR="00EE337F" w:rsidRPr="00F8177B" w:rsidRDefault="00EE337F" w:rsidP="00A25AD1">
            <w:pPr>
              <w:rPr>
                <w:rFonts w:ascii="Times New Roman" w:hAnsi="Times New Roman" w:cs="Times New Roman"/>
                <w:color w:val="FF0000"/>
                <w:sz w:val="24"/>
                <w:szCs w:val="24"/>
              </w:rPr>
            </w:pPr>
          </w:p>
        </w:tc>
      </w:tr>
      <w:tr w:rsidR="00EE337F" w:rsidRPr="00D26A62" w14:paraId="5713FAB8" w14:textId="77777777" w:rsidTr="00A25AD1">
        <w:tc>
          <w:tcPr>
            <w:tcW w:w="2928" w:type="dxa"/>
          </w:tcPr>
          <w:p w14:paraId="27C04729" w14:textId="1776D2A9" w:rsidR="00EE337F" w:rsidRPr="00503F80" w:rsidRDefault="00EE337F" w:rsidP="00A25AD1">
            <w:pPr>
              <w:rPr>
                <w:rFonts w:ascii="Times New Roman" w:hAnsi="Times New Roman" w:cs="Times New Roman"/>
                <w:sz w:val="24"/>
                <w:szCs w:val="24"/>
              </w:rPr>
            </w:pPr>
            <w:r w:rsidRPr="004049F8">
              <w:rPr>
                <w:rFonts w:ascii="Times New Roman" w:hAnsi="Times New Roman" w:cs="Times New Roman"/>
                <w:sz w:val="24"/>
                <w:szCs w:val="24"/>
              </w:rPr>
              <w:t>Direktīva</w:t>
            </w:r>
            <w:r>
              <w:rPr>
                <w:rFonts w:ascii="Times New Roman" w:hAnsi="Times New Roman" w:cs="Times New Roman"/>
                <w:sz w:val="24"/>
                <w:szCs w:val="24"/>
              </w:rPr>
              <w:t>s</w:t>
            </w:r>
            <w:r w:rsidRPr="004049F8">
              <w:rPr>
                <w:rFonts w:ascii="Times New Roman" w:hAnsi="Times New Roman" w:cs="Times New Roman"/>
                <w:sz w:val="24"/>
                <w:szCs w:val="24"/>
              </w:rPr>
              <w:t xml:space="preserve"> 2011/89/ES</w:t>
            </w:r>
            <w:r>
              <w:rPr>
                <w:rFonts w:ascii="Times New Roman" w:hAnsi="Times New Roman" w:cs="Times New Roman"/>
                <w:sz w:val="24"/>
                <w:szCs w:val="24"/>
              </w:rPr>
              <w:t xml:space="preserve"> 4. panta 11. punkts</w:t>
            </w:r>
            <w:r w:rsidRPr="004049F8">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235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164" w:type="dxa"/>
          </w:tcPr>
          <w:p w14:paraId="1676ABB1" w14:textId="541EFD71" w:rsidR="00EE337F" w:rsidRDefault="00EE337F" w:rsidP="00A25AD1">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88.</w:t>
            </w:r>
            <w:r w:rsidRPr="00503F80">
              <w:rPr>
                <w:rFonts w:ascii="Times New Roman" w:hAnsi="Times New Roman" w:cs="Times New Roman"/>
                <w:sz w:val="24"/>
                <w:szCs w:val="24"/>
              </w:rPr>
              <w:t> punkts</w:t>
            </w:r>
          </w:p>
        </w:tc>
        <w:tc>
          <w:tcPr>
            <w:tcW w:w="1880" w:type="dxa"/>
          </w:tcPr>
          <w:p w14:paraId="61A556D4" w14:textId="21DFD28B"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067" w:type="dxa"/>
          </w:tcPr>
          <w:p w14:paraId="1F00DF54" w14:textId="229CF497" w:rsidR="00EE337F" w:rsidRPr="00503F80" w:rsidRDefault="00EE337F" w:rsidP="00A25AD1">
            <w:pPr>
              <w:rPr>
                <w:rFonts w:ascii="Times New Roman" w:hAnsi="Times New Roman" w:cs="Times New Roman"/>
                <w:sz w:val="24"/>
                <w:szCs w:val="24"/>
              </w:rPr>
            </w:pPr>
            <w:r w:rsidRPr="00503F80">
              <w:rPr>
                <w:rFonts w:ascii="Times New Roman" w:hAnsi="Times New Roman" w:cs="Times New Roman"/>
                <w:sz w:val="24"/>
                <w:szCs w:val="24"/>
              </w:rPr>
              <w:t>Nē</w:t>
            </w:r>
          </w:p>
        </w:tc>
        <w:tc>
          <w:tcPr>
            <w:tcW w:w="2029" w:type="dxa"/>
          </w:tcPr>
          <w:p w14:paraId="7F846AF6" w14:textId="7A601361" w:rsidR="00EE337F" w:rsidRPr="0054101A" w:rsidRDefault="00EE337F" w:rsidP="00A25AD1">
            <w:pPr>
              <w:rPr>
                <w:rFonts w:ascii="Times New Roman" w:hAnsi="Times New Roman" w:cs="Times New Roman"/>
                <w:sz w:val="24"/>
                <w:szCs w:val="24"/>
              </w:rPr>
            </w:pPr>
            <w:r w:rsidRPr="0054101A">
              <w:rPr>
                <w:rFonts w:ascii="Times New Roman" w:hAnsi="Times New Roman" w:cs="Times New Roman"/>
                <w:sz w:val="24"/>
                <w:szCs w:val="24"/>
              </w:rPr>
              <w:t>Jā</w:t>
            </w:r>
          </w:p>
        </w:tc>
        <w:tc>
          <w:tcPr>
            <w:tcW w:w="3703" w:type="dxa"/>
            <w:vMerge w:val="restart"/>
          </w:tcPr>
          <w:p w14:paraId="16084A38" w14:textId="53FBD3D3" w:rsidR="00EE337F" w:rsidRPr="00F8177B" w:rsidRDefault="00EE337F" w:rsidP="00A25AD1">
            <w:pPr>
              <w:rPr>
                <w:rFonts w:ascii="Times New Roman" w:hAnsi="Times New Roman" w:cs="Times New Roman"/>
                <w:color w:val="FF0000"/>
                <w:sz w:val="24"/>
                <w:szCs w:val="24"/>
              </w:rPr>
            </w:pPr>
            <w:r w:rsidRPr="00FF5D11">
              <w:rPr>
                <w:rFonts w:ascii="Times New Roman" w:hAnsi="Times New Roman" w:cs="Times New Roman"/>
                <w:sz w:val="24"/>
                <w:szCs w:val="24"/>
              </w:rPr>
              <w:t>Direktīvas 2011/89/ES</w:t>
            </w:r>
            <w:r w:rsidRPr="0092468A">
              <w:rPr>
                <w:rFonts w:ascii="Times New Roman" w:hAnsi="Times New Roman" w:cs="Times New Roman"/>
                <w:sz w:val="24"/>
                <w:szCs w:val="24"/>
              </w:rPr>
              <w:t xml:space="preserve"> </w:t>
            </w:r>
            <w:r w:rsidRPr="00FF5D11">
              <w:rPr>
                <w:rFonts w:ascii="Times New Roman" w:hAnsi="Times New Roman" w:cs="Times New Roman"/>
                <w:sz w:val="24"/>
                <w:szCs w:val="24"/>
              </w:rPr>
              <w:t>6. panta 1. punkts paredz, ka dalībvalstis</w:t>
            </w:r>
            <w:r w:rsidRPr="00FF5D11">
              <w:rPr>
                <w:rStyle w:val="cf01"/>
                <w:rFonts w:ascii="Times New Roman" w:hAnsi="Times New Roman" w:cs="Times New Roman"/>
                <w:color w:val="000000" w:themeColor="text1"/>
                <w:sz w:val="24"/>
                <w:szCs w:val="24"/>
              </w:rPr>
              <w:t xml:space="preserve"> paziņo Eiropas Komisijai par šīs direktīvas prasību pārņemšanu. Minēto paziņošanas pienākumu izpildīs Finanšu ministrija, sniedzot paziņojumu Eiropas Komisijai pēc Noteikumu projekta apstiprināšanas Latvijas Bankas padomē.</w:t>
            </w:r>
          </w:p>
        </w:tc>
      </w:tr>
      <w:tr w:rsidR="00E40460" w:rsidRPr="00E40460" w14:paraId="481E08ED" w14:textId="77777777" w:rsidTr="00A25AD1">
        <w:tc>
          <w:tcPr>
            <w:tcW w:w="2928" w:type="dxa"/>
          </w:tcPr>
          <w:p w14:paraId="27A7F8EE" w14:textId="1BEDFFA9" w:rsidR="00EE337F" w:rsidRPr="00E40460" w:rsidRDefault="00EE337F" w:rsidP="00A25AD1">
            <w:pPr>
              <w:rPr>
                <w:rFonts w:ascii="Times New Roman" w:hAnsi="Times New Roman" w:cs="Times New Roman"/>
                <w:sz w:val="24"/>
                <w:szCs w:val="24"/>
              </w:rPr>
            </w:pPr>
            <w:r w:rsidRPr="00E40460">
              <w:rPr>
                <w:rFonts w:ascii="Times New Roman" w:hAnsi="Times New Roman" w:cs="Times New Roman"/>
                <w:sz w:val="24"/>
                <w:szCs w:val="24"/>
              </w:rPr>
              <w:t>Direktīvas 2011/89/ES 4. panta 11. punkts (Direktīvas </w:t>
            </w:r>
            <w:r w:rsidRPr="00E40460">
              <w:rPr>
                <w:rFonts w:ascii="Times New Roman" w:hAnsi="Times New Roman" w:cs="Times New Roman"/>
                <w:bCs/>
                <w:sz w:val="24"/>
                <w:szCs w:val="24"/>
              </w:rPr>
              <w:t>2009/138/EK</w:t>
            </w:r>
            <w:r w:rsidRPr="00E40460">
              <w:rPr>
                <w:rFonts w:ascii="Times New Roman" w:hAnsi="Times New Roman" w:cs="Times New Roman"/>
                <w:sz w:val="24"/>
                <w:szCs w:val="24"/>
              </w:rPr>
              <w:t xml:space="preserve"> 235. panta 2. punkts)</w:t>
            </w:r>
          </w:p>
        </w:tc>
        <w:tc>
          <w:tcPr>
            <w:tcW w:w="2164" w:type="dxa"/>
          </w:tcPr>
          <w:p w14:paraId="720598B3" w14:textId="14B69C7F" w:rsidR="00EE337F" w:rsidRPr="00E40460" w:rsidRDefault="00EE337F" w:rsidP="00A25AD1">
            <w:pPr>
              <w:rPr>
                <w:rFonts w:ascii="Times New Roman" w:hAnsi="Times New Roman" w:cs="Times New Roman"/>
                <w:sz w:val="24"/>
                <w:szCs w:val="24"/>
              </w:rPr>
            </w:pPr>
            <w:r w:rsidRPr="00E40460">
              <w:rPr>
                <w:rFonts w:ascii="Times New Roman" w:hAnsi="Times New Roman" w:cs="Times New Roman"/>
                <w:sz w:val="24"/>
                <w:szCs w:val="24"/>
              </w:rPr>
              <w:t>Noteikumu projekta 89. punkts</w:t>
            </w:r>
          </w:p>
        </w:tc>
        <w:tc>
          <w:tcPr>
            <w:tcW w:w="1880" w:type="dxa"/>
          </w:tcPr>
          <w:p w14:paraId="5BC00DDA" w14:textId="70B1B55F" w:rsidR="00EE337F" w:rsidRPr="00E40460" w:rsidRDefault="00EE337F" w:rsidP="00A25AD1">
            <w:pPr>
              <w:rPr>
                <w:rFonts w:ascii="Times New Roman" w:hAnsi="Times New Roman" w:cs="Times New Roman"/>
                <w:sz w:val="24"/>
                <w:szCs w:val="24"/>
              </w:rPr>
            </w:pPr>
            <w:r w:rsidRPr="00E40460">
              <w:rPr>
                <w:rFonts w:ascii="Times New Roman" w:hAnsi="Times New Roman" w:cs="Times New Roman"/>
                <w:sz w:val="24"/>
                <w:szCs w:val="24"/>
              </w:rPr>
              <w:t>Izpilda pilnībā</w:t>
            </w:r>
          </w:p>
        </w:tc>
        <w:tc>
          <w:tcPr>
            <w:tcW w:w="2067" w:type="dxa"/>
          </w:tcPr>
          <w:p w14:paraId="71E043BA" w14:textId="6C88025B" w:rsidR="00EE337F" w:rsidRPr="00E40460" w:rsidRDefault="00EE337F" w:rsidP="00A25AD1">
            <w:pPr>
              <w:rPr>
                <w:rFonts w:ascii="Times New Roman" w:hAnsi="Times New Roman" w:cs="Times New Roman"/>
                <w:sz w:val="24"/>
                <w:szCs w:val="24"/>
              </w:rPr>
            </w:pPr>
            <w:r w:rsidRPr="00E40460">
              <w:rPr>
                <w:rFonts w:ascii="Times New Roman" w:hAnsi="Times New Roman" w:cs="Times New Roman"/>
                <w:sz w:val="24"/>
                <w:szCs w:val="24"/>
              </w:rPr>
              <w:t>Nē</w:t>
            </w:r>
          </w:p>
        </w:tc>
        <w:tc>
          <w:tcPr>
            <w:tcW w:w="2029" w:type="dxa"/>
          </w:tcPr>
          <w:p w14:paraId="4393271D" w14:textId="38CF5F36" w:rsidR="00EE337F" w:rsidRPr="00E40460" w:rsidRDefault="00EE337F" w:rsidP="00A25AD1">
            <w:pPr>
              <w:rPr>
                <w:rFonts w:ascii="Times New Roman" w:hAnsi="Times New Roman" w:cs="Times New Roman"/>
                <w:sz w:val="24"/>
                <w:szCs w:val="24"/>
              </w:rPr>
            </w:pPr>
            <w:r w:rsidRPr="00E40460">
              <w:rPr>
                <w:rFonts w:ascii="Times New Roman" w:hAnsi="Times New Roman" w:cs="Times New Roman"/>
                <w:sz w:val="24"/>
                <w:szCs w:val="24"/>
              </w:rPr>
              <w:t>Jā</w:t>
            </w:r>
          </w:p>
        </w:tc>
        <w:tc>
          <w:tcPr>
            <w:tcW w:w="3703" w:type="dxa"/>
            <w:vMerge/>
          </w:tcPr>
          <w:p w14:paraId="7F5056C7" w14:textId="77777777" w:rsidR="00EE337F" w:rsidRPr="00E40460" w:rsidRDefault="00EE337F" w:rsidP="00A25AD1">
            <w:pPr>
              <w:rPr>
                <w:rFonts w:ascii="Times New Roman" w:hAnsi="Times New Roman" w:cs="Times New Roman"/>
                <w:sz w:val="24"/>
                <w:szCs w:val="24"/>
              </w:rPr>
            </w:pPr>
          </w:p>
        </w:tc>
      </w:tr>
      <w:tr w:rsidR="00E40460" w:rsidRPr="00E40460" w14:paraId="61132616" w14:textId="77777777" w:rsidTr="00A25AD1">
        <w:tc>
          <w:tcPr>
            <w:tcW w:w="2928" w:type="dxa"/>
          </w:tcPr>
          <w:p w14:paraId="039CEDEB" w14:textId="3AD57B76"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Direktīvas 2014/51/ES  2. panta 75. punkts (Direktīvas </w:t>
            </w:r>
            <w:r w:rsidRPr="00E40460">
              <w:rPr>
                <w:rFonts w:ascii="Times New Roman" w:hAnsi="Times New Roman" w:cs="Times New Roman"/>
                <w:bCs/>
                <w:sz w:val="24"/>
                <w:szCs w:val="24"/>
              </w:rPr>
              <w:t>2009/138/EK</w:t>
            </w:r>
            <w:r w:rsidRPr="00E40460">
              <w:rPr>
                <w:rFonts w:ascii="Times New Roman" w:hAnsi="Times New Roman" w:cs="Times New Roman"/>
                <w:sz w:val="24"/>
                <w:szCs w:val="24"/>
              </w:rPr>
              <w:t xml:space="preserve"> 260. panta 1. punkts)</w:t>
            </w:r>
          </w:p>
        </w:tc>
        <w:tc>
          <w:tcPr>
            <w:tcW w:w="2164" w:type="dxa"/>
          </w:tcPr>
          <w:p w14:paraId="36601202" w14:textId="3C9E7ED7"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Noteikumu projekta 91.2.2. apakšpunkts</w:t>
            </w:r>
          </w:p>
        </w:tc>
        <w:tc>
          <w:tcPr>
            <w:tcW w:w="1880" w:type="dxa"/>
          </w:tcPr>
          <w:p w14:paraId="1E9FB510" w14:textId="48944BBB"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Izpilda pilnībā</w:t>
            </w:r>
          </w:p>
        </w:tc>
        <w:tc>
          <w:tcPr>
            <w:tcW w:w="2067" w:type="dxa"/>
          </w:tcPr>
          <w:p w14:paraId="6FF1F496" w14:textId="787AF19F"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Nē</w:t>
            </w:r>
          </w:p>
        </w:tc>
        <w:tc>
          <w:tcPr>
            <w:tcW w:w="2029" w:type="dxa"/>
          </w:tcPr>
          <w:p w14:paraId="30410D2A" w14:textId="1AAEF19A"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Jā</w:t>
            </w:r>
          </w:p>
        </w:tc>
        <w:tc>
          <w:tcPr>
            <w:tcW w:w="3703" w:type="dxa"/>
            <w:vMerge w:val="restart"/>
          </w:tcPr>
          <w:p w14:paraId="4AA2C2AC" w14:textId="5AA1BE54"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Direktīvas 2014/51/ES 7. panta 1. punkts paredz, ka dalībvalstis paziņo Eiropas Komisijai par šīs direktīvas prasību pārņemšanu. Minēto paziņošanas pienākumu izpildīs Finanšu ministrija, sniedzot paziņojumu Eiropas Komisijai pēc Noteikumu projekta apstiprināšanas Latvijas Bankas padomē.</w:t>
            </w:r>
          </w:p>
        </w:tc>
      </w:tr>
      <w:tr w:rsidR="00E40460" w:rsidRPr="00E40460" w14:paraId="7C43CE06" w14:textId="77777777" w:rsidTr="00A25AD1">
        <w:tc>
          <w:tcPr>
            <w:tcW w:w="2928" w:type="dxa"/>
          </w:tcPr>
          <w:p w14:paraId="32BE0025" w14:textId="4D900713"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Direktīvas 2014/51/ES  2. panta 75. punkts (Direktīvas </w:t>
            </w:r>
            <w:r w:rsidRPr="00E40460">
              <w:rPr>
                <w:rFonts w:ascii="Times New Roman" w:hAnsi="Times New Roman" w:cs="Times New Roman"/>
                <w:bCs/>
                <w:sz w:val="24"/>
                <w:szCs w:val="24"/>
              </w:rPr>
              <w:t>2009/138/EK</w:t>
            </w:r>
            <w:r w:rsidRPr="00E40460">
              <w:rPr>
                <w:rFonts w:ascii="Times New Roman" w:hAnsi="Times New Roman" w:cs="Times New Roman"/>
                <w:sz w:val="24"/>
                <w:szCs w:val="24"/>
              </w:rPr>
              <w:t xml:space="preserve"> 260. panta 7. punkts)</w:t>
            </w:r>
          </w:p>
        </w:tc>
        <w:tc>
          <w:tcPr>
            <w:tcW w:w="2164" w:type="dxa"/>
          </w:tcPr>
          <w:p w14:paraId="3E1848F5" w14:textId="2774DB9E"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Noteikumu projekta 91.2.3. apakšpunkts</w:t>
            </w:r>
          </w:p>
        </w:tc>
        <w:tc>
          <w:tcPr>
            <w:tcW w:w="1880" w:type="dxa"/>
          </w:tcPr>
          <w:p w14:paraId="44B3BDB7" w14:textId="539EA58F"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Izpilda pilnībā</w:t>
            </w:r>
          </w:p>
        </w:tc>
        <w:tc>
          <w:tcPr>
            <w:tcW w:w="2067" w:type="dxa"/>
          </w:tcPr>
          <w:p w14:paraId="3E81DFBC" w14:textId="08424F7F"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Nē</w:t>
            </w:r>
          </w:p>
        </w:tc>
        <w:tc>
          <w:tcPr>
            <w:tcW w:w="2029" w:type="dxa"/>
          </w:tcPr>
          <w:p w14:paraId="1771095D" w14:textId="72F067DE"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Jā</w:t>
            </w:r>
          </w:p>
        </w:tc>
        <w:tc>
          <w:tcPr>
            <w:tcW w:w="3703" w:type="dxa"/>
            <w:vMerge/>
          </w:tcPr>
          <w:p w14:paraId="6680F4FF" w14:textId="77777777" w:rsidR="000933E5" w:rsidRPr="00E40460" w:rsidRDefault="000933E5" w:rsidP="00A25AD1">
            <w:pPr>
              <w:rPr>
                <w:rFonts w:ascii="Times New Roman" w:hAnsi="Times New Roman" w:cs="Times New Roman"/>
                <w:sz w:val="24"/>
                <w:szCs w:val="24"/>
              </w:rPr>
            </w:pPr>
          </w:p>
        </w:tc>
      </w:tr>
      <w:tr w:rsidR="00E40460" w:rsidRPr="00E40460" w14:paraId="0BD3473A" w14:textId="77777777" w:rsidTr="00A25AD1">
        <w:tc>
          <w:tcPr>
            <w:tcW w:w="2928" w:type="dxa"/>
          </w:tcPr>
          <w:p w14:paraId="1DB79B72" w14:textId="5D2B3946" w:rsidR="000933E5" w:rsidRPr="00E40460" w:rsidRDefault="00CE498B" w:rsidP="00A25AD1">
            <w:pPr>
              <w:rPr>
                <w:rFonts w:ascii="Times New Roman" w:hAnsi="Times New Roman" w:cs="Times New Roman"/>
                <w:sz w:val="24"/>
                <w:szCs w:val="24"/>
              </w:rPr>
            </w:pPr>
            <w:r w:rsidRPr="00E40460">
              <w:rPr>
                <w:rFonts w:ascii="Times New Roman" w:hAnsi="Times New Roman" w:cs="Times New Roman"/>
                <w:sz w:val="24"/>
                <w:szCs w:val="24"/>
              </w:rPr>
              <w:t>Direktīvas 2014/51/ES  2. panta 76. punkts  (</w:t>
            </w:r>
            <w:r w:rsidR="000933E5" w:rsidRPr="00E40460">
              <w:rPr>
                <w:rFonts w:ascii="Times New Roman" w:hAnsi="Times New Roman" w:cs="Times New Roman"/>
                <w:sz w:val="24"/>
                <w:szCs w:val="24"/>
              </w:rPr>
              <w:t>Direktīvas </w:t>
            </w:r>
            <w:r w:rsidR="000933E5" w:rsidRPr="00E40460">
              <w:rPr>
                <w:rFonts w:ascii="Times New Roman" w:hAnsi="Times New Roman" w:cs="Times New Roman"/>
                <w:bCs/>
                <w:sz w:val="24"/>
                <w:szCs w:val="24"/>
              </w:rPr>
              <w:t>2009/138/EK</w:t>
            </w:r>
            <w:r w:rsidR="000933E5" w:rsidRPr="00E40460">
              <w:rPr>
                <w:rFonts w:ascii="Times New Roman" w:hAnsi="Times New Roman" w:cs="Times New Roman"/>
                <w:sz w:val="24"/>
                <w:szCs w:val="24"/>
              </w:rPr>
              <w:t xml:space="preserve"> 262. panta 1. punkta </w:t>
            </w:r>
            <w:r w:rsidRPr="00E40460">
              <w:rPr>
                <w:rFonts w:ascii="Times New Roman" w:hAnsi="Times New Roman" w:cs="Times New Roman"/>
                <w:sz w:val="24"/>
                <w:szCs w:val="24"/>
              </w:rPr>
              <w:t xml:space="preserve">pirmās daļas </w:t>
            </w:r>
            <w:r w:rsidR="000933E5" w:rsidRPr="00E40460">
              <w:rPr>
                <w:rFonts w:ascii="Times New Roman" w:hAnsi="Times New Roman" w:cs="Times New Roman"/>
                <w:sz w:val="24"/>
                <w:szCs w:val="24"/>
              </w:rPr>
              <w:t>a) apakšpunkts</w:t>
            </w:r>
            <w:r w:rsidRPr="00E40460">
              <w:rPr>
                <w:rFonts w:ascii="Times New Roman" w:hAnsi="Times New Roman" w:cs="Times New Roman"/>
                <w:sz w:val="24"/>
                <w:szCs w:val="24"/>
              </w:rPr>
              <w:t>)</w:t>
            </w:r>
          </w:p>
        </w:tc>
        <w:tc>
          <w:tcPr>
            <w:tcW w:w="2164" w:type="dxa"/>
          </w:tcPr>
          <w:p w14:paraId="27D336D6" w14:textId="491A0A40"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Noteikumu projekta 91.2.1. apakšpunkts</w:t>
            </w:r>
          </w:p>
        </w:tc>
        <w:tc>
          <w:tcPr>
            <w:tcW w:w="1880" w:type="dxa"/>
          </w:tcPr>
          <w:p w14:paraId="6CEB8216" w14:textId="34C2AC2C"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Izpilda pilnībā</w:t>
            </w:r>
          </w:p>
        </w:tc>
        <w:tc>
          <w:tcPr>
            <w:tcW w:w="2067" w:type="dxa"/>
          </w:tcPr>
          <w:p w14:paraId="21EA77BC" w14:textId="2B53EF40"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Nē</w:t>
            </w:r>
          </w:p>
        </w:tc>
        <w:tc>
          <w:tcPr>
            <w:tcW w:w="2029" w:type="dxa"/>
          </w:tcPr>
          <w:p w14:paraId="3B0036F2" w14:textId="4E0E26DE"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Jā</w:t>
            </w:r>
          </w:p>
        </w:tc>
        <w:tc>
          <w:tcPr>
            <w:tcW w:w="3703" w:type="dxa"/>
            <w:vMerge/>
          </w:tcPr>
          <w:p w14:paraId="1248BEFA" w14:textId="77777777" w:rsidR="000933E5" w:rsidRPr="00E40460" w:rsidRDefault="000933E5" w:rsidP="00A25AD1">
            <w:pPr>
              <w:rPr>
                <w:rFonts w:ascii="Times New Roman" w:hAnsi="Times New Roman" w:cs="Times New Roman"/>
                <w:sz w:val="24"/>
                <w:szCs w:val="24"/>
              </w:rPr>
            </w:pPr>
          </w:p>
        </w:tc>
      </w:tr>
      <w:tr w:rsidR="000933E5" w:rsidRPr="00E40460" w14:paraId="4EBB3ECB" w14:textId="77777777" w:rsidTr="00A25AD1">
        <w:tc>
          <w:tcPr>
            <w:tcW w:w="2928" w:type="dxa"/>
          </w:tcPr>
          <w:p w14:paraId="3CAAE6D8" w14:textId="72E72CFF" w:rsidR="000933E5" w:rsidRPr="00E40460" w:rsidRDefault="00CE498B" w:rsidP="00A25AD1">
            <w:pPr>
              <w:rPr>
                <w:rFonts w:ascii="Times New Roman" w:hAnsi="Times New Roman" w:cs="Times New Roman"/>
                <w:sz w:val="24"/>
                <w:szCs w:val="24"/>
              </w:rPr>
            </w:pPr>
            <w:r w:rsidRPr="00E40460">
              <w:rPr>
                <w:rFonts w:ascii="Times New Roman" w:hAnsi="Times New Roman" w:cs="Times New Roman"/>
                <w:sz w:val="24"/>
                <w:szCs w:val="24"/>
              </w:rPr>
              <w:lastRenderedPageBreak/>
              <w:t>Direktīvas 2014/51/ES  2. panta 80. punkts  (</w:t>
            </w:r>
            <w:r w:rsidR="000933E5" w:rsidRPr="00E40460">
              <w:rPr>
                <w:rFonts w:ascii="Times New Roman" w:hAnsi="Times New Roman" w:cs="Times New Roman"/>
                <w:sz w:val="24"/>
                <w:szCs w:val="24"/>
              </w:rPr>
              <w:t>Direktīvas </w:t>
            </w:r>
            <w:r w:rsidR="000933E5" w:rsidRPr="00E40460">
              <w:rPr>
                <w:rFonts w:ascii="Times New Roman" w:hAnsi="Times New Roman" w:cs="Times New Roman"/>
                <w:bCs/>
                <w:sz w:val="24"/>
                <w:szCs w:val="24"/>
              </w:rPr>
              <w:t>2009/138/EK</w:t>
            </w:r>
            <w:r w:rsidR="000933E5" w:rsidRPr="00E40460">
              <w:rPr>
                <w:rFonts w:ascii="Times New Roman" w:hAnsi="Times New Roman" w:cs="Times New Roman"/>
                <w:sz w:val="24"/>
                <w:szCs w:val="24"/>
              </w:rPr>
              <w:t xml:space="preserve"> 308.b panta 17. punkts</w:t>
            </w:r>
            <w:r w:rsidRPr="00E40460">
              <w:rPr>
                <w:rFonts w:ascii="Times New Roman" w:hAnsi="Times New Roman" w:cs="Times New Roman"/>
                <w:sz w:val="24"/>
                <w:szCs w:val="24"/>
              </w:rPr>
              <w:t>)</w:t>
            </w:r>
          </w:p>
        </w:tc>
        <w:tc>
          <w:tcPr>
            <w:tcW w:w="2164" w:type="dxa"/>
          </w:tcPr>
          <w:p w14:paraId="0366BBF9" w14:textId="01F9D1D4"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Noteikumu projekta 92. punkts</w:t>
            </w:r>
          </w:p>
        </w:tc>
        <w:tc>
          <w:tcPr>
            <w:tcW w:w="1880" w:type="dxa"/>
          </w:tcPr>
          <w:p w14:paraId="1745E839" w14:textId="1F762598"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Izpilda pilnībā</w:t>
            </w:r>
          </w:p>
        </w:tc>
        <w:tc>
          <w:tcPr>
            <w:tcW w:w="2067" w:type="dxa"/>
          </w:tcPr>
          <w:p w14:paraId="6FEA7EFD" w14:textId="128D022D"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Nē</w:t>
            </w:r>
          </w:p>
        </w:tc>
        <w:tc>
          <w:tcPr>
            <w:tcW w:w="2029" w:type="dxa"/>
          </w:tcPr>
          <w:p w14:paraId="1216972A" w14:textId="4699368A" w:rsidR="000933E5" w:rsidRPr="00E40460" w:rsidRDefault="000933E5" w:rsidP="00A25AD1">
            <w:pPr>
              <w:rPr>
                <w:rFonts w:ascii="Times New Roman" w:hAnsi="Times New Roman" w:cs="Times New Roman"/>
                <w:sz w:val="24"/>
                <w:szCs w:val="24"/>
              </w:rPr>
            </w:pPr>
            <w:r w:rsidRPr="00E40460">
              <w:rPr>
                <w:rFonts w:ascii="Times New Roman" w:hAnsi="Times New Roman" w:cs="Times New Roman"/>
                <w:sz w:val="24"/>
                <w:szCs w:val="24"/>
              </w:rPr>
              <w:t>Jā</w:t>
            </w:r>
          </w:p>
        </w:tc>
        <w:tc>
          <w:tcPr>
            <w:tcW w:w="3703" w:type="dxa"/>
            <w:vMerge/>
          </w:tcPr>
          <w:p w14:paraId="07B1E56D" w14:textId="77777777" w:rsidR="000933E5" w:rsidRPr="00E40460" w:rsidRDefault="000933E5" w:rsidP="00A25AD1">
            <w:pPr>
              <w:rPr>
                <w:rFonts w:ascii="Times New Roman" w:hAnsi="Times New Roman" w:cs="Times New Roman"/>
                <w:sz w:val="24"/>
                <w:szCs w:val="24"/>
              </w:rPr>
            </w:pPr>
          </w:p>
        </w:tc>
      </w:tr>
    </w:tbl>
    <w:p w14:paraId="24E37A23" w14:textId="45F6FF1C" w:rsidR="00A246F3" w:rsidRPr="00E40460" w:rsidRDefault="00A246F3" w:rsidP="000E1BB4">
      <w:pPr>
        <w:spacing w:line="240" w:lineRule="auto"/>
        <w:rPr>
          <w:rFonts w:ascii="Times New Roman" w:hAnsi="Times New Roman" w:cs="Times New Roman"/>
          <w:b/>
          <w:sz w:val="24"/>
          <w:szCs w:val="24"/>
        </w:rPr>
      </w:pPr>
    </w:p>
    <w:sectPr w:rsidR="00A246F3" w:rsidRPr="00E40460" w:rsidSect="0077426C">
      <w:pgSz w:w="16838" w:h="11906" w:orient="landscape"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F696A" w14:textId="77777777" w:rsidR="00BF1FBA" w:rsidRDefault="00BF1FBA" w:rsidP="006C3828">
      <w:pPr>
        <w:spacing w:after="0" w:line="240" w:lineRule="auto"/>
      </w:pPr>
      <w:r>
        <w:separator/>
      </w:r>
    </w:p>
  </w:endnote>
  <w:endnote w:type="continuationSeparator" w:id="0">
    <w:p w14:paraId="34D65E48" w14:textId="77777777" w:rsidR="00BF1FBA" w:rsidRDefault="00BF1FBA" w:rsidP="006C3828">
      <w:pPr>
        <w:spacing w:after="0" w:line="240" w:lineRule="auto"/>
      </w:pPr>
      <w:r>
        <w:continuationSeparator/>
      </w:r>
    </w:p>
  </w:endnote>
  <w:endnote w:type="continuationNotice" w:id="1">
    <w:p w14:paraId="534174E2" w14:textId="77777777" w:rsidR="00BF1FBA" w:rsidRDefault="00BF1F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44C0D" w14:textId="77777777" w:rsidR="00BF1FBA" w:rsidRDefault="00BF1FBA" w:rsidP="006C3828">
      <w:pPr>
        <w:spacing w:after="0" w:line="240" w:lineRule="auto"/>
      </w:pPr>
      <w:r>
        <w:separator/>
      </w:r>
    </w:p>
  </w:footnote>
  <w:footnote w:type="continuationSeparator" w:id="0">
    <w:p w14:paraId="14C51E86" w14:textId="77777777" w:rsidR="00BF1FBA" w:rsidRDefault="00BF1FBA" w:rsidP="006C3828">
      <w:pPr>
        <w:spacing w:after="0" w:line="240" w:lineRule="auto"/>
      </w:pPr>
      <w:r>
        <w:continuationSeparator/>
      </w:r>
    </w:p>
  </w:footnote>
  <w:footnote w:type="continuationNotice" w:id="1">
    <w:p w14:paraId="0ED4D7D6" w14:textId="77777777" w:rsidR="00BF1FBA" w:rsidRDefault="00BF1F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DDF0E42"/>
    <w:multiLevelType w:val="hybridMultilevel"/>
    <w:tmpl w:val="B9FC9762"/>
    <w:lvl w:ilvl="0" w:tplc="7E4E1D48">
      <w:start w:val="1"/>
      <w:numFmt w:val="decimal"/>
      <w:lvlText w:val="%1)"/>
      <w:lvlJc w:val="left"/>
      <w:pPr>
        <w:ind w:left="720" w:hanging="360"/>
      </w:pPr>
      <w:rPr>
        <w:rFonts w:eastAsia="Times New Roman"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2"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5E21F5"/>
    <w:multiLevelType w:val="multilevel"/>
    <w:tmpl w:val="817C04D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6"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84B5DA4"/>
    <w:multiLevelType w:val="hybridMultilevel"/>
    <w:tmpl w:val="A88C7D30"/>
    <w:lvl w:ilvl="0" w:tplc="631809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6"/>
  </w:num>
  <w:num w:numId="4" w16cid:durableId="995378933">
    <w:abstractNumId w:val="15"/>
  </w:num>
  <w:num w:numId="5" w16cid:durableId="610938957">
    <w:abstractNumId w:val="2"/>
  </w:num>
  <w:num w:numId="6" w16cid:durableId="1992098003">
    <w:abstractNumId w:val="4"/>
  </w:num>
  <w:num w:numId="7" w16cid:durableId="1446123305">
    <w:abstractNumId w:val="11"/>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4"/>
  </w:num>
  <w:num w:numId="14" w16cid:durableId="695037216">
    <w:abstractNumId w:val="9"/>
  </w:num>
  <w:num w:numId="15" w16cid:durableId="184753653">
    <w:abstractNumId w:val="12"/>
  </w:num>
  <w:num w:numId="16" w16cid:durableId="2108185514">
    <w:abstractNumId w:val="17"/>
  </w:num>
  <w:num w:numId="17" w16cid:durableId="1733961114">
    <w:abstractNumId w:val="13"/>
  </w:num>
  <w:num w:numId="18" w16cid:durableId="2041779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3C5B"/>
    <w:rsid w:val="00003E7A"/>
    <w:rsid w:val="00005CBA"/>
    <w:rsid w:val="00007625"/>
    <w:rsid w:val="000108C0"/>
    <w:rsid w:val="00011527"/>
    <w:rsid w:val="0001158A"/>
    <w:rsid w:val="00011E6A"/>
    <w:rsid w:val="000128D4"/>
    <w:rsid w:val="00013F7A"/>
    <w:rsid w:val="00015F04"/>
    <w:rsid w:val="00016559"/>
    <w:rsid w:val="00016CFF"/>
    <w:rsid w:val="00017EBF"/>
    <w:rsid w:val="00020E1E"/>
    <w:rsid w:val="00023D0D"/>
    <w:rsid w:val="00025657"/>
    <w:rsid w:val="0002646F"/>
    <w:rsid w:val="00026C7F"/>
    <w:rsid w:val="00030E93"/>
    <w:rsid w:val="00031030"/>
    <w:rsid w:val="0003113C"/>
    <w:rsid w:val="00032270"/>
    <w:rsid w:val="000346F9"/>
    <w:rsid w:val="000373A7"/>
    <w:rsid w:val="00043BB1"/>
    <w:rsid w:val="00044039"/>
    <w:rsid w:val="000457D9"/>
    <w:rsid w:val="00045ED0"/>
    <w:rsid w:val="000460F0"/>
    <w:rsid w:val="00046130"/>
    <w:rsid w:val="00046B32"/>
    <w:rsid w:val="00051FF1"/>
    <w:rsid w:val="000546BD"/>
    <w:rsid w:val="00055599"/>
    <w:rsid w:val="000569F4"/>
    <w:rsid w:val="00056B91"/>
    <w:rsid w:val="0005752D"/>
    <w:rsid w:val="000651A4"/>
    <w:rsid w:val="000661A9"/>
    <w:rsid w:val="000674E2"/>
    <w:rsid w:val="00070B88"/>
    <w:rsid w:val="00071E26"/>
    <w:rsid w:val="0007692E"/>
    <w:rsid w:val="00086723"/>
    <w:rsid w:val="000916EA"/>
    <w:rsid w:val="000933E5"/>
    <w:rsid w:val="0009394F"/>
    <w:rsid w:val="00095693"/>
    <w:rsid w:val="000A1E24"/>
    <w:rsid w:val="000A2BA1"/>
    <w:rsid w:val="000A4A2F"/>
    <w:rsid w:val="000B0981"/>
    <w:rsid w:val="000B20A8"/>
    <w:rsid w:val="000B4726"/>
    <w:rsid w:val="000B4984"/>
    <w:rsid w:val="000B6C81"/>
    <w:rsid w:val="000C0126"/>
    <w:rsid w:val="000C0D4C"/>
    <w:rsid w:val="000C158C"/>
    <w:rsid w:val="000C28D7"/>
    <w:rsid w:val="000C2B69"/>
    <w:rsid w:val="000D0F30"/>
    <w:rsid w:val="000D4CBC"/>
    <w:rsid w:val="000D77DE"/>
    <w:rsid w:val="000E0577"/>
    <w:rsid w:val="000E1BB4"/>
    <w:rsid w:val="000E346A"/>
    <w:rsid w:val="000E3AFF"/>
    <w:rsid w:val="000E4A51"/>
    <w:rsid w:val="000E7B66"/>
    <w:rsid w:val="000F0ED6"/>
    <w:rsid w:val="000F3ABE"/>
    <w:rsid w:val="000F4375"/>
    <w:rsid w:val="000F5E18"/>
    <w:rsid w:val="000F7131"/>
    <w:rsid w:val="000F7294"/>
    <w:rsid w:val="000F7307"/>
    <w:rsid w:val="00100870"/>
    <w:rsid w:val="00100B55"/>
    <w:rsid w:val="001023F1"/>
    <w:rsid w:val="00103667"/>
    <w:rsid w:val="0010366B"/>
    <w:rsid w:val="001038B2"/>
    <w:rsid w:val="00105773"/>
    <w:rsid w:val="00105FBE"/>
    <w:rsid w:val="00107F9D"/>
    <w:rsid w:val="0011062E"/>
    <w:rsid w:val="00110D41"/>
    <w:rsid w:val="001120C9"/>
    <w:rsid w:val="0011440A"/>
    <w:rsid w:val="00114B2A"/>
    <w:rsid w:val="00123B5A"/>
    <w:rsid w:val="00126152"/>
    <w:rsid w:val="00130B57"/>
    <w:rsid w:val="00131096"/>
    <w:rsid w:val="00131C7C"/>
    <w:rsid w:val="001320FF"/>
    <w:rsid w:val="00132833"/>
    <w:rsid w:val="00133AA4"/>
    <w:rsid w:val="00133DD1"/>
    <w:rsid w:val="00141AB9"/>
    <w:rsid w:val="00142EB6"/>
    <w:rsid w:val="00146275"/>
    <w:rsid w:val="0015034B"/>
    <w:rsid w:val="00150902"/>
    <w:rsid w:val="00155273"/>
    <w:rsid w:val="00160409"/>
    <w:rsid w:val="001606B9"/>
    <w:rsid w:val="0016071E"/>
    <w:rsid w:val="00160F67"/>
    <w:rsid w:val="0017269A"/>
    <w:rsid w:val="00172B56"/>
    <w:rsid w:val="00183751"/>
    <w:rsid w:val="00185035"/>
    <w:rsid w:val="00191172"/>
    <w:rsid w:val="00193502"/>
    <w:rsid w:val="00193A83"/>
    <w:rsid w:val="001940F1"/>
    <w:rsid w:val="001A0DD7"/>
    <w:rsid w:val="001A42A5"/>
    <w:rsid w:val="001B08A2"/>
    <w:rsid w:val="001B4086"/>
    <w:rsid w:val="001B6287"/>
    <w:rsid w:val="001B7557"/>
    <w:rsid w:val="001C2EAF"/>
    <w:rsid w:val="001C4B26"/>
    <w:rsid w:val="001C51F0"/>
    <w:rsid w:val="001C6278"/>
    <w:rsid w:val="001D0364"/>
    <w:rsid w:val="001D0A40"/>
    <w:rsid w:val="001D15F6"/>
    <w:rsid w:val="001D3420"/>
    <w:rsid w:val="001D74C7"/>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3BA0"/>
    <w:rsid w:val="00207DA3"/>
    <w:rsid w:val="002134DD"/>
    <w:rsid w:val="0021534E"/>
    <w:rsid w:val="002204A1"/>
    <w:rsid w:val="00220C07"/>
    <w:rsid w:val="00220CBD"/>
    <w:rsid w:val="0022224A"/>
    <w:rsid w:val="00222826"/>
    <w:rsid w:val="00226480"/>
    <w:rsid w:val="00227386"/>
    <w:rsid w:val="0022793C"/>
    <w:rsid w:val="002325BF"/>
    <w:rsid w:val="0023330A"/>
    <w:rsid w:val="002359D1"/>
    <w:rsid w:val="00237A0A"/>
    <w:rsid w:val="002452DB"/>
    <w:rsid w:val="00245C21"/>
    <w:rsid w:val="00246E1F"/>
    <w:rsid w:val="002522C7"/>
    <w:rsid w:val="00253A60"/>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93524"/>
    <w:rsid w:val="00296A1E"/>
    <w:rsid w:val="00296D06"/>
    <w:rsid w:val="00297444"/>
    <w:rsid w:val="002A59C8"/>
    <w:rsid w:val="002A7D54"/>
    <w:rsid w:val="002B2146"/>
    <w:rsid w:val="002B382B"/>
    <w:rsid w:val="002B3947"/>
    <w:rsid w:val="002B46D2"/>
    <w:rsid w:val="002C058B"/>
    <w:rsid w:val="002C0712"/>
    <w:rsid w:val="002C10BB"/>
    <w:rsid w:val="002C1202"/>
    <w:rsid w:val="002C2A7E"/>
    <w:rsid w:val="002C3E3C"/>
    <w:rsid w:val="002C409A"/>
    <w:rsid w:val="002C6211"/>
    <w:rsid w:val="002D14DC"/>
    <w:rsid w:val="002D17C7"/>
    <w:rsid w:val="002D2B23"/>
    <w:rsid w:val="002D62BB"/>
    <w:rsid w:val="002D7927"/>
    <w:rsid w:val="002E2076"/>
    <w:rsid w:val="002E57CB"/>
    <w:rsid w:val="002E6B3F"/>
    <w:rsid w:val="002F30E4"/>
    <w:rsid w:val="002F607C"/>
    <w:rsid w:val="002F6857"/>
    <w:rsid w:val="002F77FB"/>
    <w:rsid w:val="003010D6"/>
    <w:rsid w:val="00306230"/>
    <w:rsid w:val="00306672"/>
    <w:rsid w:val="00306D39"/>
    <w:rsid w:val="00310EDD"/>
    <w:rsid w:val="003134F1"/>
    <w:rsid w:val="003231B3"/>
    <w:rsid w:val="003244FF"/>
    <w:rsid w:val="00326362"/>
    <w:rsid w:val="00331BC3"/>
    <w:rsid w:val="0033661A"/>
    <w:rsid w:val="00341646"/>
    <w:rsid w:val="00342764"/>
    <w:rsid w:val="00342AF3"/>
    <w:rsid w:val="003447BE"/>
    <w:rsid w:val="0035787E"/>
    <w:rsid w:val="00361C8A"/>
    <w:rsid w:val="00361CD6"/>
    <w:rsid w:val="00364619"/>
    <w:rsid w:val="003659BD"/>
    <w:rsid w:val="00366E75"/>
    <w:rsid w:val="00370DA6"/>
    <w:rsid w:val="00374AC8"/>
    <w:rsid w:val="00375D09"/>
    <w:rsid w:val="00376741"/>
    <w:rsid w:val="003770A5"/>
    <w:rsid w:val="00377480"/>
    <w:rsid w:val="00377A63"/>
    <w:rsid w:val="0038189C"/>
    <w:rsid w:val="00382072"/>
    <w:rsid w:val="00385989"/>
    <w:rsid w:val="00386D44"/>
    <w:rsid w:val="00393061"/>
    <w:rsid w:val="003930E2"/>
    <w:rsid w:val="003973CB"/>
    <w:rsid w:val="003978C0"/>
    <w:rsid w:val="003A1DB0"/>
    <w:rsid w:val="003A3DAC"/>
    <w:rsid w:val="003A4644"/>
    <w:rsid w:val="003A5B12"/>
    <w:rsid w:val="003A6361"/>
    <w:rsid w:val="003B25C0"/>
    <w:rsid w:val="003B380B"/>
    <w:rsid w:val="003B58DB"/>
    <w:rsid w:val="003B72B0"/>
    <w:rsid w:val="003C08FF"/>
    <w:rsid w:val="003C3E41"/>
    <w:rsid w:val="003C653B"/>
    <w:rsid w:val="003D2EFB"/>
    <w:rsid w:val="003D5703"/>
    <w:rsid w:val="003D6EDD"/>
    <w:rsid w:val="003E190B"/>
    <w:rsid w:val="003E7A38"/>
    <w:rsid w:val="003F3117"/>
    <w:rsid w:val="003F4CCA"/>
    <w:rsid w:val="003F511D"/>
    <w:rsid w:val="003F6C76"/>
    <w:rsid w:val="003F7A1F"/>
    <w:rsid w:val="00404689"/>
    <w:rsid w:val="004049F8"/>
    <w:rsid w:val="00406646"/>
    <w:rsid w:val="004069D7"/>
    <w:rsid w:val="00415E32"/>
    <w:rsid w:val="00415F0F"/>
    <w:rsid w:val="004228C1"/>
    <w:rsid w:val="004228F3"/>
    <w:rsid w:val="00424089"/>
    <w:rsid w:val="00425111"/>
    <w:rsid w:val="00427EFC"/>
    <w:rsid w:val="00430209"/>
    <w:rsid w:val="00431769"/>
    <w:rsid w:val="00440995"/>
    <w:rsid w:val="004457B0"/>
    <w:rsid w:val="00447A03"/>
    <w:rsid w:val="00447D0E"/>
    <w:rsid w:val="00450C5B"/>
    <w:rsid w:val="0045291E"/>
    <w:rsid w:val="0045317F"/>
    <w:rsid w:val="00453F22"/>
    <w:rsid w:val="004544FD"/>
    <w:rsid w:val="00454F31"/>
    <w:rsid w:val="004607F0"/>
    <w:rsid w:val="00460E2E"/>
    <w:rsid w:val="004653D7"/>
    <w:rsid w:val="004712F1"/>
    <w:rsid w:val="0047310B"/>
    <w:rsid w:val="00480201"/>
    <w:rsid w:val="00483980"/>
    <w:rsid w:val="00484BD5"/>
    <w:rsid w:val="00484CFB"/>
    <w:rsid w:val="0048525E"/>
    <w:rsid w:val="004877B0"/>
    <w:rsid w:val="004920FA"/>
    <w:rsid w:val="00492A77"/>
    <w:rsid w:val="00496BCF"/>
    <w:rsid w:val="00497C64"/>
    <w:rsid w:val="004A1DC3"/>
    <w:rsid w:val="004A2553"/>
    <w:rsid w:val="004B1143"/>
    <w:rsid w:val="004B2B86"/>
    <w:rsid w:val="004B6031"/>
    <w:rsid w:val="004B6CA7"/>
    <w:rsid w:val="004C031A"/>
    <w:rsid w:val="004C112D"/>
    <w:rsid w:val="004C233F"/>
    <w:rsid w:val="004C2AB3"/>
    <w:rsid w:val="004C4E47"/>
    <w:rsid w:val="004C5F77"/>
    <w:rsid w:val="004C6684"/>
    <w:rsid w:val="004D0490"/>
    <w:rsid w:val="004D25FC"/>
    <w:rsid w:val="004D40FF"/>
    <w:rsid w:val="004D5195"/>
    <w:rsid w:val="004D5704"/>
    <w:rsid w:val="004E2C3B"/>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35BB"/>
    <w:rsid w:val="0052442B"/>
    <w:rsid w:val="00525567"/>
    <w:rsid w:val="005257B9"/>
    <w:rsid w:val="00526DB7"/>
    <w:rsid w:val="005274E9"/>
    <w:rsid w:val="00530FE0"/>
    <w:rsid w:val="005329F4"/>
    <w:rsid w:val="00532A7E"/>
    <w:rsid w:val="005333C9"/>
    <w:rsid w:val="00533B01"/>
    <w:rsid w:val="00533B50"/>
    <w:rsid w:val="00535249"/>
    <w:rsid w:val="00535960"/>
    <w:rsid w:val="00537F87"/>
    <w:rsid w:val="0054101A"/>
    <w:rsid w:val="00541ECF"/>
    <w:rsid w:val="00544848"/>
    <w:rsid w:val="00545CC7"/>
    <w:rsid w:val="0055074B"/>
    <w:rsid w:val="00551179"/>
    <w:rsid w:val="0055241A"/>
    <w:rsid w:val="00554136"/>
    <w:rsid w:val="005554D7"/>
    <w:rsid w:val="0055564B"/>
    <w:rsid w:val="00556D06"/>
    <w:rsid w:val="005619C0"/>
    <w:rsid w:val="00561BA6"/>
    <w:rsid w:val="00561E86"/>
    <w:rsid w:val="00563287"/>
    <w:rsid w:val="00567A9C"/>
    <w:rsid w:val="00570818"/>
    <w:rsid w:val="00572AC2"/>
    <w:rsid w:val="00573B08"/>
    <w:rsid w:val="0057679C"/>
    <w:rsid w:val="00581381"/>
    <w:rsid w:val="00583F25"/>
    <w:rsid w:val="0058754A"/>
    <w:rsid w:val="00591CBF"/>
    <w:rsid w:val="005970F5"/>
    <w:rsid w:val="0059762B"/>
    <w:rsid w:val="005A4392"/>
    <w:rsid w:val="005A4DDD"/>
    <w:rsid w:val="005B26BA"/>
    <w:rsid w:val="005B36FC"/>
    <w:rsid w:val="005B5025"/>
    <w:rsid w:val="005B533C"/>
    <w:rsid w:val="005C2733"/>
    <w:rsid w:val="005C3A09"/>
    <w:rsid w:val="005C63E7"/>
    <w:rsid w:val="005D0D05"/>
    <w:rsid w:val="005D36EC"/>
    <w:rsid w:val="005D5FC5"/>
    <w:rsid w:val="005D6DE6"/>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36F2"/>
    <w:rsid w:val="00624231"/>
    <w:rsid w:val="006248DB"/>
    <w:rsid w:val="00631E97"/>
    <w:rsid w:val="00634418"/>
    <w:rsid w:val="00634938"/>
    <w:rsid w:val="0063542F"/>
    <w:rsid w:val="00643F90"/>
    <w:rsid w:val="006464CE"/>
    <w:rsid w:val="00646AD1"/>
    <w:rsid w:val="006473D6"/>
    <w:rsid w:val="0065104E"/>
    <w:rsid w:val="00652116"/>
    <w:rsid w:val="00657026"/>
    <w:rsid w:val="006570A1"/>
    <w:rsid w:val="00660A87"/>
    <w:rsid w:val="00660BB1"/>
    <w:rsid w:val="00660F6C"/>
    <w:rsid w:val="00661EC6"/>
    <w:rsid w:val="00662AB8"/>
    <w:rsid w:val="00664457"/>
    <w:rsid w:val="00664E5A"/>
    <w:rsid w:val="00665CFF"/>
    <w:rsid w:val="006676B9"/>
    <w:rsid w:val="006716CE"/>
    <w:rsid w:val="00671872"/>
    <w:rsid w:val="00680242"/>
    <w:rsid w:val="00680366"/>
    <w:rsid w:val="00682971"/>
    <w:rsid w:val="0068362A"/>
    <w:rsid w:val="00684C6F"/>
    <w:rsid w:val="00685523"/>
    <w:rsid w:val="00687FD4"/>
    <w:rsid w:val="00690481"/>
    <w:rsid w:val="0069208D"/>
    <w:rsid w:val="006A15A0"/>
    <w:rsid w:val="006A1E74"/>
    <w:rsid w:val="006A2A11"/>
    <w:rsid w:val="006A4A2E"/>
    <w:rsid w:val="006A4D71"/>
    <w:rsid w:val="006A79B6"/>
    <w:rsid w:val="006B2A55"/>
    <w:rsid w:val="006B2EDE"/>
    <w:rsid w:val="006B3421"/>
    <w:rsid w:val="006B461C"/>
    <w:rsid w:val="006B4F70"/>
    <w:rsid w:val="006B66F5"/>
    <w:rsid w:val="006C0E01"/>
    <w:rsid w:val="006C1A53"/>
    <w:rsid w:val="006C3828"/>
    <w:rsid w:val="006C429D"/>
    <w:rsid w:val="006C4E15"/>
    <w:rsid w:val="006C5842"/>
    <w:rsid w:val="006C72AD"/>
    <w:rsid w:val="006D0296"/>
    <w:rsid w:val="006D0D37"/>
    <w:rsid w:val="006D1B49"/>
    <w:rsid w:val="006D1EBD"/>
    <w:rsid w:val="006D20A2"/>
    <w:rsid w:val="006D2A84"/>
    <w:rsid w:val="006D32A7"/>
    <w:rsid w:val="006D5A35"/>
    <w:rsid w:val="006D76DA"/>
    <w:rsid w:val="006E1822"/>
    <w:rsid w:val="006F7B9A"/>
    <w:rsid w:val="007021CC"/>
    <w:rsid w:val="0070233B"/>
    <w:rsid w:val="00706322"/>
    <w:rsid w:val="0071033A"/>
    <w:rsid w:val="00712648"/>
    <w:rsid w:val="007159B5"/>
    <w:rsid w:val="007218F1"/>
    <w:rsid w:val="007223D9"/>
    <w:rsid w:val="00722DEF"/>
    <w:rsid w:val="0072523C"/>
    <w:rsid w:val="00732243"/>
    <w:rsid w:val="007334B4"/>
    <w:rsid w:val="007357DC"/>
    <w:rsid w:val="00735BA5"/>
    <w:rsid w:val="00737E9C"/>
    <w:rsid w:val="00740596"/>
    <w:rsid w:val="00742F43"/>
    <w:rsid w:val="00745442"/>
    <w:rsid w:val="00746B48"/>
    <w:rsid w:val="007471E3"/>
    <w:rsid w:val="0074791A"/>
    <w:rsid w:val="0075164C"/>
    <w:rsid w:val="00751877"/>
    <w:rsid w:val="00752B79"/>
    <w:rsid w:val="00754161"/>
    <w:rsid w:val="0075531E"/>
    <w:rsid w:val="007569A8"/>
    <w:rsid w:val="00757B75"/>
    <w:rsid w:val="007620BC"/>
    <w:rsid w:val="007642D7"/>
    <w:rsid w:val="00765FFF"/>
    <w:rsid w:val="0076602C"/>
    <w:rsid w:val="007676EA"/>
    <w:rsid w:val="00767878"/>
    <w:rsid w:val="007729C2"/>
    <w:rsid w:val="00773EED"/>
    <w:rsid w:val="0077426C"/>
    <w:rsid w:val="00780E7D"/>
    <w:rsid w:val="007816B1"/>
    <w:rsid w:val="00781A3E"/>
    <w:rsid w:val="00790887"/>
    <w:rsid w:val="00792ADE"/>
    <w:rsid w:val="00794470"/>
    <w:rsid w:val="00794EAF"/>
    <w:rsid w:val="0079577C"/>
    <w:rsid w:val="00796745"/>
    <w:rsid w:val="00797170"/>
    <w:rsid w:val="007A2822"/>
    <w:rsid w:val="007B13FC"/>
    <w:rsid w:val="007B15A3"/>
    <w:rsid w:val="007B1B00"/>
    <w:rsid w:val="007B2A2B"/>
    <w:rsid w:val="007B315A"/>
    <w:rsid w:val="007B49FC"/>
    <w:rsid w:val="007B75B9"/>
    <w:rsid w:val="007B7B16"/>
    <w:rsid w:val="007B7C21"/>
    <w:rsid w:val="007C300A"/>
    <w:rsid w:val="007C5300"/>
    <w:rsid w:val="007C7D57"/>
    <w:rsid w:val="007D1EBF"/>
    <w:rsid w:val="007D30C1"/>
    <w:rsid w:val="007D3112"/>
    <w:rsid w:val="007D4BE3"/>
    <w:rsid w:val="007E0362"/>
    <w:rsid w:val="007E0BD3"/>
    <w:rsid w:val="007E125A"/>
    <w:rsid w:val="007E159E"/>
    <w:rsid w:val="007E378B"/>
    <w:rsid w:val="007E3AB6"/>
    <w:rsid w:val="007E4051"/>
    <w:rsid w:val="007E452C"/>
    <w:rsid w:val="007E520B"/>
    <w:rsid w:val="007F0833"/>
    <w:rsid w:val="007F1630"/>
    <w:rsid w:val="007F1C0E"/>
    <w:rsid w:val="007F1C71"/>
    <w:rsid w:val="007F2955"/>
    <w:rsid w:val="007F2988"/>
    <w:rsid w:val="007F4D10"/>
    <w:rsid w:val="007F72B4"/>
    <w:rsid w:val="008014BA"/>
    <w:rsid w:val="0080286F"/>
    <w:rsid w:val="00804C24"/>
    <w:rsid w:val="00812050"/>
    <w:rsid w:val="008141E0"/>
    <w:rsid w:val="008154C6"/>
    <w:rsid w:val="00815E81"/>
    <w:rsid w:val="00817DDC"/>
    <w:rsid w:val="00821EA1"/>
    <w:rsid w:val="0082342F"/>
    <w:rsid w:val="0082704A"/>
    <w:rsid w:val="00830973"/>
    <w:rsid w:val="00830C70"/>
    <w:rsid w:val="00831F05"/>
    <w:rsid w:val="008342B7"/>
    <w:rsid w:val="008347DA"/>
    <w:rsid w:val="0083648E"/>
    <w:rsid w:val="00841A2A"/>
    <w:rsid w:val="00842DAA"/>
    <w:rsid w:val="008433D4"/>
    <w:rsid w:val="0084689E"/>
    <w:rsid w:val="00853C6F"/>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2DD4"/>
    <w:rsid w:val="00883EEF"/>
    <w:rsid w:val="00887CBC"/>
    <w:rsid w:val="00890829"/>
    <w:rsid w:val="008929B8"/>
    <w:rsid w:val="008932F1"/>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2152"/>
    <w:rsid w:val="008F729E"/>
    <w:rsid w:val="00901061"/>
    <w:rsid w:val="0090117F"/>
    <w:rsid w:val="00901F92"/>
    <w:rsid w:val="0090232B"/>
    <w:rsid w:val="00903BF3"/>
    <w:rsid w:val="00907E79"/>
    <w:rsid w:val="00916EC1"/>
    <w:rsid w:val="00921630"/>
    <w:rsid w:val="0092266E"/>
    <w:rsid w:val="009226BF"/>
    <w:rsid w:val="00922B4A"/>
    <w:rsid w:val="00924ADA"/>
    <w:rsid w:val="0093282C"/>
    <w:rsid w:val="00933239"/>
    <w:rsid w:val="00950FBD"/>
    <w:rsid w:val="00951C31"/>
    <w:rsid w:val="009526A7"/>
    <w:rsid w:val="00954C36"/>
    <w:rsid w:val="00955419"/>
    <w:rsid w:val="00955A54"/>
    <w:rsid w:val="00956F90"/>
    <w:rsid w:val="009607EA"/>
    <w:rsid w:val="0096545F"/>
    <w:rsid w:val="00965525"/>
    <w:rsid w:val="00972EE3"/>
    <w:rsid w:val="00974CF6"/>
    <w:rsid w:val="0097512B"/>
    <w:rsid w:val="00975C81"/>
    <w:rsid w:val="0098107B"/>
    <w:rsid w:val="0098127D"/>
    <w:rsid w:val="00982420"/>
    <w:rsid w:val="009844DE"/>
    <w:rsid w:val="00986165"/>
    <w:rsid w:val="00986340"/>
    <w:rsid w:val="00987457"/>
    <w:rsid w:val="0099023D"/>
    <w:rsid w:val="00990C7D"/>
    <w:rsid w:val="00993856"/>
    <w:rsid w:val="00993A38"/>
    <w:rsid w:val="009A1427"/>
    <w:rsid w:val="009A2505"/>
    <w:rsid w:val="009A27C5"/>
    <w:rsid w:val="009A6917"/>
    <w:rsid w:val="009B1E0B"/>
    <w:rsid w:val="009C2157"/>
    <w:rsid w:val="009C3E75"/>
    <w:rsid w:val="009D0104"/>
    <w:rsid w:val="009D13B7"/>
    <w:rsid w:val="009D2903"/>
    <w:rsid w:val="009D2D30"/>
    <w:rsid w:val="009D4488"/>
    <w:rsid w:val="009D787C"/>
    <w:rsid w:val="009D799F"/>
    <w:rsid w:val="009E0BDF"/>
    <w:rsid w:val="009E3C28"/>
    <w:rsid w:val="009E4874"/>
    <w:rsid w:val="009E52A2"/>
    <w:rsid w:val="009E69DC"/>
    <w:rsid w:val="009E7B0E"/>
    <w:rsid w:val="009F4C41"/>
    <w:rsid w:val="009F4DED"/>
    <w:rsid w:val="009F58E5"/>
    <w:rsid w:val="00A02D03"/>
    <w:rsid w:val="00A031C6"/>
    <w:rsid w:val="00A0462E"/>
    <w:rsid w:val="00A04E33"/>
    <w:rsid w:val="00A05461"/>
    <w:rsid w:val="00A06E04"/>
    <w:rsid w:val="00A079D2"/>
    <w:rsid w:val="00A07E5B"/>
    <w:rsid w:val="00A07F57"/>
    <w:rsid w:val="00A11613"/>
    <w:rsid w:val="00A12300"/>
    <w:rsid w:val="00A222EC"/>
    <w:rsid w:val="00A246F3"/>
    <w:rsid w:val="00A25AD1"/>
    <w:rsid w:val="00A26F2E"/>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3BD4"/>
    <w:rsid w:val="00A7604B"/>
    <w:rsid w:val="00A77EFD"/>
    <w:rsid w:val="00A80739"/>
    <w:rsid w:val="00A82745"/>
    <w:rsid w:val="00A845F6"/>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4761"/>
    <w:rsid w:val="00AD0DA2"/>
    <w:rsid w:val="00AD281F"/>
    <w:rsid w:val="00AD2F5B"/>
    <w:rsid w:val="00AD42FC"/>
    <w:rsid w:val="00AD5BE6"/>
    <w:rsid w:val="00AD6B42"/>
    <w:rsid w:val="00AD79E6"/>
    <w:rsid w:val="00AE07C5"/>
    <w:rsid w:val="00AE1720"/>
    <w:rsid w:val="00AE23F3"/>
    <w:rsid w:val="00AE4F02"/>
    <w:rsid w:val="00AE52D9"/>
    <w:rsid w:val="00AE5AEC"/>
    <w:rsid w:val="00AF1013"/>
    <w:rsid w:val="00B00C35"/>
    <w:rsid w:val="00B01DB0"/>
    <w:rsid w:val="00B023F1"/>
    <w:rsid w:val="00B0470C"/>
    <w:rsid w:val="00B1460F"/>
    <w:rsid w:val="00B203C0"/>
    <w:rsid w:val="00B23EB8"/>
    <w:rsid w:val="00B25316"/>
    <w:rsid w:val="00B25C30"/>
    <w:rsid w:val="00B25E9A"/>
    <w:rsid w:val="00B26309"/>
    <w:rsid w:val="00B264A3"/>
    <w:rsid w:val="00B26CA2"/>
    <w:rsid w:val="00B2773A"/>
    <w:rsid w:val="00B32147"/>
    <w:rsid w:val="00B36448"/>
    <w:rsid w:val="00B37735"/>
    <w:rsid w:val="00B37F0C"/>
    <w:rsid w:val="00B45014"/>
    <w:rsid w:val="00B472B0"/>
    <w:rsid w:val="00B52652"/>
    <w:rsid w:val="00B538D8"/>
    <w:rsid w:val="00B55483"/>
    <w:rsid w:val="00B60307"/>
    <w:rsid w:val="00B609BE"/>
    <w:rsid w:val="00B612BF"/>
    <w:rsid w:val="00B62977"/>
    <w:rsid w:val="00B634A0"/>
    <w:rsid w:val="00B71A08"/>
    <w:rsid w:val="00B71E28"/>
    <w:rsid w:val="00B73F56"/>
    <w:rsid w:val="00B73FB5"/>
    <w:rsid w:val="00B76CDA"/>
    <w:rsid w:val="00B77A4B"/>
    <w:rsid w:val="00B823AC"/>
    <w:rsid w:val="00B86268"/>
    <w:rsid w:val="00B8646A"/>
    <w:rsid w:val="00B87348"/>
    <w:rsid w:val="00B917A7"/>
    <w:rsid w:val="00B92570"/>
    <w:rsid w:val="00BA158A"/>
    <w:rsid w:val="00BA3DDB"/>
    <w:rsid w:val="00BA6414"/>
    <w:rsid w:val="00BA7271"/>
    <w:rsid w:val="00BA7799"/>
    <w:rsid w:val="00BA7EB2"/>
    <w:rsid w:val="00BB4163"/>
    <w:rsid w:val="00BB43FE"/>
    <w:rsid w:val="00BB4736"/>
    <w:rsid w:val="00BC41FD"/>
    <w:rsid w:val="00BD03CC"/>
    <w:rsid w:val="00BD24BE"/>
    <w:rsid w:val="00BD4DF2"/>
    <w:rsid w:val="00BD6060"/>
    <w:rsid w:val="00BE026C"/>
    <w:rsid w:val="00BE0DE3"/>
    <w:rsid w:val="00BE1575"/>
    <w:rsid w:val="00BE26AF"/>
    <w:rsid w:val="00BE776F"/>
    <w:rsid w:val="00BF1FBA"/>
    <w:rsid w:val="00BF3363"/>
    <w:rsid w:val="00BF37CB"/>
    <w:rsid w:val="00BF3F58"/>
    <w:rsid w:val="00BF5799"/>
    <w:rsid w:val="00C00109"/>
    <w:rsid w:val="00C00A0B"/>
    <w:rsid w:val="00C027EF"/>
    <w:rsid w:val="00C03D36"/>
    <w:rsid w:val="00C057B4"/>
    <w:rsid w:val="00C05B30"/>
    <w:rsid w:val="00C067BE"/>
    <w:rsid w:val="00C06FB6"/>
    <w:rsid w:val="00C071E2"/>
    <w:rsid w:val="00C07E3E"/>
    <w:rsid w:val="00C100BE"/>
    <w:rsid w:val="00C107CB"/>
    <w:rsid w:val="00C116AF"/>
    <w:rsid w:val="00C155BA"/>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0913"/>
    <w:rsid w:val="00C515EA"/>
    <w:rsid w:val="00C5179B"/>
    <w:rsid w:val="00C52588"/>
    <w:rsid w:val="00C56264"/>
    <w:rsid w:val="00C601BD"/>
    <w:rsid w:val="00C60929"/>
    <w:rsid w:val="00C67E58"/>
    <w:rsid w:val="00C70EFE"/>
    <w:rsid w:val="00C710DD"/>
    <w:rsid w:val="00C71AEA"/>
    <w:rsid w:val="00C81386"/>
    <w:rsid w:val="00C81530"/>
    <w:rsid w:val="00C8323B"/>
    <w:rsid w:val="00C86378"/>
    <w:rsid w:val="00C90C16"/>
    <w:rsid w:val="00C92D8B"/>
    <w:rsid w:val="00C948CA"/>
    <w:rsid w:val="00C96473"/>
    <w:rsid w:val="00C96BDD"/>
    <w:rsid w:val="00C97300"/>
    <w:rsid w:val="00CA0C02"/>
    <w:rsid w:val="00CA24FD"/>
    <w:rsid w:val="00CA2A0A"/>
    <w:rsid w:val="00CA7A24"/>
    <w:rsid w:val="00CB46CD"/>
    <w:rsid w:val="00CB559B"/>
    <w:rsid w:val="00CB638D"/>
    <w:rsid w:val="00CC47B6"/>
    <w:rsid w:val="00CC61DE"/>
    <w:rsid w:val="00CC6538"/>
    <w:rsid w:val="00CD27C9"/>
    <w:rsid w:val="00CD3645"/>
    <w:rsid w:val="00CD7C0B"/>
    <w:rsid w:val="00CE123F"/>
    <w:rsid w:val="00CE1BD6"/>
    <w:rsid w:val="00CE498B"/>
    <w:rsid w:val="00CE5266"/>
    <w:rsid w:val="00CF05D0"/>
    <w:rsid w:val="00CF2312"/>
    <w:rsid w:val="00CF3F5A"/>
    <w:rsid w:val="00CF52E0"/>
    <w:rsid w:val="00CF74C0"/>
    <w:rsid w:val="00D007D6"/>
    <w:rsid w:val="00D05FD1"/>
    <w:rsid w:val="00D07E1C"/>
    <w:rsid w:val="00D112A9"/>
    <w:rsid w:val="00D135C9"/>
    <w:rsid w:val="00D16368"/>
    <w:rsid w:val="00D225A0"/>
    <w:rsid w:val="00D22BCE"/>
    <w:rsid w:val="00D255A8"/>
    <w:rsid w:val="00D26CDB"/>
    <w:rsid w:val="00D26E32"/>
    <w:rsid w:val="00D2743A"/>
    <w:rsid w:val="00D31BC2"/>
    <w:rsid w:val="00D32B74"/>
    <w:rsid w:val="00D33B79"/>
    <w:rsid w:val="00D33B7B"/>
    <w:rsid w:val="00D35F7C"/>
    <w:rsid w:val="00D404CA"/>
    <w:rsid w:val="00D4257A"/>
    <w:rsid w:val="00D42BCE"/>
    <w:rsid w:val="00D46365"/>
    <w:rsid w:val="00D46E24"/>
    <w:rsid w:val="00D5091E"/>
    <w:rsid w:val="00D536F1"/>
    <w:rsid w:val="00D53AC5"/>
    <w:rsid w:val="00D603B0"/>
    <w:rsid w:val="00D64A47"/>
    <w:rsid w:val="00D65805"/>
    <w:rsid w:val="00D65F70"/>
    <w:rsid w:val="00D66869"/>
    <w:rsid w:val="00D71ADD"/>
    <w:rsid w:val="00D76833"/>
    <w:rsid w:val="00D76B92"/>
    <w:rsid w:val="00D770E9"/>
    <w:rsid w:val="00D80EF8"/>
    <w:rsid w:val="00D80FBD"/>
    <w:rsid w:val="00D8333E"/>
    <w:rsid w:val="00D85DDE"/>
    <w:rsid w:val="00D8650E"/>
    <w:rsid w:val="00D874BA"/>
    <w:rsid w:val="00D879FE"/>
    <w:rsid w:val="00D902AB"/>
    <w:rsid w:val="00D91398"/>
    <w:rsid w:val="00D91FF5"/>
    <w:rsid w:val="00D93756"/>
    <w:rsid w:val="00D97A37"/>
    <w:rsid w:val="00DA010F"/>
    <w:rsid w:val="00DA40EA"/>
    <w:rsid w:val="00DA7B63"/>
    <w:rsid w:val="00DB3529"/>
    <w:rsid w:val="00DB3BAB"/>
    <w:rsid w:val="00DB764B"/>
    <w:rsid w:val="00DC15F9"/>
    <w:rsid w:val="00DC31A6"/>
    <w:rsid w:val="00DC7B2E"/>
    <w:rsid w:val="00DD058F"/>
    <w:rsid w:val="00DD54AE"/>
    <w:rsid w:val="00DD5BA4"/>
    <w:rsid w:val="00DD7585"/>
    <w:rsid w:val="00DD7E30"/>
    <w:rsid w:val="00DE3F52"/>
    <w:rsid w:val="00DF13C2"/>
    <w:rsid w:val="00DF1BB1"/>
    <w:rsid w:val="00DF4A3F"/>
    <w:rsid w:val="00DF5BA7"/>
    <w:rsid w:val="00DF6451"/>
    <w:rsid w:val="00E00242"/>
    <w:rsid w:val="00E0097E"/>
    <w:rsid w:val="00E016F6"/>
    <w:rsid w:val="00E0340D"/>
    <w:rsid w:val="00E037FB"/>
    <w:rsid w:val="00E03A88"/>
    <w:rsid w:val="00E055AC"/>
    <w:rsid w:val="00E07CA2"/>
    <w:rsid w:val="00E12A7D"/>
    <w:rsid w:val="00E13025"/>
    <w:rsid w:val="00E1384B"/>
    <w:rsid w:val="00E13A71"/>
    <w:rsid w:val="00E22CBD"/>
    <w:rsid w:val="00E2347B"/>
    <w:rsid w:val="00E23A37"/>
    <w:rsid w:val="00E24A5A"/>
    <w:rsid w:val="00E318FE"/>
    <w:rsid w:val="00E32B51"/>
    <w:rsid w:val="00E3499E"/>
    <w:rsid w:val="00E35A85"/>
    <w:rsid w:val="00E36ABE"/>
    <w:rsid w:val="00E40201"/>
    <w:rsid w:val="00E40460"/>
    <w:rsid w:val="00E4085B"/>
    <w:rsid w:val="00E40A59"/>
    <w:rsid w:val="00E41229"/>
    <w:rsid w:val="00E4131F"/>
    <w:rsid w:val="00E4176F"/>
    <w:rsid w:val="00E422E0"/>
    <w:rsid w:val="00E431B1"/>
    <w:rsid w:val="00E43821"/>
    <w:rsid w:val="00E44413"/>
    <w:rsid w:val="00E446DA"/>
    <w:rsid w:val="00E44E45"/>
    <w:rsid w:val="00E45A68"/>
    <w:rsid w:val="00E475B0"/>
    <w:rsid w:val="00E5088A"/>
    <w:rsid w:val="00E5548E"/>
    <w:rsid w:val="00E55772"/>
    <w:rsid w:val="00E56E9A"/>
    <w:rsid w:val="00E60127"/>
    <w:rsid w:val="00E60CB2"/>
    <w:rsid w:val="00E62616"/>
    <w:rsid w:val="00E6677A"/>
    <w:rsid w:val="00E673E2"/>
    <w:rsid w:val="00E727A4"/>
    <w:rsid w:val="00E7294C"/>
    <w:rsid w:val="00E75CE4"/>
    <w:rsid w:val="00E775DB"/>
    <w:rsid w:val="00E8240C"/>
    <w:rsid w:val="00E83C44"/>
    <w:rsid w:val="00E84ABF"/>
    <w:rsid w:val="00E858FE"/>
    <w:rsid w:val="00E86E4B"/>
    <w:rsid w:val="00E87AFC"/>
    <w:rsid w:val="00E90892"/>
    <w:rsid w:val="00E9296C"/>
    <w:rsid w:val="00E94A3A"/>
    <w:rsid w:val="00E9512C"/>
    <w:rsid w:val="00E963E5"/>
    <w:rsid w:val="00E97FDB"/>
    <w:rsid w:val="00EA21BF"/>
    <w:rsid w:val="00EA5B71"/>
    <w:rsid w:val="00EA7437"/>
    <w:rsid w:val="00EA74A4"/>
    <w:rsid w:val="00EA7F3C"/>
    <w:rsid w:val="00EB39FE"/>
    <w:rsid w:val="00EB4823"/>
    <w:rsid w:val="00EB7E37"/>
    <w:rsid w:val="00EC3D3A"/>
    <w:rsid w:val="00EC7C63"/>
    <w:rsid w:val="00ED2754"/>
    <w:rsid w:val="00ED399C"/>
    <w:rsid w:val="00ED4563"/>
    <w:rsid w:val="00EE1A5E"/>
    <w:rsid w:val="00EE337F"/>
    <w:rsid w:val="00EE3694"/>
    <w:rsid w:val="00EE3D3F"/>
    <w:rsid w:val="00EE63D5"/>
    <w:rsid w:val="00EE72EA"/>
    <w:rsid w:val="00EF381D"/>
    <w:rsid w:val="00EF4595"/>
    <w:rsid w:val="00EF6394"/>
    <w:rsid w:val="00EF675B"/>
    <w:rsid w:val="00F0112C"/>
    <w:rsid w:val="00F029CE"/>
    <w:rsid w:val="00F02B94"/>
    <w:rsid w:val="00F031B6"/>
    <w:rsid w:val="00F04248"/>
    <w:rsid w:val="00F05C1B"/>
    <w:rsid w:val="00F05F36"/>
    <w:rsid w:val="00F06332"/>
    <w:rsid w:val="00F065CE"/>
    <w:rsid w:val="00F066A6"/>
    <w:rsid w:val="00F067E6"/>
    <w:rsid w:val="00F072B9"/>
    <w:rsid w:val="00F07965"/>
    <w:rsid w:val="00F110A0"/>
    <w:rsid w:val="00F16CFF"/>
    <w:rsid w:val="00F16F23"/>
    <w:rsid w:val="00F21276"/>
    <w:rsid w:val="00F3170C"/>
    <w:rsid w:val="00F31E33"/>
    <w:rsid w:val="00F37FD2"/>
    <w:rsid w:val="00F40BF9"/>
    <w:rsid w:val="00F42B56"/>
    <w:rsid w:val="00F430D9"/>
    <w:rsid w:val="00F4369C"/>
    <w:rsid w:val="00F443B5"/>
    <w:rsid w:val="00F449DB"/>
    <w:rsid w:val="00F46960"/>
    <w:rsid w:val="00F47D28"/>
    <w:rsid w:val="00F52C5F"/>
    <w:rsid w:val="00F5411D"/>
    <w:rsid w:val="00F6251E"/>
    <w:rsid w:val="00F64138"/>
    <w:rsid w:val="00F64B0A"/>
    <w:rsid w:val="00F64C2D"/>
    <w:rsid w:val="00F66E68"/>
    <w:rsid w:val="00F700C0"/>
    <w:rsid w:val="00F7013B"/>
    <w:rsid w:val="00F72657"/>
    <w:rsid w:val="00F75790"/>
    <w:rsid w:val="00F75FC1"/>
    <w:rsid w:val="00F76465"/>
    <w:rsid w:val="00F805B7"/>
    <w:rsid w:val="00F841D8"/>
    <w:rsid w:val="00F90992"/>
    <w:rsid w:val="00F9393F"/>
    <w:rsid w:val="00FA0E62"/>
    <w:rsid w:val="00FA13FA"/>
    <w:rsid w:val="00FA40F1"/>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2085"/>
    <w:rsid w:val="00FC4475"/>
    <w:rsid w:val="00FC5242"/>
    <w:rsid w:val="00FD0353"/>
    <w:rsid w:val="00FD0F3B"/>
    <w:rsid w:val="00FD30FC"/>
    <w:rsid w:val="00FD41B2"/>
    <w:rsid w:val="00FD5CF9"/>
    <w:rsid w:val="00FD78F5"/>
    <w:rsid w:val="00FE1306"/>
    <w:rsid w:val="00FE15AB"/>
    <w:rsid w:val="00FE1A5E"/>
    <w:rsid w:val="00FE52CC"/>
    <w:rsid w:val="00FE78D9"/>
    <w:rsid w:val="00FF2D43"/>
    <w:rsid w:val="00FF31E0"/>
    <w:rsid w:val="00FF574F"/>
    <w:rsid w:val="00FF5D11"/>
    <w:rsid w:val="00FF5E8E"/>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del/1935/2015/oj/?locale=LV" TargetMode="External"/><Relationship Id="rId18" Type="http://schemas.openxmlformats.org/officeDocument/2006/relationships/hyperlink" Target="https://www.eiopa.europa.eu/publications/guidelines-application-outwards-reinsurance_en" TargetMode="External"/><Relationship Id="rId3" Type="http://schemas.openxmlformats.org/officeDocument/2006/relationships/customXml" Target="../customXml/item3.xml"/><Relationship Id="rId21" Type="http://schemas.openxmlformats.org/officeDocument/2006/relationships/hyperlink" Target="http://www.bank.lv" TargetMode="External"/><Relationship Id="rId7" Type="http://schemas.openxmlformats.org/officeDocument/2006/relationships/settings" Target="settings.xml"/><Relationship Id="rId12" Type="http://schemas.openxmlformats.org/officeDocument/2006/relationships/hyperlink" Target="http://eur-lex.europa.eu/eli/reg_del/1935/2015/oj/?locale=LV" TargetMode="External"/><Relationship Id="rId17" Type="http://schemas.openxmlformats.org/officeDocument/2006/relationships/hyperlink" Target="https://www.eiopa.europa.eu/document/download/06dc7395-fb6e-47e4-9169-936546d8a7a0_lv?filename=Guidelines%20on%20ancillary%20own%20funds" TargetMode="External"/><Relationship Id="rId2" Type="http://schemas.openxmlformats.org/officeDocument/2006/relationships/customXml" Target="../customXml/item2.xml"/><Relationship Id="rId16" Type="http://schemas.openxmlformats.org/officeDocument/2006/relationships/hyperlink" Target="https://www.eiopa.europa.eu/publications/guidelines-group-solvency_en" TargetMode="External"/><Relationship Id="rId20" Type="http://schemas.openxmlformats.org/officeDocument/2006/relationships/hyperlink" Target="https://www.eiopa.europa.eu/publications/guidelines-undertaking-specific-parameters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ur-lex.europa.eu/eli/reg_del/1935/2015/oj/?locale=L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iopa.europa.eu/publications/guidelines-loss-absorbing-capacity-technical-provisions-and-deferred-taxes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_del/1935/2015/oj/?locale=L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13</Pages>
  <Words>15945</Words>
  <Characters>9090</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24986</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27</cp:revision>
  <cp:lastPrinted>2024-10-18T10:19:00Z</cp:lastPrinted>
  <dcterms:created xsi:type="dcterms:W3CDTF">2024-10-25T07:50:00Z</dcterms:created>
  <dcterms:modified xsi:type="dcterms:W3CDTF">2024-11-15T12:20:00Z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