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9D7F" w14:textId="2E4E110F" w:rsidR="004D7D20" w:rsidRPr="00361328" w:rsidRDefault="004D7D20" w:rsidP="00032B00">
      <w:pPr>
        <w:jc w:val="center"/>
        <w:rPr>
          <w:rFonts w:ascii="Times New Roman" w:hAnsi="Times New Roman" w:cs="Times New Roman"/>
          <w:b/>
          <w:bCs/>
          <w:sz w:val="24"/>
          <w:szCs w:val="24"/>
        </w:rPr>
      </w:pPr>
      <w:r w:rsidRPr="00361328">
        <w:rPr>
          <w:rFonts w:ascii="Times New Roman" w:hAnsi="Times New Roman" w:cs="Times New Roman"/>
          <w:b/>
          <w:bCs/>
          <w:sz w:val="24"/>
          <w:szCs w:val="24"/>
        </w:rPr>
        <w:t>Latvijas Bankas noteikumu projek</w:t>
      </w:r>
      <w:r w:rsidR="009A04D5" w:rsidRPr="00361328">
        <w:rPr>
          <w:rFonts w:ascii="Times New Roman" w:hAnsi="Times New Roman" w:cs="Times New Roman"/>
          <w:b/>
          <w:bCs/>
          <w:sz w:val="24"/>
          <w:szCs w:val="24"/>
        </w:rPr>
        <w:t>ta</w:t>
      </w:r>
      <w:r w:rsidRPr="00361328">
        <w:rPr>
          <w:rFonts w:ascii="Times New Roman" w:hAnsi="Times New Roman" w:cs="Times New Roman"/>
          <w:b/>
          <w:bCs/>
          <w:sz w:val="24"/>
          <w:szCs w:val="24"/>
        </w:rPr>
        <w:t xml:space="preserve"> "</w:t>
      </w:r>
      <w:r w:rsidR="00A85CF9" w:rsidRPr="00361328">
        <w:rPr>
          <w:rFonts w:ascii="Times New Roman" w:hAnsi="Times New Roman" w:cs="Times New Roman"/>
          <w:b/>
          <w:bCs/>
          <w:sz w:val="24"/>
          <w:szCs w:val="24"/>
        </w:rPr>
        <w:t>Centrālo vērtspapīru depozitāriju uzraudzības pārskatu noteikumi</w:t>
      </w:r>
      <w:r w:rsidRPr="00361328">
        <w:rPr>
          <w:rFonts w:ascii="Times New Roman" w:hAnsi="Times New Roman" w:cs="Times New Roman"/>
          <w:b/>
          <w:bCs/>
          <w:sz w:val="24"/>
          <w:szCs w:val="24"/>
        </w:rPr>
        <w:t>"</w:t>
      </w:r>
      <w:r w:rsidR="009A04D5" w:rsidRPr="00361328">
        <w:rPr>
          <w:rFonts w:ascii="Times New Roman" w:hAnsi="Times New Roman" w:cs="Times New Roman"/>
          <w:b/>
          <w:bCs/>
          <w:sz w:val="24"/>
          <w:szCs w:val="24"/>
        </w:rPr>
        <w:t xml:space="preserve"> anotācija</w:t>
      </w:r>
    </w:p>
    <w:tbl>
      <w:tblPr>
        <w:tblStyle w:val="TableGrid"/>
        <w:tblW w:w="8359" w:type="dxa"/>
        <w:tblLook w:val="04A0" w:firstRow="1" w:lastRow="0" w:firstColumn="1" w:lastColumn="0" w:noHBand="0" w:noVBand="1"/>
      </w:tblPr>
      <w:tblGrid>
        <w:gridCol w:w="2547"/>
        <w:gridCol w:w="5812"/>
      </w:tblGrid>
      <w:tr w:rsidR="00774CC3" w:rsidRPr="00361328" w14:paraId="2AC98F6A" w14:textId="77777777" w:rsidTr="004D7D20">
        <w:tc>
          <w:tcPr>
            <w:tcW w:w="2547" w:type="dxa"/>
          </w:tcPr>
          <w:p w14:paraId="68548ECA" w14:textId="5D13C2FE" w:rsidR="004D7D20" w:rsidRPr="00361328" w:rsidRDefault="004D7D20" w:rsidP="00CB2ED4">
            <w:pPr>
              <w:jc w:val="both"/>
              <w:rPr>
                <w:rFonts w:ascii="Times New Roman" w:hAnsi="Times New Roman" w:cs="Times New Roman"/>
                <w:b/>
                <w:bCs/>
                <w:sz w:val="24"/>
                <w:szCs w:val="24"/>
              </w:rPr>
            </w:pPr>
            <w:r w:rsidRPr="00361328">
              <w:rPr>
                <w:rFonts w:ascii="Times New Roman" w:hAnsi="Times New Roman" w:cs="Times New Roman"/>
                <w:b/>
                <w:bCs/>
                <w:sz w:val="24"/>
                <w:szCs w:val="24"/>
              </w:rPr>
              <w:t>Nosaukums</w:t>
            </w:r>
          </w:p>
        </w:tc>
        <w:tc>
          <w:tcPr>
            <w:tcW w:w="5812" w:type="dxa"/>
          </w:tcPr>
          <w:p w14:paraId="0EF6BD51" w14:textId="2089D10E" w:rsidR="004D7D20" w:rsidRPr="00361328" w:rsidRDefault="00012538" w:rsidP="00CB2ED4">
            <w:pPr>
              <w:jc w:val="both"/>
              <w:rPr>
                <w:rFonts w:ascii="Times New Roman" w:hAnsi="Times New Roman" w:cs="Times New Roman"/>
                <w:sz w:val="24"/>
                <w:szCs w:val="24"/>
              </w:rPr>
            </w:pPr>
            <w:r w:rsidRPr="00361328">
              <w:rPr>
                <w:rFonts w:ascii="Times New Roman" w:hAnsi="Times New Roman" w:cs="Times New Roman"/>
                <w:sz w:val="24"/>
                <w:szCs w:val="24"/>
              </w:rPr>
              <w:t>Centrālo vērtspapīru depozitāriju uzraudzības pārskatu noteikumi</w:t>
            </w:r>
          </w:p>
        </w:tc>
      </w:tr>
      <w:tr w:rsidR="00774CC3" w:rsidRPr="00361328" w14:paraId="02230D17" w14:textId="77777777" w:rsidTr="004D7D20">
        <w:tc>
          <w:tcPr>
            <w:tcW w:w="2547" w:type="dxa"/>
          </w:tcPr>
          <w:p w14:paraId="118F97D3" w14:textId="47F841DE" w:rsidR="004D7D20" w:rsidRPr="00361328" w:rsidRDefault="004D7D20" w:rsidP="00CB2ED4">
            <w:pPr>
              <w:jc w:val="both"/>
              <w:rPr>
                <w:rFonts w:ascii="Times New Roman" w:hAnsi="Times New Roman" w:cs="Times New Roman"/>
                <w:b/>
                <w:bCs/>
                <w:sz w:val="24"/>
                <w:szCs w:val="24"/>
              </w:rPr>
            </w:pPr>
            <w:r w:rsidRPr="00361328">
              <w:rPr>
                <w:rFonts w:ascii="Times New Roman" w:hAnsi="Times New Roman" w:cs="Times New Roman"/>
                <w:b/>
                <w:bCs/>
                <w:sz w:val="24"/>
                <w:szCs w:val="24"/>
              </w:rPr>
              <w:t>Dokumenta veids</w:t>
            </w:r>
          </w:p>
        </w:tc>
        <w:tc>
          <w:tcPr>
            <w:tcW w:w="5812" w:type="dxa"/>
          </w:tcPr>
          <w:p w14:paraId="4CC0239D" w14:textId="2AE89EEC" w:rsidR="004D7D20" w:rsidRPr="00361328" w:rsidRDefault="00952874" w:rsidP="00CB2ED4">
            <w:pPr>
              <w:jc w:val="both"/>
              <w:rPr>
                <w:rFonts w:ascii="Times New Roman" w:hAnsi="Times New Roman" w:cs="Times New Roman"/>
                <w:sz w:val="24"/>
                <w:szCs w:val="24"/>
              </w:rPr>
            </w:pPr>
            <w:r w:rsidRPr="00361328">
              <w:rPr>
                <w:rFonts w:ascii="Times New Roman" w:hAnsi="Times New Roman" w:cs="Times New Roman"/>
                <w:sz w:val="24"/>
                <w:szCs w:val="24"/>
              </w:rPr>
              <w:t>Latvijas Bankas noteikumi</w:t>
            </w:r>
          </w:p>
        </w:tc>
      </w:tr>
      <w:tr w:rsidR="00774CC3" w:rsidRPr="00361328" w14:paraId="1E36ACC8" w14:textId="77777777" w:rsidTr="004D7D20">
        <w:tc>
          <w:tcPr>
            <w:tcW w:w="2547" w:type="dxa"/>
          </w:tcPr>
          <w:p w14:paraId="15B9D0AC" w14:textId="0E1110C9" w:rsidR="00822148" w:rsidRPr="00361328" w:rsidRDefault="004D7D20" w:rsidP="00CB2ED4">
            <w:pPr>
              <w:jc w:val="both"/>
              <w:rPr>
                <w:rFonts w:ascii="Times New Roman" w:hAnsi="Times New Roman" w:cs="Times New Roman"/>
                <w:b/>
                <w:bCs/>
                <w:sz w:val="24"/>
                <w:szCs w:val="24"/>
              </w:rPr>
            </w:pPr>
            <w:r w:rsidRPr="00361328">
              <w:rPr>
                <w:rFonts w:ascii="Times New Roman" w:hAnsi="Times New Roman" w:cs="Times New Roman"/>
                <w:b/>
                <w:bCs/>
                <w:sz w:val="24"/>
                <w:szCs w:val="24"/>
              </w:rPr>
              <w:t>Izdošanas pamatojums</w:t>
            </w:r>
          </w:p>
        </w:tc>
        <w:tc>
          <w:tcPr>
            <w:tcW w:w="5812" w:type="dxa"/>
          </w:tcPr>
          <w:p w14:paraId="14871B80" w14:textId="6225DB94" w:rsidR="00AF3B0F" w:rsidRPr="00361328" w:rsidRDefault="00012538" w:rsidP="00012538">
            <w:pPr>
              <w:jc w:val="both"/>
              <w:rPr>
                <w:rFonts w:ascii="Times New Roman" w:hAnsi="Times New Roman" w:cs="Times New Roman"/>
                <w:sz w:val="24"/>
                <w:szCs w:val="24"/>
              </w:rPr>
            </w:pPr>
            <w:r w:rsidRPr="00361328">
              <w:rPr>
                <w:rFonts w:ascii="Times New Roman" w:hAnsi="Times New Roman" w:cs="Times New Roman"/>
                <w:sz w:val="24"/>
                <w:szCs w:val="24"/>
              </w:rPr>
              <w:t>Finanšu instrumentu tirgus likuma 100.</w:t>
            </w:r>
            <w:r w:rsidRPr="00361328">
              <w:rPr>
                <w:rFonts w:ascii="Times New Roman" w:hAnsi="Times New Roman" w:cs="Times New Roman"/>
                <w:sz w:val="24"/>
                <w:szCs w:val="24"/>
                <w:vertAlign w:val="superscript"/>
              </w:rPr>
              <w:t>4 </w:t>
            </w:r>
            <w:r w:rsidRPr="00361328">
              <w:rPr>
                <w:rFonts w:ascii="Times New Roman" w:hAnsi="Times New Roman" w:cs="Times New Roman"/>
                <w:sz w:val="24"/>
                <w:szCs w:val="24"/>
              </w:rPr>
              <w:t>panta pirmās daļas 5. punkt</w:t>
            </w:r>
            <w:r w:rsidR="00841948" w:rsidRPr="00361328">
              <w:rPr>
                <w:rFonts w:ascii="Times New Roman" w:hAnsi="Times New Roman" w:cs="Times New Roman"/>
                <w:sz w:val="24"/>
                <w:szCs w:val="24"/>
              </w:rPr>
              <w:t>s</w:t>
            </w:r>
          </w:p>
        </w:tc>
      </w:tr>
      <w:tr w:rsidR="00774CC3" w:rsidRPr="00361328" w14:paraId="46DB522F" w14:textId="77777777" w:rsidTr="004D7D20">
        <w:tc>
          <w:tcPr>
            <w:tcW w:w="2547" w:type="dxa"/>
          </w:tcPr>
          <w:p w14:paraId="2B8F0582" w14:textId="4EB608CD" w:rsidR="00957CFE" w:rsidRPr="00361328" w:rsidRDefault="009E6A95" w:rsidP="00957CFE">
            <w:pPr>
              <w:jc w:val="both"/>
              <w:rPr>
                <w:rFonts w:ascii="Times New Roman" w:hAnsi="Times New Roman" w:cs="Times New Roman"/>
                <w:b/>
                <w:bCs/>
                <w:sz w:val="24"/>
                <w:szCs w:val="24"/>
              </w:rPr>
            </w:pPr>
            <w:r w:rsidRPr="00361328">
              <w:rPr>
                <w:rFonts w:ascii="Times New Roman" w:hAnsi="Times New Roman" w:cs="Times New Roman"/>
                <w:b/>
                <w:bCs/>
                <w:sz w:val="24"/>
                <w:szCs w:val="24"/>
              </w:rPr>
              <w:t>Mērķis un būtība</w:t>
            </w:r>
          </w:p>
        </w:tc>
        <w:tc>
          <w:tcPr>
            <w:tcW w:w="5812" w:type="dxa"/>
          </w:tcPr>
          <w:p w14:paraId="313680A2" w14:textId="2EAB9236" w:rsidR="009A04D5" w:rsidRPr="00361328" w:rsidRDefault="009A04D5" w:rsidP="009A04D5">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 xml:space="preserve">Saskaņā ar Latvijas Bankas likuma pārejas noteikumu 3. punktu Latvijas Bankas un Finanšu un kapitāla tirgus komisijas līdz </w:t>
            </w:r>
            <w:r w:rsidR="00EE7E22" w:rsidRPr="00361328">
              <w:rPr>
                <w:rFonts w:ascii="Times New Roman" w:eastAsia="Times New Roman" w:hAnsi="Times New Roman" w:cs="Times New Roman"/>
                <w:sz w:val="24"/>
                <w:szCs w:val="24"/>
                <w:lang w:eastAsia="lv-LV"/>
              </w:rPr>
              <w:t xml:space="preserve">Latvijas Bankas </w:t>
            </w:r>
            <w:r w:rsidRPr="00361328">
              <w:rPr>
                <w:rFonts w:ascii="Times New Roman" w:eastAsia="Times New Roman" w:hAnsi="Times New Roman" w:cs="Times New Roman"/>
                <w:sz w:val="24"/>
                <w:szCs w:val="24"/>
                <w:lang w:eastAsia="lv-LV"/>
              </w:rPr>
              <w:t>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76B2BFEA" w14:textId="77777777" w:rsidR="00943EA8" w:rsidRPr="00361328" w:rsidRDefault="00943EA8" w:rsidP="009A04D5">
            <w:pPr>
              <w:jc w:val="both"/>
              <w:rPr>
                <w:rFonts w:ascii="Times New Roman" w:eastAsia="Times New Roman" w:hAnsi="Times New Roman" w:cs="Times New Roman"/>
                <w:sz w:val="24"/>
                <w:szCs w:val="24"/>
                <w:lang w:eastAsia="lv-LV"/>
              </w:rPr>
            </w:pPr>
          </w:p>
          <w:p w14:paraId="1A92CFC6" w14:textId="23156C8B" w:rsidR="008511D1" w:rsidRPr="00361328" w:rsidRDefault="009A04D5" w:rsidP="009A04D5">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 xml:space="preserve">Ņemot vērā minēto, Latvijas Banka ir izstrādājusi noteikumu projektu </w:t>
            </w:r>
            <w:r w:rsidR="00012538" w:rsidRPr="00361328">
              <w:rPr>
                <w:rFonts w:ascii="Times New Roman" w:hAnsi="Times New Roman" w:cs="Times New Roman"/>
                <w:sz w:val="24"/>
                <w:szCs w:val="24"/>
              </w:rPr>
              <w:t>"Centrālo vērtspapīru depozitāriju uzraudzības pārskatu noteikumi"</w:t>
            </w:r>
            <w:r w:rsidRPr="00361328">
              <w:rPr>
                <w:rFonts w:ascii="Times New Roman" w:eastAsia="Times New Roman" w:hAnsi="Times New Roman" w:cs="Times New Roman"/>
                <w:sz w:val="24"/>
                <w:szCs w:val="24"/>
                <w:lang w:eastAsia="lv-LV"/>
              </w:rPr>
              <w:t xml:space="preserve"> (turpmāk – </w:t>
            </w:r>
            <w:r w:rsidR="000B6CE1" w:rsidRPr="00361328">
              <w:rPr>
                <w:rFonts w:ascii="Times New Roman" w:eastAsia="Times New Roman" w:hAnsi="Times New Roman" w:cs="Times New Roman"/>
                <w:sz w:val="24"/>
                <w:szCs w:val="24"/>
                <w:lang w:eastAsia="lv-LV"/>
              </w:rPr>
              <w:t>N</w:t>
            </w:r>
            <w:r w:rsidRPr="00361328">
              <w:rPr>
                <w:rFonts w:ascii="Times New Roman" w:eastAsia="Times New Roman" w:hAnsi="Times New Roman" w:cs="Times New Roman"/>
                <w:sz w:val="24"/>
                <w:szCs w:val="24"/>
                <w:lang w:eastAsia="lv-LV"/>
              </w:rPr>
              <w:t xml:space="preserve">oteikumu projekts), kas aizstās </w:t>
            </w:r>
            <w:r w:rsidR="00012538" w:rsidRPr="00361328">
              <w:rPr>
                <w:rFonts w:ascii="Times New Roman" w:eastAsia="Times New Roman" w:hAnsi="Times New Roman" w:cs="Times New Roman"/>
                <w:sz w:val="24"/>
                <w:szCs w:val="24"/>
                <w:lang w:eastAsia="lv-LV"/>
              </w:rPr>
              <w:t>Finanšu un kapitāla tirgus komisijas 2021. gada 21. decembra normatīvos noteikumus Nr. 168 "Centrālo vērtspapīru depozitāriju uzraudzības pārskatu sagatavošanas un iesniegšanas normatīvie noteikumi"</w:t>
            </w:r>
            <w:r w:rsidR="00DA25D5" w:rsidRPr="00361328">
              <w:rPr>
                <w:rFonts w:ascii="Times New Roman" w:eastAsia="Times New Roman" w:hAnsi="Times New Roman" w:cs="Times New Roman"/>
                <w:sz w:val="24"/>
                <w:szCs w:val="24"/>
                <w:lang w:eastAsia="lv-LV"/>
              </w:rPr>
              <w:t xml:space="preserve"> (turpmāk –</w:t>
            </w:r>
            <w:r w:rsidR="00951972" w:rsidRPr="00361328">
              <w:rPr>
                <w:rFonts w:ascii="Times New Roman" w:eastAsia="Times New Roman" w:hAnsi="Times New Roman" w:cs="Times New Roman"/>
                <w:sz w:val="24"/>
                <w:szCs w:val="24"/>
                <w:lang w:eastAsia="lv-LV"/>
              </w:rPr>
              <w:t xml:space="preserve"> </w:t>
            </w:r>
            <w:r w:rsidR="00DA25D5" w:rsidRPr="00361328">
              <w:rPr>
                <w:rFonts w:ascii="Times New Roman" w:eastAsia="Times New Roman" w:hAnsi="Times New Roman" w:cs="Times New Roman"/>
                <w:sz w:val="24"/>
                <w:szCs w:val="24"/>
                <w:lang w:eastAsia="lv-LV"/>
              </w:rPr>
              <w:t>Noteikumi Nr. 168)</w:t>
            </w:r>
            <w:r w:rsidR="00012538" w:rsidRPr="00361328">
              <w:rPr>
                <w:rFonts w:ascii="Times New Roman" w:eastAsia="Times New Roman" w:hAnsi="Times New Roman" w:cs="Times New Roman"/>
                <w:sz w:val="24"/>
                <w:szCs w:val="24"/>
                <w:lang w:eastAsia="lv-LV"/>
              </w:rPr>
              <w:t>.</w:t>
            </w:r>
            <w:r w:rsidR="00096344" w:rsidRPr="00361328">
              <w:rPr>
                <w:rFonts w:ascii="Times New Roman" w:eastAsia="Times New Roman" w:hAnsi="Times New Roman" w:cs="Times New Roman"/>
                <w:sz w:val="24"/>
                <w:szCs w:val="24"/>
                <w:lang w:eastAsia="lv-LV"/>
              </w:rPr>
              <w:t xml:space="preserve"> </w:t>
            </w:r>
            <w:r w:rsidR="00096344" w:rsidRPr="00361328">
              <w:rPr>
                <w:rFonts w:ascii="Times New Roman" w:hAnsi="Times New Roman" w:cs="Times New Roman"/>
                <w:sz w:val="24"/>
                <w:szCs w:val="24"/>
              </w:rPr>
              <w:t xml:space="preserve">Noteikumu projekts paredz saglabāt šobrīd spēkā esošo pārskatu tvērumu un </w:t>
            </w:r>
            <w:r w:rsidR="00372A50" w:rsidRPr="00361328">
              <w:rPr>
                <w:rFonts w:ascii="Times New Roman" w:hAnsi="Times New Roman" w:cs="Times New Roman"/>
                <w:sz w:val="24"/>
                <w:szCs w:val="24"/>
              </w:rPr>
              <w:t>iesniegšanas termiņus</w:t>
            </w:r>
            <w:r w:rsidR="00096344" w:rsidRPr="00361328">
              <w:rPr>
                <w:rFonts w:ascii="Times New Roman" w:hAnsi="Times New Roman" w:cs="Times New Roman"/>
                <w:sz w:val="24"/>
                <w:szCs w:val="24"/>
              </w:rPr>
              <w:t>.</w:t>
            </w:r>
          </w:p>
          <w:p w14:paraId="5840D302" w14:textId="77777777" w:rsidR="00943EA8" w:rsidRPr="00361328" w:rsidRDefault="00943EA8" w:rsidP="009A04D5">
            <w:pPr>
              <w:jc w:val="both"/>
              <w:rPr>
                <w:rFonts w:ascii="Times New Roman" w:eastAsia="Times New Roman" w:hAnsi="Times New Roman" w:cs="Times New Roman"/>
                <w:sz w:val="24"/>
                <w:szCs w:val="24"/>
                <w:lang w:eastAsia="lv-LV"/>
              </w:rPr>
            </w:pPr>
          </w:p>
          <w:p w14:paraId="20E9DF8E" w14:textId="7A58DE44" w:rsidR="00012538" w:rsidRPr="00361328" w:rsidRDefault="00012538" w:rsidP="009A04D5">
            <w:pPr>
              <w:jc w:val="both"/>
              <w:rPr>
                <w:rFonts w:ascii="Times New Roman" w:eastAsia="Times New Roman" w:hAnsi="Times New Roman" w:cs="Times New Roman"/>
                <w:sz w:val="24"/>
                <w:szCs w:val="24"/>
                <w:lang w:eastAsia="lv-LV"/>
              </w:rPr>
            </w:pPr>
            <w:r w:rsidRPr="00361328">
              <w:rPr>
                <w:rFonts w:ascii="Times New Roman" w:hAnsi="Times New Roman" w:cs="Times New Roman"/>
                <w:sz w:val="24"/>
                <w:szCs w:val="24"/>
              </w:rPr>
              <w:t>Finanšu instrumentu tirgus likuma 100.</w:t>
            </w:r>
            <w:r w:rsidRPr="00361328">
              <w:rPr>
                <w:rFonts w:ascii="Times New Roman" w:hAnsi="Times New Roman" w:cs="Times New Roman"/>
                <w:sz w:val="24"/>
                <w:szCs w:val="24"/>
                <w:vertAlign w:val="superscript"/>
              </w:rPr>
              <w:t>4 </w:t>
            </w:r>
            <w:r w:rsidRPr="00361328">
              <w:rPr>
                <w:rFonts w:ascii="Times New Roman" w:hAnsi="Times New Roman" w:cs="Times New Roman"/>
                <w:sz w:val="24"/>
                <w:szCs w:val="24"/>
              </w:rPr>
              <w:t xml:space="preserve">panta pirmās daļas 5. punkts ietver deleģējumu </w:t>
            </w:r>
            <w:r w:rsidRPr="00361328">
              <w:rPr>
                <w:rFonts w:ascii="Times New Roman" w:eastAsia="Times New Roman" w:hAnsi="Times New Roman" w:cs="Times New Roman"/>
                <w:sz w:val="24"/>
                <w:szCs w:val="24"/>
                <w:lang w:eastAsia="lv-LV"/>
              </w:rPr>
              <w:t>Latvijas Bankai uzraudzības funkciju veikšanai izdot noteikumus, kas nosaka informāciju, ko centrālais vērtspapīru depozitārijs sniedz Latvijas Bankai par tā sniegtajiem pakalpojumiem un tā darbību, tai skaitā pārskatus prudenciāl</w:t>
            </w:r>
            <w:r w:rsidR="0027279D" w:rsidRPr="00361328">
              <w:rPr>
                <w:rFonts w:ascii="Times New Roman" w:eastAsia="Times New Roman" w:hAnsi="Times New Roman" w:cs="Times New Roman"/>
                <w:sz w:val="24"/>
                <w:szCs w:val="24"/>
                <w:lang w:eastAsia="lv-LV"/>
              </w:rPr>
              <w:t>aj</w:t>
            </w:r>
            <w:r w:rsidRPr="00361328">
              <w:rPr>
                <w:rFonts w:ascii="Times New Roman" w:eastAsia="Times New Roman" w:hAnsi="Times New Roman" w:cs="Times New Roman"/>
                <w:sz w:val="24"/>
                <w:szCs w:val="24"/>
                <w:lang w:eastAsia="lv-LV"/>
              </w:rPr>
              <w:t>ai uzraudzībai, pārskatus par aktivitātēm finanšu instrumentu norēķinu sistēmās, kuras uztur centrālais vērtspapīru depozitārijs, kā arī šīs informācijas sniegšanas kārtību un termiņus.</w:t>
            </w:r>
          </w:p>
          <w:p w14:paraId="674516F1" w14:textId="77777777" w:rsidR="00012538" w:rsidRPr="00361328" w:rsidRDefault="00012538" w:rsidP="009A04D5">
            <w:pPr>
              <w:jc w:val="both"/>
              <w:rPr>
                <w:rFonts w:ascii="Times New Roman" w:eastAsia="Times New Roman" w:hAnsi="Times New Roman" w:cs="Times New Roman"/>
                <w:sz w:val="24"/>
                <w:szCs w:val="24"/>
                <w:lang w:eastAsia="lv-LV"/>
              </w:rPr>
            </w:pPr>
          </w:p>
          <w:p w14:paraId="344F7C4E" w14:textId="12EA9900" w:rsidR="00012538" w:rsidRPr="00361328" w:rsidRDefault="00012538" w:rsidP="00012538">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 xml:space="preserve">Noteikumu projekts ir saistošs Latvijas Republikā reģistrētiem </w:t>
            </w:r>
            <w:r w:rsidR="00005DD2" w:rsidRPr="00361328">
              <w:rPr>
                <w:rFonts w:ascii="Times New Roman" w:eastAsia="Times New Roman" w:hAnsi="Times New Roman" w:cs="Times New Roman"/>
                <w:sz w:val="24"/>
                <w:szCs w:val="24"/>
                <w:lang w:eastAsia="lv-LV"/>
              </w:rPr>
              <w:t>centrālajiem vērtspapīru depozitārijiem</w:t>
            </w:r>
            <w:r w:rsidRPr="00361328">
              <w:rPr>
                <w:rFonts w:ascii="Times New Roman" w:eastAsia="Times New Roman" w:hAnsi="Times New Roman" w:cs="Times New Roman"/>
                <w:sz w:val="24"/>
                <w:szCs w:val="24"/>
                <w:lang w:eastAsia="lv-LV"/>
              </w:rPr>
              <w:t xml:space="preserve">, kuri </w:t>
            </w:r>
            <w:r w:rsidR="0077089C" w:rsidRPr="00361328">
              <w:rPr>
                <w:rFonts w:ascii="Times New Roman" w:eastAsia="Times New Roman" w:hAnsi="Times New Roman" w:cs="Times New Roman"/>
                <w:sz w:val="24"/>
                <w:szCs w:val="24"/>
                <w:lang w:eastAsia="lv-LV"/>
              </w:rPr>
              <w:t>nesniedz banku tipa papildpakalpojumus, kas norādīti</w:t>
            </w:r>
            <w:r w:rsidRPr="00361328">
              <w:rPr>
                <w:rFonts w:ascii="Times New Roman" w:eastAsia="Times New Roman" w:hAnsi="Times New Roman" w:cs="Times New Roman"/>
                <w:sz w:val="24"/>
                <w:szCs w:val="24"/>
                <w:lang w:eastAsia="lv-LV"/>
              </w:rPr>
              <w:t xml:space="preserve"> Eiropas Parlamenta un Padomes </w:t>
            </w:r>
            <w:r w:rsidR="00005DD2" w:rsidRPr="00361328">
              <w:rPr>
                <w:rFonts w:ascii="Times New Roman" w:eastAsia="Times New Roman" w:hAnsi="Times New Roman" w:cs="Times New Roman"/>
                <w:sz w:val="24"/>
                <w:szCs w:val="24"/>
                <w:lang w:eastAsia="lv-LV"/>
              </w:rPr>
              <w:t>2014. gada 23. jūlij</w:t>
            </w:r>
            <w:r w:rsidR="00096344" w:rsidRPr="00361328">
              <w:rPr>
                <w:rFonts w:ascii="Times New Roman" w:eastAsia="Times New Roman" w:hAnsi="Times New Roman" w:cs="Times New Roman"/>
                <w:sz w:val="24"/>
                <w:szCs w:val="24"/>
                <w:lang w:eastAsia="lv-LV"/>
              </w:rPr>
              <w:t>a</w:t>
            </w:r>
            <w:r w:rsidR="00005DD2" w:rsidRPr="00361328">
              <w:rPr>
                <w:rFonts w:ascii="Times New Roman" w:eastAsia="Times New Roman" w:hAnsi="Times New Roman" w:cs="Times New Roman"/>
                <w:sz w:val="24"/>
                <w:szCs w:val="24"/>
                <w:lang w:eastAsia="lv-LV"/>
              </w:rPr>
              <w:t xml:space="preserve"> regul</w:t>
            </w:r>
            <w:r w:rsidR="0077089C" w:rsidRPr="00361328">
              <w:rPr>
                <w:rFonts w:ascii="Times New Roman" w:eastAsia="Times New Roman" w:hAnsi="Times New Roman" w:cs="Times New Roman"/>
                <w:sz w:val="24"/>
                <w:szCs w:val="24"/>
                <w:lang w:eastAsia="lv-LV"/>
              </w:rPr>
              <w:t>as</w:t>
            </w:r>
            <w:r w:rsidR="00005DD2" w:rsidRPr="00361328">
              <w:rPr>
                <w:rFonts w:ascii="Times New Roman" w:eastAsia="Times New Roman" w:hAnsi="Times New Roman" w:cs="Times New Roman"/>
                <w:sz w:val="24"/>
                <w:szCs w:val="24"/>
                <w:lang w:eastAsia="lv-LV"/>
              </w:rPr>
              <w:t xml:space="preserve"> </w:t>
            </w:r>
            <w:r w:rsidRPr="00361328">
              <w:rPr>
                <w:rFonts w:ascii="Times New Roman" w:eastAsia="Times New Roman" w:hAnsi="Times New Roman" w:cs="Times New Roman"/>
                <w:sz w:val="24"/>
                <w:szCs w:val="24"/>
                <w:lang w:eastAsia="lv-LV"/>
              </w:rPr>
              <w:t>(ES) Nr.</w:t>
            </w:r>
            <w:r w:rsidR="00005DD2" w:rsidRPr="00361328">
              <w:rPr>
                <w:rFonts w:ascii="Times New Roman" w:eastAsia="Times New Roman" w:hAnsi="Times New Roman" w:cs="Times New Roman"/>
                <w:sz w:val="24"/>
                <w:szCs w:val="24"/>
                <w:lang w:eastAsia="lv-LV"/>
              </w:rPr>
              <w:t> </w:t>
            </w:r>
            <w:r w:rsidRPr="00361328">
              <w:rPr>
                <w:rFonts w:ascii="Times New Roman" w:eastAsia="Times New Roman" w:hAnsi="Times New Roman" w:cs="Times New Roman"/>
                <w:sz w:val="24"/>
                <w:szCs w:val="24"/>
                <w:lang w:eastAsia="lv-LV"/>
              </w:rPr>
              <w:t xml:space="preserve">909/2014 par vērtspapīru norēķinu uzlabošanu Eiropas Savienībā, centrālajiem vērtspapīru depozitārijiem un grozījumiem </w:t>
            </w:r>
            <w:r w:rsidR="00841948" w:rsidRPr="00361328">
              <w:rPr>
                <w:rFonts w:ascii="Times New Roman" w:eastAsia="Times New Roman" w:hAnsi="Times New Roman" w:cs="Times New Roman"/>
                <w:sz w:val="24"/>
                <w:szCs w:val="24"/>
                <w:lang w:eastAsia="lv-LV"/>
              </w:rPr>
              <w:t>d</w:t>
            </w:r>
            <w:r w:rsidRPr="00361328">
              <w:rPr>
                <w:rFonts w:ascii="Times New Roman" w:eastAsia="Times New Roman" w:hAnsi="Times New Roman" w:cs="Times New Roman"/>
                <w:sz w:val="24"/>
                <w:szCs w:val="24"/>
                <w:lang w:eastAsia="lv-LV"/>
              </w:rPr>
              <w:t xml:space="preserve">irektīvās 98/26/EK un 2014/65/ES un </w:t>
            </w:r>
            <w:r w:rsidR="00096344" w:rsidRPr="00361328">
              <w:rPr>
                <w:rFonts w:ascii="Times New Roman" w:eastAsia="Times New Roman" w:hAnsi="Times New Roman" w:cs="Times New Roman"/>
                <w:sz w:val="24"/>
                <w:szCs w:val="24"/>
                <w:lang w:eastAsia="lv-LV"/>
              </w:rPr>
              <w:t>r</w:t>
            </w:r>
            <w:r w:rsidRPr="00361328">
              <w:rPr>
                <w:rFonts w:ascii="Times New Roman" w:eastAsia="Times New Roman" w:hAnsi="Times New Roman" w:cs="Times New Roman"/>
                <w:sz w:val="24"/>
                <w:szCs w:val="24"/>
                <w:lang w:eastAsia="lv-LV"/>
              </w:rPr>
              <w:t>egulā (ES) Nr.</w:t>
            </w:r>
            <w:r w:rsidR="00005DD2" w:rsidRPr="00361328">
              <w:rPr>
                <w:rFonts w:ascii="Times New Roman" w:eastAsia="Times New Roman" w:hAnsi="Times New Roman" w:cs="Times New Roman"/>
                <w:sz w:val="24"/>
                <w:szCs w:val="24"/>
                <w:lang w:eastAsia="lv-LV"/>
              </w:rPr>
              <w:t> </w:t>
            </w:r>
            <w:r w:rsidRPr="00361328">
              <w:rPr>
                <w:rFonts w:ascii="Times New Roman" w:eastAsia="Times New Roman" w:hAnsi="Times New Roman" w:cs="Times New Roman"/>
                <w:sz w:val="24"/>
                <w:szCs w:val="24"/>
                <w:lang w:eastAsia="lv-LV"/>
              </w:rPr>
              <w:t>236/2012 (turpmāk</w:t>
            </w:r>
            <w:r w:rsidR="00841948" w:rsidRPr="00361328">
              <w:rPr>
                <w:rFonts w:ascii="Times New Roman" w:eastAsia="Times New Roman" w:hAnsi="Times New Roman" w:cs="Times New Roman"/>
                <w:sz w:val="24"/>
                <w:szCs w:val="24"/>
                <w:lang w:eastAsia="lv-LV"/>
              </w:rPr>
              <w:t> </w:t>
            </w:r>
            <w:r w:rsidRPr="00361328">
              <w:rPr>
                <w:rFonts w:ascii="Times New Roman" w:eastAsia="Times New Roman" w:hAnsi="Times New Roman" w:cs="Times New Roman"/>
                <w:sz w:val="24"/>
                <w:szCs w:val="24"/>
                <w:lang w:eastAsia="lv-LV"/>
              </w:rPr>
              <w:t>– Regula</w:t>
            </w:r>
            <w:r w:rsidR="00841948" w:rsidRPr="00361328">
              <w:rPr>
                <w:rFonts w:ascii="Times New Roman" w:eastAsia="Times New Roman" w:hAnsi="Times New Roman" w:cs="Times New Roman"/>
                <w:sz w:val="24"/>
                <w:szCs w:val="24"/>
                <w:lang w:eastAsia="lv-LV"/>
              </w:rPr>
              <w:t xml:space="preserve"> </w:t>
            </w:r>
            <w:r w:rsidRPr="00361328">
              <w:rPr>
                <w:rFonts w:ascii="Times New Roman" w:eastAsia="Times New Roman" w:hAnsi="Times New Roman" w:cs="Times New Roman"/>
                <w:sz w:val="24"/>
                <w:szCs w:val="24"/>
                <w:lang w:eastAsia="lv-LV"/>
              </w:rPr>
              <w:t>Nr.</w:t>
            </w:r>
            <w:r w:rsidR="00005DD2" w:rsidRPr="00361328">
              <w:rPr>
                <w:rFonts w:ascii="Times New Roman" w:eastAsia="Times New Roman" w:hAnsi="Times New Roman" w:cs="Times New Roman"/>
                <w:sz w:val="24"/>
                <w:szCs w:val="24"/>
                <w:lang w:eastAsia="lv-LV"/>
              </w:rPr>
              <w:t> </w:t>
            </w:r>
            <w:r w:rsidRPr="00361328">
              <w:rPr>
                <w:rFonts w:ascii="Times New Roman" w:eastAsia="Times New Roman" w:hAnsi="Times New Roman" w:cs="Times New Roman"/>
                <w:sz w:val="24"/>
                <w:szCs w:val="24"/>
                <w:lang w:eastAsia="lv-LV"/>
              </w:rPr>
              <w:t>909/2014) pielikuma C</w:t>
            </w:r>
            <w:r w:rsidR="00841948" w:rsidRPr="00361328">
              <w:rPr>
                <w:rFonts w:ascii="Times New Roman" w:eastAsia="Times New Roman" w:hAnsi="Times New Roman" w:cs="Times New Roman"/>
                <w:sz w:val="24"/>
                <w:szCs w:val="24"/>
                <w:lang w:eastAsia="lv-LV"/>
              </w:rPr>
              <w:t> </w:t>
            </w:r>
            <w:r w:rsidRPr="00361328">
              <w:rPr>
                <w:rFonts w:ascii="Times New Roman" w:eastAsia="Times New Roman" w:hAnsi="Times New Roman" w:cs="Times New Roman"/>
                <w:sz w:val="24"/>
                <w:szCs w:val="24"/>
                <w:lang w:eastAsia="lv-LV"/>
              </w:rPr>
              <w:t>iedaļā</w:t>
            </w:r>
            <w:r w:rsidR="006F4924" w:rsidRPr="00361328">
              <w:rPr>
                <w:rFonts w:ascii="Times New Roman" w:eastAsia="Times New Roman" w:hAnsi="Times New Roman" w:cs="Times New Roman"/>
                <w:sz w:val="24"/>
                <w:szCs w:val="24"/>
                <w:lang w:eastAsia="lv-LV"/>
              </w:rPr>
              <w:t xml:space="preserve"> "Banku tipa papildpakalpojumi"</w:t>
            </w:r>
            <w:r w:rsidRPr="00361328">
              <w:rPr>
                <w:rFonts w:ascii="Times New Roman" w:eastAsia="Times New Roman" w:hAnsi="Times New Roman" w:cs="Times New Roman"/>
                <w:sz w:val="24"/>
                <w:szCs w:val="24"/>
                <w:lang w:eastAsia="lv-LV"/>
              </w:rPr>
              <w:t>.</w:t>
            </w:r>
            <w:r w:rsidR="00B30EFC" w:rsidRPr="00361328">
              <w:rPr>
                <w:rFonts w:ascii="Times New Roman" w:eastAsia="Times New Roman" w:hAnsi="Times New Roman" w:cs="Times New Roman"/>
                <w:sz w:val="24"/>
                <w:szCs w:val="24"/>
                <w:lang w:eastAsia="lv-LV"/>
              </w:rPr>
              <w:t xml:space="preserve"> Latvijā ir viens šāds tirgus dalībnieks</w:t>
            </w:r>
            <w:r w:rsidR="00841948" w:rsidRPr="00361328">
              <w:rPr>
                <w:rFonts w:ascii="Times New Roman" w:eastAsia="Times New Roman" w:hAnsi="Times New Roman" w:cs="Times New Roman"/>
                <w:sz w:val="24"/>
                <w:szCs w:val="24"/>
                <w:lang w:eastAsia="lv-LV"/>
              </w:rPr>
              <w:t> </w:t>
            </w:r>
            <w:r w:rsidR="00B30EFC" w:rsidRPr="00361328">
              <w:rPr>
                <w:rFonts w:ascii="Times New Roman" w:eastAsia="Times New Roman" w:hAnsi="Times New Roman" w:cs="Times New Roman"/>
                <w:sz w:val="24"/>
                <w:szCs w:val="24"/>
                <w:lang w:eastAsia="lv-LV"/>
              </w:rPr>
              <w:t>– Nasdaq CSD</w:t>
            </w:r>
            <w:r w:rsidR="00615091" w:rsidRPr="00361328">
              <w:rPr>
                <w:rFonts w:ascii="Times New Roman" w:eastAsia="Times New Roman" w:hAnsi="Times New Roman" w:cs="Times New Roman"/>
                <w:sz w:val="24"/>
                <w:szCs w:val="24"/>
                <w:lang w:eastAsia="lv-LV"/>
              </w:rPr>
              <w:t> </w:t>
            </w:r>
            <w:r w:rsidR="00B30EFC" w:rsidRPr="00361328">
              <w:rPr>
                <w:rFonts w:ascii="Times New Roman" w:eastAsia="Times New Roman" w:hAnsi="Times New Roman" w:cs="Times New Roman"/>
                <w:sz w:val="24"/>
                <w:szCs w:val="24"/>
                <w:lang w:eastAsia="lv-LV"/>
              </w:rPr>
              <w:t>SE.</w:t>
            </w:r>
          </w:p>
          <w:p w14:paraId="68607EA5" w14:textId="77777777" w:rsidR="00012538" w:rsidRPr="00361328" w:rsidRDefault="00012538" w:rsidP="00012538">
            <w:pPr>
              <w:jc w:val="both"/>
              <w:rPr>
                <w:rFonts w:ascii="Times New Roman" w:eastAsia="Times New Roman" w:hAnsi="Times New Roman" w:cs="Times New Roman"/>
                <w:sz w:val="24"/>
                <w:szCs w:val="24"/>
                <w:lang w:eastAsia="lv-LV"/>
              </w:rPr>
            </w:pPr>
          </w:p>
          <w:p w14:paraId="30F4E190" w14:textId="77777777" w:rsidR="00842C77" w:rsidRPr="00361328" w:rsidRDefault="00842C77" w:rsidP="00E0414D">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lastRenderedPageBreak/>
              <w:t xml:space="preserve">Centrālo vērtspapīru depozitāriju prudenciālā regulējuma ietvaru veido: </w:t>
            </w:r>
          </w:p>
          <w:p w14:paraId="6AF7DB1E" w14:textId="64001636" w:rsidR="00842C77" w:rsidRPr="00361328" w:rsidRDefault="00842C77" w:rsidP="00096344">
            <w:pPr>
              <w:pStyle w:val="ListParagraph"/>
              <w:numPr>
                <w:ilvl w:val="0"/>
                <w:numId w:val="7"/>
              </w:numPr>
              <w:tabs>
                <w:tab w:val="left" w:pos="376"/>
              </w:tabs>
              <w:ind w:left="40" w:firstLine="0"/>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Regula Nr. 909/2014</w:t>
            </w:r>
            <w:r w:rsidR="006A7F05" w:rsidRPr="00361328">
              <w:rPr>
                <w:rFonts w:ascii="Times New Roman" w:eastAsia="Times New Roman" w:hAnsi="Times New Roman" w:cs="Times New Roman"/>
                <w:sz w:val="24"/>
                <w:szCs w:val="24"/>
                <w:lang w:eastAsia="lv-LV"/>
              </w:rPr>
              <w:t>;</w:t>
            </w:r>
            <w:r w:rsidRPr="00361328">
              <w:rPr>
                <w:rFonts w:ascii="Times New Roman" w:eastAsia="Times New Roman" w:hAnsi="Times New Roman" w:cs="Times New Roman"/>
                <w:sz w:val="24"/>
                <w:szCs w:val="24"/>
                <w:lang w:eastAsia="lv-LV"/>
              </w:rPr>
              <w:t xml:space="preserve"> </w:t>
            </w:r>
          </w:p>
          <w:p w14:paraId="105895A3" w14:textId="40281C7C" w:rsidR="00842C77" w:rsidRPr="00361328" w:rsidRDefault="00842C77" w:rsidP="00096344">
            <w:pPr>
              <w:pStyle w:val="ListParagraph"/>
              <w:numPr>
                <w:ilvl w:val="0"/>
                <w:numId w:val="7"/>
              </w:numPr>
              <w:tabs>
                <w:tab w:val="left" w:pos="376"/>
              </w:tabs>
              <w:ind w:left="40" w:firstLine="0"/>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 xml:space="preserve">Komisijas 2016. gada 11. novembra deleģētā regula (ES) Nr. 2017/390, ar ko papildina Eiropas Parlamenta un Padomes </w:t>
            </w:r>
            <w:r w:rsidR="00841948" w:rsidRPr="00361328">
              <w:rPr>
                <w:rFonts w:ascii="Times New Roman" w:eastAsia="Times New Roman" w:hAnsi="Times New Roman" w:cs="Times New Roman"/>
                <w:sz w:val="24"/>
                <w:szCs w:val="24"/>
                <w:lang w:eastAsia="lv-LV"/>
              </w:rPr>
              <w:t>r</w:t>
            </w:r>
            <w:r w:rsidRPr="00361328">
              <w:rPr>
                <w:rFonts w:ascii="Times New Roman" w:eastAsia="Times New Roman" w:hAnsi="Times New Roman" w:cs="Times New Roman"/>
                <w:sz w:val="24"/>
                <w:szCs w:val="24"/>
                <w:lang w:eastAsia="lv-LV"/>
              </w:rPr>
              <w:t>egulu (ES) Nr. 909/2014 attiecībā uz regulatīvajiem tehniskajiem standartiem par konkrētām prudenciālajām prasībām centrālajiem vērtspapīru depozitārijiem un norīkotām kredītiestādēm, kas piedāvā banku tipa papildpakalpojumus (turpmāk</w:t>
            </w:r>
            <w:r w:rsidR="00841948" w:rsidRPr="00361328">
              <w:rPr>
                <w:rFonts w:ascii="Times New Roman" w:eastAsia="Times New Roman" w:hAnsi="Times New Roman" w:cs="Times New Roman"/>
                <w:sz w:val="24"/>
                <w:szCs w:val="24"/>
                <w:lang w:eastAsia="lv-LV"/>
              </w:rPr>
              <w:t> </w:t>
            </w:r>
            <w:r w:rsidRPr="00361328">
              <w:rPr>
                <w:rFonts w:ascii="Times New Roman" w:eastAsia="Times New Roman" w:hAnsi="Times New Roman" w:cs="Times New Roman"/>
                <w:sz w:val="24"/>
                <w:szCs w:val="24"/>
                <w:lang w:eastAsia="lv-LV"/>
              </w:rPr>
              <w:t>– Regula Nr. 2017/390).</w:t>
            </w:r>
          </w:p>
          <w:p w14:paraId="73B28824" w14:textId="77777777" w:rsidR="00842C77" w:rsidRPr="00361328" w:rsidRDefault="00842C77" w:rsidP="00842C77">
            <w:pPr>
              <w:jc w:val="both"/>
              <w:rPr>
                <w:rFonts w:ascii="Times New Roman" w:eastAsia="Times New Roman" w:hAnsi="Times New Roman" w:cs="Times New Roman"/>
                <w:sz w:val="24"/>
                <w:szCs w:val="24"/>
                <w:lang w:eastAsia="lv-LV"/>
              </w:rPr>
            </w:pPr>
          </w:p>
          <w:p w14:paraId="0A5BA19E" w14:textId="7260EEDB" w:rsidR="00752E86" w:rsidRPr="00361328" w:rsidRDefault="00842C77" w:rsidP="00012538">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 xml:space="preserve">Lai arī Regula Nr. 909/2014 un Regula Nr. 2017/390 </w:t>
            </w:r>
            <w:r w:rsidR="00E0414D" w:rsidRPr="00361328">
              <w:rPr>
                <w:rFonts w:ascii="Times New Roman" w:eastAsia="Times New Roman" w:hAnsi="Times New Roman" w:cs="Times New Roman"/>
                <w:sz w:val="24"/>
                <w:szCs w:val="24"/>
                <w:lang w:eastAsia="lv-LV"/>
              </w:rPr>
              <w:t>nosaka prudenciālās prasības, kuras centrālajam vērtspapīru depozitārijam</w:t>
            </w:r>
            <w:r w:rsidRPr="00361328">
              <w:rPr>
                <w:rFonts w:ascii="Times New Roman" w:eastAsia="Times New Roman" w:hAnsi="Times New Roman" w:cs="Times New Roman"/>
                <w:sz w:val="24"/>
                <w:szCs w:val="24"/>
                <w:lang w:eastAsia="lv-LV"/>
              </w:rPr>
              <w:t xml:space="preserve"> ir</w:t>
            </w:r>
            <w:r w:rsidR="00E0414D" w:rsidRPr="00361328">
              <w:rPr>
                <w:rFonts w:ascii="Times New Roman" w:eastAsia="Times New Roman" w:hAnsi="Times New Roman" w:cs="Times New Roman"/>
                <w:sz w:val="24"/>
                <w:szCs w:val="24"/>
                <w:lang w:eastAsia="lv-LV"/>
              </w:rPr>
              <w:t xml:space="preserve"> jāievēro, t</w:t>
            </w:r>
            <w:r w:rsidRPr="00361328">
              <w:rPr>
                <w:rFonts w:ascii="Times New Roman" w:eastAsia="Times New Roman" w:hAnsi="Times New Roman" w:cs="Times New Roman"/>
                <w:sz w:val="24"/>
                <w:szCs w:val="24"/>
                <w:lang w:eastAsia="lv-LV"/>
              </w:rPr>
              <w:t>ās</w:t>
            </w:r>
            <w:r w:rsidR="00E0414D" w:rsidRPr="00361328">
              <w:rPr>
                <w:rFonts w:ascii="Times New Roman" w:eastAsia="Times New Roman" w:hAnsi="Times New Roman" w:cs="Times New Roman"/>
                <w:sz w:val="24"/>
                <w:szCs w:val="24"/>
                <w:lang w:eastAsia="lv-LV"/>
              </w:rPr>
              <w:t xml:space="preserve"> nenosaka pārskatu formas, ar kuru palīdzību kompetentās iestādes var uzraudzīt noteikto prasību ievērošanu</w:t>
            </w:r>
            <w:r w:rsidRPr="00361328">
              <w:rPr>
                <w:rFonts w:ascii="Times New Roman" w:eastAsia="Times New Roman" w:hAnsi="Times New Roman" w:cs="Times New Roman"/>
                <w:sz w:val="24"/>
                <w:szCs w:val="24"/>
                <w:lang w:eastAsia="lv-LV"/>
              </w:rPr>
              <w:t xml:space="preserve">, </w:t>
            </w:r>
            <w:r w:rsidR="00012538" w:rsidRPr="00361328">
              <w:rPr>
                <w:rFonts w:ascii="Times New Roman" w:eastAsia="Times New Roman" w:hAnsi="Times New Roman" w:cs="Times New Roman"/>
                <w:sz w:val="24"/>
                <w:szCs w:val="24"/>
                <w:lang w:eastAsia="lv-LV"/>
              </w:rPr>
              <w:t xml:space="preserve">tāpēc tiek izstrādāti noteikumi, kuri paredz uzraudzībai nepieciešamo pārskatu formas, to sniegšanas kārtību un </w:t>
            </w:r>
            <w:r w:rsidR="006F4924" w:rsidRPr="00361328">
              <w:rPr>
                <w:rFonts w:ascii="Times New Roman" w:eastAsia="Times New Roman" w:hAnsi="Times New Roman" w:cs="Times New Roman"/>
                <w:sz w:val="24"/>
                <w:szCs w:val="24"/>
                <w:lang w:eastAsia="lv-LV"/>
              </w:rPr>
              <w:t>termiņus</w:t>
            </w:r>
            <w:r w:rsidR="00012538" w:rsidRPr="00361328">
              <w:rPr>
                <w:rFonts w:ascii="Times New Roman" w:eastAsia="Times New Roman" w:hAnsi="Times New Roman" w:cs="Times New Roman"/>
                <w:sz w:val="24"/>
                <w:szCs w:val="24"/>
                <w:lang w:eastAsia="lv-LV"/>
              </w:rPr>
              <w:t>.</w:t>
            </w:r>
          </w:p>
          <w:p w14:paraId="32804237" w14:textId="77777777" w:rsidR="00842C77" w:rsidRPr="00361328" w:rsidRDefault="00842C77" w:rsidP="00842C77">
            <w:pPr>
              <w:jc w:val="both"/>
              <w:rPr>
                <w:rFonts w:ascii="Times New Roman" w:eastAsia="Times New Roman" w:hAnsi="Times New Roman" w:cs="Times New Roman"/>
                <w:sz w:val="24"/>
                <w:szCs w:val="24"/>
                <w:lang w:eastAsia="lv-LV"/>
              </w:rPr>
            </w:pPr>
          </w:p>
          <w:p w14:paraId="58C95B27" w14:textId="76E5C6B5" w:rsidR="00842C77" w:rsidRPr="00361328" w:rsidRDefault="00842C77" w:rsidP="00842C77">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 xml:space="preserve">Saskaņā ar Noteikumu projektu </w:t>
            </w:r>
            <w:r w:rsidR="00A85CF9" w:rsidRPr="00361328">
              <w:rPr>
                <w:rFonts w:ascii="Times New Roman" w:eastAsia="Times New Roman" w:hAnsi="Times New Roman" w:cs="Times New Roman"/>
                <w:sz w:val="24"/>
                <w:szCs w:val="24"/>
                <w:lang w:eastAsia="lv-LV"/>
              </w:rPr>
              <w:t>centrālais vērtspapīru depozitārijs iesniedz</w:t>
            </w:r>
            <w:r w:rsidRPr="00361328">
              <w:rPr>
                <w:rFonts w:ascii="Times New Roman" w:eastAsia="Times New Roman" w:hAnsi="Times New Roman" w:cs="Times New Roman"/>
                <w:sz w:val="24"/>
                <w:szCs w:val="24"/>
                <w:lang w:eastAsia="lv-LV"/>
              </w:rPr>
              <w:t xml:space="preserve"> </w:t>
            </w:r>
            <w:r w:rsidR="00A85CF9" w:rsidRPr="00361328">
              <w:rPr>
                <w:rFonts w:ascii="Times New Roman" w:eastAsia="Times New Roman" w:hAnsi="Times New Roman" w:cs="Times New Roman"/>
                <w:sz w:val="24"/>
                <w:szCs w:val="24"/>
                <w:lang w:eastAsia="lv-LV"/>
              </w:rPr>
              <w:t>Komisijas 2020.</w:t>
            </w:r>
            <w:r w:rsidR="009C1B37" w:rsidRPr="00361328">
              <w:rPr>
                <w:rFonts w:ascii="Times New Roman" w:eastAsia="Times New Roman" w:hAnsi="Times New Roman" w:cs="Times New Roman"/>
                <w:sz w:val="24"/>
                <w:szCs w:val="24"/>
                <w:lang w:eastAsia="lv-LV"/>
              </w:rPr>
              <w:t> </w:t>
            </w:r>
            <w:r w:rsidR="00A85CF9" w:rsidRPr="00361328">
              <w:rPr>
                <w:rFonts w:ascii="Times New Roman" w:eastAsia="Times New Roman" w:hAnsi="Times New Roman" w:cs="Times New Roman"/>
                <w:sz w:val="24"/>
                <w:szCs w:val="24"/>
                <w:lang w:eastAsia="lv-LV"/>
              </w:rPr>
              <w:t>gada 17.</w:t>
            </w:r>
            <w:r w:rsidR="009C1B37" w:rsidRPr="00361328">
              <w:rPr>
                <w:rFonts w:ascii="Times New Roman" w:eastAsia="Times New Roman" w:hAnsi="Times New Roman" w:cs="Times New Roman"/>
                <w:sz w:val="24"/>
                <w:szCs w:val="24"/>
                <w:lang w:eastAsia="lv-LV"/>
              </w:rPr>
              <w:t> </w:t>
            </w:r>
            <w:r w:rsidR="00A85CF9" w:rsidRPr="00361328">
              <w:rPr>
                <w:rFonts w:ascii="Times New Roman" w:eastAsia="Times New Roman" w:hAnsi="Times New Roman" w:cs="Times New Roman"/>
                <w:sz w:val="24"/>
                <w:szCs w:val="24"/>
                <w:lang w:eastAsia="lv-LV"/>
              </w:rPr>
              <w:t xml:space="preserve">decembra </w:t>
            </w:r>
            <w:r w:rsidR="00841948" w:rsidRPr="00361328">
              <w:rPr>
                <w:rFonts w:ascii="Times New Roman" w:eastAsia="Times New Roman" w:hAnsi="Times New Roman" w:cs="Times New Roman"/>
                <w:sz w:val="24"/>
                <w:szCs w:val="24"/>
                <w:lang w:eastAsia="lv-LV"/>
              </w:rPr>
              <w:t>ī</w:t>
            </w:r>
            <w:r w:rsidR="00A85CF9" w:rsidRPr="00361328">
              <w:rPr>
                <w:rFonts w:ascii="Times New Roman" w:eastAsia="Times New Roman" w:hAnsi="Times New Roman" w:cs="Times New Roman"/>
                <w:sz w:val="24"/>
                <w:szCs w:val="24"/>
                <w:lang w:eastAsia="lv-LV"/>
              </w:rPr>
              <w:t>stenošanas regulas (ES) Nr.</w:t>
            </w:r>
            <w:r w:rsidR="009C1B37" w:rsidRPr="00361328">
              <w:rPr>
                <w:rFonts w:ascii="Times New Roman" w:eastAsia="Times New Roman" w:hAnsi="Times New Roman" w:cs="Times New Roman"/>
                <w:sz w:val="24"/>
                <w:szCs w:val="24"/>
                <w:lang w:eastAsia="lv-LV"/>
              </w:rPr>
              <w:t> </w:t>
            </w:r>
            <w:r w:rsidR="00A85CF9" w:rsidRPr="00361328">
              <w:rPr>
                <w:rFonts w:ascii="Times New Roman" w:eastAsia="Times New Roman" w:hAnsi="Times New Roman" w:cs="Times New Roman"/>
                <w:sz w:val="24"/>
                <w:szCs w:val="24"/>
                <w:lang w:eastAsia="lv-LV"/>
              </w:rPr>
              <w:t xml:space="preserve">2021/451, ar ko nosaka īstenošanas tehniskos standartus Eiropas Parlamenta un Padomes </w:t>
            </w:r>
            <w:r w:rsidR="00841948" w:rsidRPr="00361328">
              <w:rPr>
                <w:rFonts w:ascii="Times New Roman" w:eastAsia="Times New Roman" w:hAnsi="Times New Roman" w:cs="Times New Roman"/>
                <w:sz w:val="24"/>
                <w:szCs w:val="24"/>
                <w:lang w:eastAsia="lv-LV"/>
              </w:rPr>
              <w:t>r</w:t>
            </w:r>
            <w:r w:rsidR="00A85CF9" w:rsidRPr="00361328">
              <w:rPr>
                <w:rFonts w:ascii="Times New Roman" w:eastAsia="Times New Roman" w:hAnsi="Times New Roman" w:cs="Times New Roman"/>
                <w:sz w:val="24"/>
                <w:szCs w:val="24"/>
                <w:lang w:eastAsia="lv-LV"/>
              </w:rPr>
              <w:t>egulas (ES) Nr.</w:t>
            </w:r>
            <w:r w:rsidR="009C1B37" w:rsidRPr="00361328">
              <w:rPr>
                <w:rFonts w:ascii="Times New Roman" w:eastAsia="Times New Roman" w:hAnsi="Times New Roman" w:cs="Times New Roman"/>
                <w:sz w:val="24"/>
                <w:szCs w:val="24"/>
                <w:lang w:eastAsia="lv-LV"/>
              </w:rPr>
              <w:t> </w:t>
            </w:r>
            <w:r w:rsidR="00A85CF9" w:rsidRPr="00361328">
              <w:rPr>
                <w:rFonts w:ascii="Times New Roman" w:eastAsia="Times New Roman" w:hAnsi="Times New Roman" w:cs="Times New Roman"/>
                <w:sz w:val="24"/>
                <w:szCs w:val="24"/>
                <w:lang w:eastAsia="lv-LV"/>
              </w:rPr>
              <w:t xml:space="preserve">575/2013 piemērošanai attiecībā uz iestāžu sniegtajiem uzraudzības pārskatiem un atceļ </w:t>
            </w:r>
            <w:r w:rsidR="00841948" w:rsidRPr="00361328">
              <w:rPr>
                <w:rFonts w:ascii="Times New Roman" w:eastAsia="Times New Roman" w:hAnsi="Times New Roman" w:cs="Times New Roman"/>
                <w:sz w:val="24"/>
                <w:szCs w:val="24"/>
                <w:lang w:eastAsia="lv-LV"/>
              </w:rPr>
              <w:t>ī</w:t>
            </w:r>
            <w:r w:rsidR="00A85CF9" w:rsidRPr="00361328">
              <w:rPr>
                <w:rFonts w:ascii="Times New Roman" w:eastAsia="Times New Roman" w:hAnsi="Times New Roman" w:cs="Times New Roman"/>
                <w:sz w:val="24"/>
                <w:szCs w:val="24"/>
                <w:lang w:eastAsia="lv-LV"/>
              </w:rPr>
              <w:t>stenošanas regulu (ES) Nr.</w:t>
            </w:r>
            <w:r w:rsidR="009C1B37" w:rsidRPr="00361328">
              <w:rPr>
                <w:rFonts w:ascii="Times New Roman" w:eastAsia="Times New Roman" w:hAnsi="Times New Roman" w:cs="Times New Roman"/>
                <w:sz w:val="24"/>
                <w:szCs w:val="24"/>
                <w:lang w:eastAsia="lv-LV"/>
              </w:rPr>
              <w:t> </w:t>
            </w:r>
            <w:r w:rsidR="00A85CF9" w:rsidRPr="00361328">
              <w:rPr>
                <w:rFonts w:ascii="Times New Roman" w:eastAsia="Times New Roman" w:hAnsi="Times New Roman" w:cs="Times New Roman"/>
                <w:sz w:val="24"/>
                <w:szCs w:val="24"/>
                <w:lang w:eastAsia="lv-LV"/>
              </w:rPr>
              <w:t>680/2014</w:t>
            </w:r>
            <w:r w:rsidR="005B7F5C" w:rsidRPr="00361328">
              <w:rPr>
                <w:rFonts w:ascii="Times New Roman" w:eastAsia="Times New Roman" w:hAnsi="Times New Roman" w:cs="Times New Roman"/>
                <w:sz w:val="24"/>
                <w:szCs w:val="24"/>
                <w:lang w:eastAsia="lv-LV"/>
              </w:rPr>
              <w:t xml:space="preserve"> (turpmāk – Regula Nr. 2021/451)</w:t>
            </w:r>
            <w:r w:rsidR="00A85CF9" w:rsidRPr="00361328">
              <w:rPr>
                <w:rFonts w:ascii="Times New Roman" w:eastAsia="Times New Roman" w:hAnsi="Times New Roman" w:cs="Times New Roman"/>
                <w:sz w:val="24"/>
                <w:szCs w:val="24"/>
                <w:lang w:eastAsia="lv-LV"/>
              </w:rPr>
              <w:t xml:space="preserve"> </w:t>
            </w:r>
            <w:r w:rsidR="00E932B2" w:rsidRPr="00361328">
              <w:rPr>
                <w:rFonts w:ascii="Times New Roman" w:eastAsia="Times New Roman" w:hAnsi="Times New Roman" w:cs="Times New Roman"/>
                <w:sz w:val="24"/>
                <w:szCs w:val="24"/>
                <w:lang w:eastAsia="lv-LV"/>
              </w:rPr>
              <w:t>I</w:t>
            </w:r>
            <w:r w:rsidR="009C1B37" w:rsidRPr="00361328">
              <w:rPr>
                <w:rFonts w:ascii="Times New Roman" w:eastAsia="Times New Roman" w:hAnsi="Times New Roman" w:cs="Times New Roman"/>
                <w:sz w:val="24"/>
                <w:szCs w:val="24"/>
                <w:lang w:eastAsia="lv-LV"/>
              </w:rPr>
              <w:t> </w:t>
            </w:r>
            <w:r w:rsidR="00A85CF9" w:rsidRPr="00361328">
              <w:rPr>
                <w:rFonts w:ascii="Times New Roman" w:eastAsia="Times New Roman" w:hAnsi="Times New Roman" w:cs="Times New Roman"/>
                <w:sz w:val="24"/>
                <w:szCs w:val="24"/>
                <w:lang w:eastAsia="lv-LV"/>
              </w:rPr>
              <w:t>pielikum</w:t>
            </w:r>
            <w:r w:rsidR="00186DD6" w:rsidRPr="00361328">
              <w:rPr>
                <w:rFonts w:ascii="Times New Roman" w:eastAsia="Times New Roman" w:hAnsi="Times New Roman" w:cs="Times New Roman"/>
                <w:sz w:val="24"/>
                <w:szCs w:val="24"/>
                <w:lang w:eastAsia="lv-LV"/>
              </w:rPr>
              <w:t>ā</w:t>
            </w:r>
            <w:r w:rsidR="00E932B2" w:rsidRPr="00361328">
              <w:rPr>
                <w:rFonts w:ascii="Times New Roman" w:eastAsia="Times New Roman" w:hAnsi="Times New Roman" w:cs="Times New Roman"/>
                <w:sz w:val="24"/>
                <w:szCs w:val="24"/>
                <w:lang w:eastAsia="lv-LV"/>
              </w:rPr>
              <w:t xml:space="preserve"> "Pārskatu sniegšana par pašu kapitālu un pašu kapitāla prasībām"</w:t>
            </w:r>
            <w:r w:rsidR="00A85CF9" w:rsidRPr="00361328">
              <w:rPr>
                <w:rFonts w:ascii="Times New Roman" w:eastAsia="Times New Roman" w:hAnsi="Times New Roman" w:cs="Times New Roman"/>
                <w:sz w:val="24"/>
                <w:szCs w:val="24"/>
                <w:lang w:eastAsia="lv-LV"/>
              </w:rPr>
              <w:t xml:space="preserve"> </w:t>
            </w:r>
            <w:r w:rsidR="0064109C" w:rsidRPr="00361328">
              <w:rPr>
                <w:rFonts w:ascii="Times New Roman" w:eastAsia="Times New Roman" w:hAnsi="Times New Roman" w:cs="Times New Roman"/>
                <w:sz w:val="24"/>
                <w:szCs w:val="24"/>
                <w:lang w:eastAsia="lv-LV"/>
              </w:rPr>
              <w:t xml:space="preserve">norādītos pārskatus </w:t>
            </w:r>
            <w:r w:rsidR="00880E24" w:rsidRPr="00361328">
              <w:rPr>
                <w:rFonts w:ascii="Times New Roman" w:eastAsia="Times New Roman" w:hAnsi="Times New Roman" w:cs="Times New Roman"/>
                <w:sz w:val="24"/>
                <w:szCs w:val="24"/>
                <w:lang w:eastAsia="lv-LV"/>
              </w:rPr>
              <w:t>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07.00,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13.01,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14.00,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14.01,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16.00,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18.00,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19.00,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20.00,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21.00,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22.00,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23.00,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34.01,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34.02,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34.03,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34.04,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34.06,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34.08,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34.09 un C</w:t>
            </w:r>
            <w:r w:rsidR="00615091" w:rsidRPr="00361328">
              <w:rPr>
                <w:rFonts w:ascii="Times New Roman" w:eastAsia="Times New Roman" w:hAnsi="Times New Roman" w:cs="Times New Roman"/>
                <w:sz w:val="24"/>
                <w:szCs w:val="24"/>
                <w:lang w:eastAsia="lv-LV"/>
              </w:rPr>
              <w:t> </w:t>
            </w:r>
            <w:r w:rsidR="00880E24" w:rsidRPr="00361328">
              <w:rPr>
                <w:rFonts w:ascii="Times New Roman" w:eastAsia="Times New Roman" w:hAnsi="Times New Roman" w:cs="Times New Roman"/>
                <w:sz w:val="24"/>
                <w:szCs w:val="24"/>
                <w:lang w:eastAsia="lv-LV"/>
              </w:rPr>
              <w:t>34.10</w:t>
            </w:r>
            <w:r w:rsidR="003128D2" w:rsidRPr="00361328">
              <w:rPr>
                <w:rFonts w:ascii="Times New Roman" w:eastAsia="Times New Roman" w:hAnsi="Times New Roman" w:cs="Times New Roman"/>
                <w:sz w:val="24"/>
                <w:szCs w:val="24"/>
                <w:lang w:eastAsia="lv-LV"/>
              </w:rPr>
              <w:t>,</w:t>
            </w:r>
            <w:r w:rsidRPr="00361328">
              <w:rPr>
                <w:rFonts w:ascii="Times New Roman" w:eastAsia="Times New Roman" w:hAnsi="Times New Roman" w:cs="Times New Roman"/>
                <w:sz w:val="24"/>
                <w:szCs w:val="24"/>
                <w:lang w:eastAsia="lv-LV"/>
              </w:rPr>
              <w:t xml:space="preserve"> bilances pārskatu, kapitāla prasību pārskatu, kā arī biznesa riska kapitāla prasības un</w:t>
            </w:r>
            <w:r w:rsidRPr="00361328">
              <w:t xml:space="preserve"> </w:t>
            </w:r>
            <w:r w:rsidRPr="00361328">
              <w:rPr>
                <w:rFonts w:ascii="Times New Roman" w:eastAsia="Times New Roman" w:hAnsi="Times New Roman" w:cs="Times New Roman"/>
                <w:sz w:val="24"/>
                <w:szCs w:val="24"/>
                <w:lang w:eastAsia="lv-LV"/>
              </w:rPr>
              <w:t xml:space="preserve">darbības izbeigšanas vai pārstrukturēšanas kapitāla prasības pārskatus. </w:t>
            </w:r>
            <w:r w:rsidR="006F403B" w:rsidRPr="00361328">
              <w:rPr>
                <w:rFonts w:ascii="Times New Roman" w:eastAsia="Times New Roman" w:hAnsi="Times New Roman" w:cs="Times New Roman"/>
                <w:sz w:val="24"/>
                <w:szCs w:val="24"/>
                <w:lang w:eastAsia="lv-LV"/>
              </w:rPr>
              <w:t xml:space="preserve">Minētie </w:t>
            </w:r>
            <w:r w:rsidR="00DA25D5" w:rsidRPr="00361328">
              <w:rPr>
                <w:rFonts w:ascii="Times New Roman" w:eastAsia="Times New Roman" w:hAnsi="Times New Roman" w:cs="Times New Roman"/>
                <w:sz w:val="24"/>
                <w:szCs w:val="24"/>
                <w:lang w:eastAsia="lv-LV"/>
              </w:rPr>
              <w:t xml:space="preserve">uzraudzības </w:t>
            </w:r>
            <w:r w:rsidR="006F403B" w:rsidRPr="00361328">
              <w:rPr>
                <w:rFonts w:ascii="Times New Roman" w:eastAsia="Times New Roman" w:hAnsi="Times New Roman" w:cs="Times New Roman"/>
                <w:sz w:val="24"/>
                <w:szCs w:val="24"/>
                <w:lang w:eastAsia="lv-LV"/>
              </w:rPr>
              <w:t>pārskati nodrošina Latvijas Banku ar nepieciešamo informāciju par kapitāla pietiekamības prasības izpildi.</w:t>
            </w:r>
          </w:p>
          <w:p w14:paraId="7253B8C8" w14:textId="77777777" w:rsidR="006F403B" w:rsidRPr="00361328" w:rsidRDefault="006F403B" w:rsidP="00842C77">
            <w:pPr>
              <w:jc w:val="both"/>
              <w:rPr>
                <w:rFonts w:cs="Times New Roman"/>
                <w:b/>
                <w:color w:val="000000" w:themeColor="text1"/>
                <w:szCs w:val="24"/>
              </w:rPr>
            </w:pPr>
          </w:p>
          <w:p w14:paraId="6F154888" w14:textId="33D1A1C3" w:rsidR="00842C77" w:rsidRPr="00361328" w:rsidRDefault="006F403B" w:rsidP="00D935EB">
            <w:pPr>
              <w:jc w:val="both"/>
              <w:rPr>
                <w:rFonts w:ascii="Times New Roman" w:hAnsi="Times New Roman" w:cs="Times New Roman"/>
                <w:sz w:val="24"/>
                <w:szCs w:val="24"/>
              </w:rPr>
            </w:pPr>
            <w:r w:rsidRPr="00361328">
              <w:rPr>
                <w:rFonts w:ascii="Times New Roman" w:hAnsi="Times New Roman" w:cs="Times New Roman"/>
                <w:sz w:val="24"/>
                <w:szCs w:val="24"/>
                <w:lang w:eastAsia="lv-LV"/>
              </w:rPr>
              <w:t>Saskaņā ar Noteikumu projektu centrālais vērtspapīru depozitārijs iesniedz</w:t>
            </w:r>
            <w:r w:rsidR="002B75EA" w:rsidRPr="00361328">
              <w:rPr>
                <w:rFonts w:ascii="Times New Roman" w:hAnsi="Times New Roman" w:cs="Times New Roman"/>
                <w:sz w:val="24"/>
                <w:szCs w:val="24"/>
                <w:lang w:eastAsia="lv-LV"/>
              </w:rPr>
              <w:t xml:space="preserve"> Noteikumu projekt</w:t>
            </w:r>
            <w:r w:rsidR="0070203B" w:rsidRPr="00361328">
              <w:rPr>
                <w:rFonts w:ascii="Times New Roman" w:hAnsi="Times New Roman" w:cs="Times New Roman"/>
                <w:sz w:val="24"/>
                <w:szCs w:val="24"/>
                <w:lang w:eastAsia="lv-LV"/>
              </w:rPr>
              <w:t>a</w:t>
            </w:r>
            <w:r w:rsidRPr="00361328">
              <w:rPr>
                <w:rFonts w:ascii="Times New Roman" w:hAnsi="Times New Roman" w:cs="Times New Roman"/>
                <w:sz w:val="24"/>
                <w:szCs w:val="24"/>
                <w:lang w:eastAsia="lv-LV"/>
              </w:rPr>
              <w:t xml:space="preserve"> 5. pielikumā norādīto incidenta ziņojumu.</w:t>
            </w:r>
            <w:r w:rsidRPr="00361328">
              <w:rPr>
                <w:rFonts w:ascii="Times New Roman" w:hAnsi="Times New Roman" w:cs="Times New Roman"/>
                <w:sz w:val="24"/>
                <w:szCs w:val="24"/>
              </w:rPr>
              <w:t xml:space="preserve"> Par incidenta ziņojuma veidni ir vienojusies Nasdaq</w:t>
            </w:r>
            <w:r w:rsidR="00615091" w:rsidRPr="00361328">
              <w:rPr>
                <w:rFonts w:ascii="Times New Roman" w:hAnsi="Times New Roman" w:cs="Times New Roman"/>
                <w:sz w:val="24"/>
                <w:szCs w:val="24"/>
              </w:rPr>
              <w:t> </w:t>
            </w:r>
            <w:r w:rsidRPr="00361328">
              <w:rPr>
                <w:rFonts w:ascii="Times New Roman" w:hAnsi="Times New Roman" w:cs="Times New Roman"/>
                <w:sz w:val="24"/>
                <w:szCs w:val="24"/>
              </w:rPr>
              <w:t>CSD</w:t>
            </w:r>
            <w:r w:rsidR="00615091" w:rsidRPr="00361328">
              <w:rPr>
                <w:rFonts w:ascii="Times New Roman" w:hAnsi="Times New Roman" w:cs="Times New Roman"/>
                <w:sz w:val="24"/>
                <w:szCs w:val="24"/>
              </w:rPr>
              <w:t> </w:t>
            </w:r>
            <w:r w:rsidR="00D508F5" w:rsidRPr="00361328">
              <w:rPr>
                <w:rFonts w:ascii="Times New Roman" w:hAnsi="Times New Roman" w:cs="Times New Roman"/>
                <w:sz w:val="24"/>
                <w:szCs w:val="24"/>
              </w:rPr>
              <w:t xml:space="preserve">SE </w:t>
            </w:r>
            <w:r w:rsidRPr="00361328">
              <w:rPr>
                <w:rFonts w:ascii="Times New Roman" w:hAnsi="Times New Roman" w:cs="Times New Roman"/>
                <w:sz w:val="24"/>
                <w:szCs w:val="24"/>
              </w:rPr>
              <w:t xml:space="preserve">uzraudzības kolēģija. Veidne satur Latvijas Bankai kā uzraudzības un pārraudzības iestādei nepieciešamo informāciju, lai sekotu </w:t>
            </w:r>
            <w:r w:rsidR="006A7F05" w:rsidRPr="00361328">
              <w:rPr>
                <w:rFonts w:ascii="Times New Roman" w:hAnsi="Times New Roman" w:cs="Times New Roman"/>
                <w:sz w:val="24"/>
                <w:szCs w:val="24"/>
              </w:rPr>
              <w:t xml:space="preserve">līdzi </w:t>
            </w:r>
            <w:r w:rsidRPr="00361328">
              <w:rPr>
                <w:rFonts w:ascii="Times New Roman" w:hAnsi="Times New Roman" w:cs="Times New Roman"/>
                <w:sz w:val="24"/>
                <w:szCs w:val="24"/>
              </w:rPr>
              <w:t>centrālā vērtspapīru depozitārija darbībām incidentu pārvaldībā un to atkārtošanās iespējamīb</w:t>
            </w:r>
            <w:r w:rsidR="006A7F05" w:rsidRPr="00361328">
              <w:rPr>
                <w:rFonts w:ascii="Times New Roman" w:hAnsi="Times New Roman" w:cs="Times New Roman"/>
                <w:sz w:val="24"/>
                <w:szCs w:val="24"/>
              </w:rPr>
              <w:t>as</w:t>
            </w:r>
            <w:r w:rsidRPr="00361328">
              <w:rPr>
                <w:rFonts w:ascii="Times New Roman" w:hAnsi="Times New Roman" w:cs="Times New Roman"/>
                <w:sz w:val="24"/>
                <w:szCs w:val="24"/>
              </w:rPr>
              <w:t xml:space="preserve"> mazināšanā.</w:t>
            </w:r>
          </w:p>
          <w:p w14:paraId="2771FEC2" w14:textId="77777777" w:rsidR="00DA25D5" w:rsidRPr="00361328" w:rsidRDefault="00DA25D5" w:rsidP="00D935EB">
            <w:pPr>
              <w:jc w:val="both"/>
              <w:rPr>
                <w:rFonts w:ascii="Times New Roman" w:hAnsi="Times New Roman" w:cs="Times New Roman"/>
                <w:sz w:val="24"/>
                <w:szCs w:val="24"/>
              </w:rPr>
            </w:pPr>
          </w:p>
          <w:p w14:paraId="62F3F120" w14:textId="2AE0197A" w:rsidR="00924361" w:rsidRPr="00361328" w:rsidRDefault="0077089C" w:rsidP="00D935EB">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lastRenderedPageBreak/>
              <w:t>Noteikumu projekts satur identiskas tiesību normas kā Noteikumi Nr. 168, kuri zaudē</w:t>
            </w:r>
            <w:r w:rsidR="00186DD6" w:rsidRPr="00361328">
              <w:rPr>
                <w:rFonts w:ascii="Times New Roman" w:eastAsia="Times New Roman" w:hAnsi="Times New Roman" w:cs="Times New Roman"/>
                <w:sz w:val="24"/>
                <w:szCs w:val="24"/>
                <w:lang w:eastAsia="lv-LV"/>
              </w:rPr>
              <w:t>s</w:t>
            </w:r>
            <w:r w:rsidRPr="00361328">
              <w:rPr>
                <w:rFonts w:ascii="Times New Roman" w:eastAsia="Times New Roman" w:hAnsi="Times New Roman" w:cs="Times New Roman"/>
                <w:sz w:val="24"/>
                <w:szCs w:val="24"/>
                <w:lang w:eastAsia="lv-LV"/>
              </w:rPr>
              <w:t xml:space="preserve"> spēku ar šo noteikumu spēkā stāšanās brīdi, izņemot</w:t>
            </w:r>
            <w:r w:rsidR="00924361" w:rsidRPr="00361328">
              <w:rPr>
                <w:rFonts w:ascii="Times New Roman" w:eastAsia="Times New Roman" w:hAnsi="Times New Roman" w:cs="Times New Roman"/>
                <w:sz w:val="24"/>
                <w:szCs w:val="24"/>
                <w:lang w:eastAsia="lv-LV"/>
              </w:rPr>
              <w:t xml:space="preserve">: </w:t>
            </w:r>
          </w:p>
          <w:p w14:paraId="1814708C" w14:textId="55980B6E" w:rsidR="0077089C" w:rsidRPr="00361328" w:rsidRDefault="00924361" w:rsidP="00924361">
            <w:pPr>
              <w:pStyle w:val="ListParagraph"/>
              <w:numPr>
                <w:ilvl w:val="0"/>
                <w:numId w:val="8"/>
              </w:num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 xml:space="preserve">ieviesta </w:t>
            </w:r>
            <w:r w:rsidR="0077089C" w:rsidRPr="00361328">
              <w:rPr>
                <w:rFonts w:ascii="Times New Roman" w:eastAsia="Times New Roman" w:hAnsi="Times New Roman" w:cs="Times New Roman"/>
                <w:sz w:val="24"/>
                <w:szCs w:val="24"/>
                <w:lang w:eastAsia="lv-LV"/>
              </w:rPr>
              <w:t>prasīb</w:t>
            </w:r>
            <w:r w:rsidR="00186DD6" w:rsidRPr="00361328">
              <w:rPr>
                <w:rFonts w:ascii="Times New Roman" w:eastAsia="Times New Roman" w:hAnsi="Times New Roman" w:cs="Times New Roman"/>
                <w:sz w:val="24"/>
                <w:szCs w:val="24"/>
                <w:lang w:eastAsia="lv-LV"/>
              </w:rPr>
              <w:t>a</w:t>
            </w:r>
            <w:r w:rsidR="0077089C" w:rsidRPr="00361328">
              <w:rPr>
                <w:rFonts w:ascii="Times New Roman" w:eastAsia="Times New Roman" w:hAnsi="Times New Roman" w:cs="Times New Roman"/>
                <w:sz w:val="24"/>
                <w:szCs w:val="24"/>
                <w:lang w:eastAsia="lv-LV"/>
              </w:rPr>
              <w:t xml:space="preserve"> turpmāk iesniegt uzraudzības pārskatus paaugstinātās drošības </w:t>
            </w:r>
            <w:r w:rsidR="00544539" w:rsidRPr="00361328">
              <w:rPr>
                <w:rFonts w:ascii="Times New Roman" w:eastAsia="Times New Roman" w:hAnsi="Times New Roman" w:cs="Times New Roman"/>
                <w:sz w:val="24"/>
                <w:szCs w:val="24"/>
                <w:lang w:eastAsia="lv-LV"/>
              </w:rPr>
              <w:t>sistēm</w:t>
            </w:r>
            <w:r w:rsidR="00186DD6" w:rsidRPr="00361328">
              <w:rPr>
                <w:rFonts w:ascii="Times New Roman" w:eastAsia="Times New Roman" w:hAnsi="Times New Roman" w:cs="Times New Roman"/>
                <w:sz w:val="24"/>
                <w:szCs w:val="24"/>
                <w:lang w:eastAsia="lv-LV"/>
              </w:rPr>
              <w:t>ā</w:t>
            </w:r>
            <w:r w:rsidR="0077089C" w:rsidRPr="00361328">
              <w:rPr>
                <w:rFonts w:ascii="Times New Roman" w:eastAsia="Times New Roman" w:hAnsi="Times New Roman" w:cs="Times New Roman"/>
                <w:sz w:val="24"/>
                <w:szCs w:val="24"/>
                <w:lang w:eastAsia="lv-LV"/>
              </w:rPr>
              <w:t xml:space="preserve">. Šo </w:t>
            </w:r>
            <w:r w:rsidR="00544539" w:rsidRPr="00361328">
              <w:rPr>
                <w:rFonts w:ascii="Times New Roman" w:eastAsia="Times New Roman" w:hAnsi="Times New Roman" w:cs="Times New Roman"/>
                <w:sz w:val="24"/>
                <w:szCs w:val="24"/>
                <w:lang w:eastAsia="lv-LV"/>
              </w:rPr>
              <w:t>sistēmu</w:t>
            </w:r>
            <w:r w:rsidR="0077089C" w:rsidRPr="00361328">
              <w:rPr>
                <w:rFonts w:ascii="Times New Roman" w:eastAsia="Times New Roman" w:hAnsi="Times New Roman" w:cs="Times New Roman"/>
                <w:sz w:val="24"/>
                <w:szCs w:val="24"/>
                <w:lang w:eastAsia="lv-LV"/>
              </w:rPr>
              <w:t xml:space="preserve"> centrālais vērtspapīru depozitārijs pašlaik izmanto citu datu apmaiņai ar Latvijas Banku</w:t>
            </w:r>
            <w:r w:rsidRPr="00361328">
              <w:rPr>
                <w:rFonts w:ascii="Times New Roman" w:eastAsia="Times New Roman" w:hAnsi="Times New Roman" w:cs="Times New Roman"/>
                <w:sz w:val="24"/>
                <w:szCs w:val="24"/>
                <w:lang w:eastAsia="lv-LV"/>
              </w:rPr>
              <w:t>;</w:t>
            </w:r>
          </w:p>
          <w:p w14:paraId="3EBF7F9E" w14:textId="44FB6715" w:rsidR="00924361" w:rsidRPr="00361328" w:rsidRDefault="00924361" w:rsidP="00924361">
            <w:pPr>
              <w:pStyle w:val="ListParagraph"/>
              <w:numPr>
                <w:ilvl w:val="0"/>
                <w:numId w:val="8"/>
              </w:num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Noteikumu projekta pielikumos</w:t>
            </w:r>
            <w:r w:rsidR="006A7F05" w:rsidRPr="00361328">
              <w:rPr>
                <w:rFonts w:ascii="Times New Roman" w:eastAsia="Times New Roman" w:hAnsi="Times New Roman" w:cs="Times New Roman"/>
                <w:sz w:val="24"/>
                <w:szCs w:val="24"/>
                <w:lang w:eastAsia="lv-LV"/>
              </w:rPr>
              <w:t xml:space="preserve"> ieviesti četru ciparu pozīciju kodi</w:t>
            </w:r>
            <w:r w:rsidRPr="00361328">
              <w:rPr>
                <w:rFonts w:ascii="Times New Roman" w:eastAsia="Times New Roman" w:hAnsi="Times New Roman" w:cs="Times New Roman"/>
                <w:sz w:val="24"/>
                <w:szCs w:val="24"/>
                <w:lang w:eastAsia="lv-LV"/>
              </w:rPr>
              <w:t>, lai precīzi atspoguļotu pozīciju hierarhiju;</w:t>
            </w:r>
          </w:p>
          <w:p w14:paraId="14B90015" w14:textId="6804F886" w:rsidR="00DB2E3F" w:rsidRPr="00361328" w:rsidRDefault="00924361" w:rsidP="00DE3847">
            <w:pPr>
              <w:pStyle w:val="ListParagraph"/>
              <w:numPr>
                <w:ilvl w:val="0"/>
                <w:numId w:val="8"/>
              </w:num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precizēts Noteikumu projekta 2. pielikums</w:t>
            </w:r>
            <w:r w:rsidR="00FB0F8E" w:rsidRPr="00361328">
              <w:rPr>
                <w:rFonts w:ascii="Times New Roman" w:eastAsia="Times New Roman" w:hAnsi="Times New Roman" w:cs="Times New Roman"/>
                <w:sz w:val="24"/>
                <w:szCs w:val="24"/>
                <w:lang w:eastAsia="lv-LV"/>
              </w:rPr>
              <w:t>, turpmāk prasot iesniegt sasummētu tirgus riska kapitāl</w:t>
            </w:r>
            <w:r w:rsidR="00951972" w:rsidRPr="00361328">
              <w:rPr>
                <w:rFonts w:ascii="Times New Roman" w:eastAsia="Times New Roman" w:hAnsi="Times New Roman" w:cs="Times New Roman"/>
                <w:sz w:val="24"/>
                <w:szCs w:val="24"/>
                <w:lang w:eastAsia="lv-LV"/>
              </w:rPr>
              <w:t>a</w:t>
            </w:r>
            <w:r w:rsidR="00FB0F8E" w:rsidRPr="00361328">
              <w:rPr>
                <w:rFonts w:ascii="Times New Roman" w:eastAsia="Times New Roman" w:hAnsi="Times New Roman" w:cs="Times New Roman"/>
                <w:sz w:val="24"/>
                <w:szCs w:val="24"/>
                <w:lang w:eastAsia="lv-LV"/>
              </w:rPr>
              <w:t xml:space="preserve"> prasību vienā pozīcijā</w:t>
            </w:r>
            <w:r w:rsidR="005B7F5C" w:rsidRPr="00361328">
              <w:rPr>
                <w:rFonts w:ascii="Times New Roman" w:eastAsia="Times New Roman" w:hAnsi="Times New Roman" w:cs="Times New Roman"/>
                <w:sz w:val="24"/>
                <w:szCs w:val="24"/>
                <w:lang w:eastAsia="lv-LV"/>
              </w:rPr>
              <w:t>, kas nodrošinās iespēju iesniegt datus arī pēc Regulas Nr. 2021/451 grozījumu stāšanās</w:t>
            </w:r>
            <w:r w:rsidR="005D030B" w:rsidRPr="00361328">
              <w:rPr>
                <w:rFonts w:ascii="Times New Roman" w:eastAsia="Times New Roman" w:hAnsi="Times New Roman" w:cs="Times New Roman"/>
                <w:sz w:val="24"/>
                <w:szCs w:val="24"/>
                <w:lang w:eastAsia="lv-LV"/>
              </w:rPr>
              <w:t xml:space="preserve"> spēkā</w:t>
            </w:r>
            <w:r w:rsidR="00DB2E3F" w:rsidRPr="00361328">
              <w:rPr>
                <w:rFonts w:ascii="Times New Roman" w:eastAsia="Times New Roman" w:hAnsi="Times New Roman" w:cs="Times New Roman"/>
                <w:sz w:val="24"/>
                <w:szCs w:val="24"/>
                <w:lang w:eastAsia="lv-LV"/>
              </w:rPr>
              <w:t>;</w:t>
            </w:r>
          </w:p>
          <w:p w14:paraId="4AC74381" w14:textId="21BF26BD" w:rsidR="00924361" w:rsidRPr="00361328" w:rsidRDefault="00DB2E3F" w:rsidP="00DE3847">
            <w:pPr>
              <w:pStyle w:val="ListParagraph"/>
              <w:numPr>
                <w:ilvl w:val="0"/>
                <w:numId w:val="8"/>
              </w:num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 xml:space="preserve">Noteikumu projekta 5. pielikums </w:t>
            </w:r>
            <w:r w:rsidR="005D030B" w:rsidRPr="00361328">
              <w:rPr>
                <w:rFonts w:ascii="Times New Roman" w:eastAsia="Times New Roman" w:hAnsi="Times New Roman" w:cs="Times New Roman"/>
                <w:sz w:val="24"/>
                <w:szCs w:val="24"/>
                <w:lang w:eastAsia="lv-LV"/>
              </w:rPr>
              <w:t xml:space="preserve">papildināts </w:t>
            </w:r>
            <w:r w:rsidRPr="00361328">
              <w:rPr>
                <w:rFonts w:ascii="Times New Roman" w:eastAsia="Times New Roman" w:hAnsi="Times New Roman" w:cs="Times New Roman"/>
                <w:sz w:val="24"/>
                <w:szCs w:val="24"/>
                <w:lang w:eastAsia="lv-LV"/>
              </w:rPr>
              <w:t>ar prasību iesniegt arī incidenta identifikatoru</w:t>
            </w:r>
            <w:r w:rsidR="005B7F5C" w:rsidRPr="00361328">
              <w:rPr>
                <w:rFonts w:ascii="Times New Roman" w:eastAsia="Times New Roman" w:hAnsi="Times New Roman" w:cs="Times New Roman"/>
                <w:sz w:val="24"/>
                <w:szCs w:val="24"/>
                <w:lang w:eastAsia="lv-LV"/>
              </w:rPr>
              <w:t>, kas nodrošinās iespēju identificēt un izsekot incidenta ziņojumiem un to novēršanai</w:t>
            </w:r>
            <w:r w:rsidRPr="00361328">
              <w:rPr>
                <w:rFonts w:ascii="Times New Roman" w:eastAsia="Times New Roman" w:hAnsi="Times New Roman" w:cs="Times New Roman"/>
                <w:sz w:val="24"/>
                <w:szCs w:val="24"/>
                <w:lang w:eastAsia="lv-LV"/>
              </w:rPr>
              <w:t>.</w:t>
            </w:r>
          </w:p>
          <w:p w14:paraId="584AC81C" w14:textId="77777777" w:rsidR="00690659" w:rsidRPr="00361328" w:rsidRDefault="00690659" w:rsidP="001110D6">
            <w:pPr>
              <w:pStyle w:val="ListParagraph"/>
              <w:jc w:val="both"/>
              <w:rPr>
                <w:rFonts w:ascii="Times New Roman" w:eastAsia="Times New Roman" w:hAnsi="Times New Roman" w:cs="Times New Roman"/>
                <w:sz w:val="24"/>
                <w:szCs w:val="24"/>
                <w:lang w:eastAsia="lv-LV"/>
              </w:rPr>
            </w:pPr>
          </w:p>
          <w:p w14:paraId="28D32265" w14:textId="2F097D28" w:rsidR="00DA25D5" w:rsidRPr="00361328" w:rsidRDefault="0077089C" w:rsidP="00D935EB">
            <w:pPr>
              <w:jc w:val="both"/>
              <w:rPr>
                <w:rFonts w:ascii="Times New Roman" w:hAnsi="Times New Roman" w:cs="Times New Roman"/>
                <w:sz w:val="24"/>
                <w:szCs w:val="24"/>
              </w:rPr>
            </w:pPr>
            <w:r w:rsidRPr="00361328">
              <w:rPr>
                <w:rFonts w:ascii="Times New Roman" w:eastAsia="Times New Roman" w:hAnsi="Times New Roman" w:cs="Times New Roman"/>
                <w:sz w:val="24"/>
                <w:szCs w:val="24"/>
                <w:lang w:eastAsia="lv-LV"/>
              </w:rPr>
              <w:t xml:space="preserve">Pārējās Noteikumu projekta normas, kuras atšķiras no </w:t>
            </w:r>
            <w:r w:rsidR="0027279D" w:rsidRPr="00361328">
              <w:rPr>
                <w:rFonts w:ascii="Times New Roman" w:eastAsia="Times New Roman" w:hAnsi="Times New Roman" w:cs="Times New Roman"/>
                <w:sz w:val="24"/>
                <w:szCs w:val="24"/>
                <w:lang w:eastAsia="lv-LV"/>
              </w:rPr>
              <w:t>atbilstošajām</w:t>
            </w:r>
            <w:r w:rsidR="0027279D" w:rsidRPr="00361328">
              <w:rPr>
                <w:rFonts w:ascii="Times New Roman" w:hAnsi="Times New Roman" w:cs="Times New Roman"/>
                <w:sz w:val="24"/>
                <w:szCs w:val="24"/>
              </w:rPr>
              <w:t xml:space="preserve"> </w:t>
            </w:r>
            <w:r w:rsidRPr="00361328">
              <w:rPr>
                <w:rFonts w:ascii="Times New Roman" w:hAnsi="Times New Roman" w:cs="Times New Roman"/>
                <w:sz w:val="24"/>
                <w:szCs w:val="24"/>
              </w:rPr>
              <w:t>pašlaik spēkā esoš</w:t>
            </w:r>
            <w:r w:rsidR="00186DD6" w:rsidRPr="00361328">
              <w:rPr>
                <w:rFonts w:ascii="Times New Roman" w:hAnsi="Times New Roman" w:cs="Times New Roman"/>
                <w:sz w:val="24"/>
                <w:szCs w:val="24"/>
              </w:rPr>
              <w:t>aj</w:t>
            </w:r>
            <w:r w:rsidRPr="00361328">
              <w:rPr>
                <w:rFonts w:ascii="Times New Roman" w:hAnsi="Times New Roman" w:cs="Times New Roman"/>
                <w:sz w:val="24"/>
                <w:szCs w:val="24"/>
              </w:rPr>
              <w:t xml:space="preserve">ām </w:t>
            </w:r>
            <w:r w:rsidRPr="00361328">
              <w:rPr>
                <w:rFonts w:ascii="Times New Roman" w:eastAsia="Times New Roman" w:hAnsi="Times New Roman" w:cs="Times New Roman"/>
                <w:sz w:val="24"/>
                <w:szCs w:val="24"/>
                <w:lang w:eastAsia="lv-LV"/>
              </w:rPr>
              <w:t>Noteikumu Nr. 168 normām, paredz tehniska rakstura precizējumus un pamatā ir saistītas ar numerācijas maiņu un ar to saistīto atsauču precizēšanu.</w:t>
            </w:r>
          </w:p>
        </w:tc>
      </w:tr>
      <w:tr w:rsidR="00774CC3" w:rsidRPr="00361328" w14:paraId="7FF36E12" w14:textId="77777777" w:rsidTr="003A2DF0">
        <w:tc>
          <w:tcPr>
            <w:tcW w:w="2547" w:type="dxa"/>
          </w:tcPr>
          <w:p w14:paraId="486EBB70" w14:textId="66ADACDF" w:rsidR="00822148" w:rsidRPr="00361328" w:rsidRDefault="009E6A95" w:rsidP="00822148">
            <w:pPr>
              <w:jc w:val="both"/>
              <w:rPr>
                <w:rFonts w:ascii="Times New Roman" w:hAnsi="Times New Roman" w:cs="Times New Roman"/>
                <w:b/>
                <w:bCs/>
                <w:sz w:val="24"/>
                <w:szCs w:val="24"/>
              </w:rPr>
            </w:pPr>
            <w:r w:rsidRPr="00361328">
              <w:rPr>
                <w:rFonts w:ascii="Times New Roman" w:hAnsi="Times New Roman" w:cs="Times New Roman"/>
                <w:b/>
                <w:bCs/>
                <w:sz w:val="24"/>
                <w:szCs w:val="24"/>
              </w:rPr>
              <w:lastRenderedPageBreak/>
              <w:t>Leģitīmais mērķis</w:t>
            </w:r>
          </w:p>
        </w:tc>
        <w:tc>
          <w:tcPr>
            <w:tcW w:w="5812" w:type="dxa"/>
            <w:shd w:val="clear" w:color="auto" w:fill="auto"/>
          </w:tcPr>
          <w:p w14:paraId="5ABFC406" w14:textId="77777777" w:rsidR="00A43DD5" w:rsidRPr="00361328" w:rsidRDefault="00A43DD5" w:rsidP="00A43DD5">
            <w:pPr>
              <w:jc w:val="both"/>
              <w:rPr>
                <w:rFonts w:ascii="Times New Roman" w:hAnsi="Times New Roman" w:cs="Times New Roman"/>
                <w:sz w:val="24"/>
                <w:szCs w:val="24"/>
              </w:rPr>
            </w:pPr>
            <w:r w:rsidRPr="00361328">
              <w:rPr>
                <w:rFonts w:ascii="Times New Roman" w:hAnsi="Times New Roman" w:cs="Times New Roman"/>
                <w:sz w:val="24"/>
                <w:szCs w:val="24"/>
              </w:rPr>
              <w:t xml:space="preserve">Noteikumu projekta leģitīmais mērķis ir citu personu tiesību aizsardzība un sabiedrības labklājības nodrošināšana. </w:t>
            </w:r>
          </w:p>
          <w:p w14:paraId="5C4E8A9A" w14:textId="77777777" w:rsidR="00A43DD5" w:rsidRPr="00361328" w:rsidRDefault="00A43DD5" w:rsidP="00A43DD5">
            <w:pPr>
              <w:jc w:val="both"/>
              <w:rPr>
                <w:rFonts w:ascii="Times New Roman" w:hAnsi="Times New Roman" w:cs="Times New Roman"/>
                <w:sz w:val="24"/>
                <w:szCs w:val="24"/>
              </w:rPr>
            </w:pPr>
          </w:p>
          <w:p w14:paraId="4C280AC4" w14:textId="491FC00C" w:rsidR="00A43DD5" w:rsidRPr="00361328" w:rsidRDefault="00BD4CAE" w:rsidP="00444B91">
            <w:pPr>
              <w:jc w:val="both"/>
              <w:rPr>
                <w:rFonts w:ascii="Times New Roman" w:hAnsi="Times New Roman" w:cs="Times New Roman"/>
                <w:sz w:val="24"/>
                <w:szCs w:val="24"/>
              </w:rPr>
            </w:pPr>
            <w:r w:rsidRPr="00361328">
              <w:rPr>
                <w:rFonts w:ascii="Times New Roman" w:hAnsi="Times New Roman" w:cs="Times New Roman"/>
                <w:sz w:val="24"/>
                <w:szCs w:val="24"/>
              </w:rPr>
              <w:t>L</w:t>
            </w:r>
            <w:r w:rsidR="00A43DD5" w:rsidRPr="00361328">
              <w:rPr>
                <w:rFonts w:ascii="Times New Roman" w:hAnsi="Times New Roman" w:cs="Times New Roman"/>
                <w:sz w:val="24"/>
                <w:szCs w:val="24"/>
              </w:rPr>
              <w:t>eģitīmais mērķis</w:t>
            </w:r>
            <w:r w:rsidR="00841948" w:rsidRPr="00361328">
              <w:rPr>
                <w:rFonts w:ascii="Times New Roman" w:hAnsi="Times New Roman" w:cs="Times New Roman"/>
                <w:sz w:val="24"/>
                <w:szCs w:val="24"/>
              </w:rPr>
              <w:t> </w:t>
            </w:r>
            <w:r w:rsidR="00A43DD5" w:rsidRPr="00361328">
              <w:rPr>
                <w:rFonts w:ascii="Times New Roman" w:hAnsi="Times New Roman" w:cs="Times New Roman"/>
                <w:sz w:val="24"/>
                <w:szCs w:val="24"/>
              </w:rPr>
              <w:t>– sabiedrības labklājība</w:t>
            </w:r>
            <w:r w:rsidR="00206343" w:rsidRPr="00361328">
              <w:rPr>
                <w:rFonts w:ascii="Times New Roman" w:hAnsi="Times New Roman" w:cs="Times New Roman"/>
                <w:sz w:val="24"/>
                <w:szCs w:val="24"/>
              </w:rPr>
              <w:t>s aizsardzība</w:t>
            </w:r>
            <w:r w:rsidR="00841948" w:rsidRPr="00361328">
              <w:rPr>
                <w:rFonts w:ascii="Times New Roman" w:hAnsi="Times New Roman" w:cs="Times New Roman"/>
                <w:sz w:val="24"/>
                <w:szCs w:val="24"/>
              </w:rPr>
              <w:t> </w:t>
            </w:r>
            <w:r w:rsidR="00A43DD5" w:rsidRPr="00361328">
              <w:rPr>
                <w:rFonts w:ascii="Times New Roman" w:hAnsi="Times New Roman" w:cs="Times New Roman"/>
                <w:sz w:val="24"/>
                <w:szCs w:val="24"/>
              </w:rPr>
              <w:t>– tiek sasniegts, nosakot</w:t>
            </w:r>
            <w:r w:rsidR="00206343" w:rsidRPr="00361328">
              <w:rPr>
                <w:rFonts w:ascii="Times New Roman" w:hAnsi="Times New Roman" w:cs="Times New Roman"/>
                <w:sz w:val="24"/>
                <w:szCs w:val="24"/>
              </w:rPr>
              <w:t>,</w:t>
            </w:r>
            <w:r w:rsidR="00A43DD5" w:rsidRPr="00361328">
              <w:rPr>
                <w:rFonts w:ascii="Times New Roman" w:hAnsi="Times New Roman" w:cs="Times New Roman"/>
                <w:sz w:val="24"/>
                <w:szCs w:val="24"/>
              </w:rPr>
              <w:t xml:space="preserve"> </w:t>
            </w:r>
            <w:r w:rsidR="00444B91" w:rsidRPr="00361328">
              <w:rPr>
                <w:rFonts w:ascii="Times New Roman" w:hAnsi="Times New Roman" w:cs="Times New Roman"/>
                <w:color w:val="000000" w:themeColor="text1"/>
                <w:sz w:val="24"/>
                <w:szCs w:val="24"/>
              </w:rPr>
              <w:t xml:space="preserve">kādu informāciju </w:t>
            </w:r>
            <w:r w:rsidR="00444B91" w:rsidRPr="00361328">
              <w:rPr>
                <w:rFonts w:ascii="Times New Roman" w:hAnsi="Times New Roman" w:cs="Times New Roman"/>
                <w:sz w:val="24"/>
                <w:szCs w:val="24"/>
              </w:rPr>
              <w:t xml:space="preserve">centrālais vērtspapīru depozitārijs </w:t>
            </w:r>
            <w:r w:rsidR="00444B91" w:rsidRPr="00361328">
              <w:rPr>
                <w:rFonts w:ascii="Times New Roman" w:hAnsi="Times New Roman" w:cs="Times New Roman"/>
                <w:color w:val="000000" w:themeColor="text1"/>
                <w:sz w:val="24"/>
                <w:szCs w:val="24"/>
              </w:rPr>
              <w:t>iesniedz par savu darbību un kāda ir tās iesniegšanas kārtība, lai nodrošinātu Latvijas Banku ar Latvijas Bankas likuma 5. panta pirmās daļas 4. punkt</w:t>
            </w:r>
            <w:r w:rsidR="00206343" w:rsidRPr="00361328">
              <w:rPr>
                <w:rFonts w:ascii="Times New Roman" w:hAnsi="Times New Roman" w:cs="Times New Roman"/>
                <w:color w:val="000000" w:themeColor="text1"/>
                <w:sz w:val="24"/>
                <w:szCs w:val="24"/>
              </w:rPr>
              <w:t>ā</w:t>
            </w:r>
            <w:r w:rsidR="00444B91" w:rsidRPr="00361328">
              <w:rPr>
                <w:rFonts w:ascii="Times New Roman" w:hAnsi="Times New Roman" w:cs="Times New Roman"/>
                <w:color w:val="000000" w:themeColor="text1"/>
                <w:sz w:val="24"/>
                <w:szCs w:val="24"/>
              </w:rPr>
              <w:t xml:space="preserve"> noteikto uzdevumu veikšanai</w:t>
            </w:r>
            <w:r w:rsidR="006A7F05" w:rsidRPr="00361328">
              <w:rPr>
                <w:rFonts w:ascii="Times New Roman" w:hAnsi="Times New Roman" w:cs="Times New Roman"/>
                <w:color w:val="000000" w:themeColor="text1"/>
                <w:sz w:val="24"/>
                <w:szCs w:val="24"/>
              </w:rPr>
              <w:t xml:space="preserve"> nepieciešamo informāciju</w:t>
            </w:r>
            <w:r w:rsidR="00444B91" w:rsidRPr="00361328">
              <w:rPr>
                <w:rFonts w:ascii="Times New Roman" w:hAnsi="Times New Roman" w:cs="Times New Roman"/>
                <w:color w:val="000000" w:themeColor="text1"/>
                <w:sz w:val="24"/>
                <w:szCs w:val="24"/>
              </w:rPr>
              <w:t xml:space="preserve">, </w:t>
            </w:r>
            <w:r w:rsidR="00444B91" w:rsidRPr="00361328">
              <w:rPr>
                <w:rFonts w:ascii="Times New Roman" w:hAnsi="Times New Roman" w:cs="Times New Roman"/>
                <w:sz w:val="24"/>
                <w:szCs w:val="24"/>
              </w:rPr>
              <w:t>tādējādi veicin</w:t>
            </w:r>
            <w:r w:rsidR="006A7F05" w:rsidRPr="00361328">
              <w:rPr>
                <w:rFonts w:ascii="Times New Roman" w:hAnsi="Times New Roman" w:cs="Times New Roman"/>
                <w:sz w:val="24"/>
                <w:szCs w:val="24"/>
              </w:rPr>
              <w:t>ot</w:t>
            </w:r>
            <w:r w:rsidR="00444B91" w:rsidRPr="00361328">
              <w:rPr>
                <w:rFonts w:ascii="Times New Roman" w:hAnsi="Times New Roman" w:cs="Times New Roman"/>
                <w:sz w:val="24"/>
                <w:szCs w:val="24"/>
              </w:rPr>
              <w:t xml:space="preserve"> finanšu tirgus ilgtspējīgu attīstību un stabilitāti.</w:t>
            </w:r>
          </w:p>
          <w:p w14:paraId="7EC1D48A" w14:textId="77777777" w:rsidR="00A43DD5" w:rsidRPr="00361328" w:rsidRDefault="00A43DD5" w:rsidP="00A43DD5">
            <w:pPr>
              <w:jc w:val="both"/>
              <w:rPr>
                <w:rFonts w:ascii="Times New Roman" w:hAnsi="Times New Roman" w:cs="Times New Roman"/>
                <w:sz w:val="24"/>
                <w:szCs w:val="24"/>
              </w:rPr>
            </w:pPr>
          </w:p>
          <w:p w14:paraId="5B199845" w14:textId="7646ABFA" w:rsidR="00A43DD5" w:rsidRPr="00361328" w:rsidRDefault="00BD4CAE" w:rsidP="00BD4CAE">
            <w:pPr>
              <w:jc w:val="both"/>
              <w:rPr>
                <w:rFonts w:ascii="Times New Roman" w:hAnsi="Times New Roman" w:cs="Times New Roman"/>
                <w:color w:val="000000" w:themeColor="text1"/>
                <w:sz w:val="24"/>
                <w:szCs w:val="24"/>
              </w:rPr>
            </w:pPr>
            <w:r w:rsidRPr="00361328">
              <w:rPr>
                <w:rFonts w:ascii="Times New Roman" w:hAnsi="Times New Roman" w:cs="Times New Roman"/>
                <w:sz w:val="24"/>
                <w:szCs w:val="24"/>
              </w:rPr>
              <w:t>Savukārt leģitīmais mērķis</w:t>
            </w:r>
            <w:r w:rsidR="00841948" w:rsidRPr="00361328">
              <w:rPr>
                <w:rFonts w:ascii="Times New Roman" w:hAnsi="Times New Roman" w:cs="Times New Roman"/>
                <w:sz w:val="24"/>
                <w:szCs w:val="24"/>
              </w:rPr>
              <w:t> </w:t>
            </w:r>
            <w:r w:rsidRPr="00361328">
              <w:rPr>
                <w:rFonts w:ascii="Times New Roman" w:hAnsi="Times New Roman" w:cs="Times New Roman"/>
                <w:sz w:val="24"/>
                <w:szCs w:val="24"/>
              </w:rPr>
              <w:t>– citu personu tiesību aizsardzība</w:t>
            </w:r>
            <w:r w:rsidR="00841948" w:rsidRPr="00361328">
              <w:rPr>
                <w:rFonts w:ascii="Times New Roman" w:hAnsi="Times New Roman" w:cs="Times New Roman"/>
                <w:sz w:val="24"/>
                <w:szCs w:val="24"/>
              </w:rPr>
              <w:t> </w:t>
            </w:r>
            <w:r w:rsidRPr="00361328">
              <w:rPr>
                <w:rFonts w:ascii="Times New Roman" w:hAnsi="Times New Roman" w:cs="Times New Roman"/>
                <w:sz w:val="24"/>
                <w:szCs w:val="24"/>
              </w:rPr>
              <w:t>– tiek sasniegts, nodrošinot</w:t>
            </w:r>
            <w:r w:rsidR="00954061" w:rsidRPr="00361328">
              <w:rPr>
                <w:rFonts w:ascii="Times New Roman" w:hAnsi="Times New Roman" w:cs="Times New Roman"/>
                <w:sz w:val="24"/>
                <w:szCs w:val="24"/>
              </w:rPr>
              <w:t xml:space="preserve"> </w:t>
            </w:r>
            <w:r w:rsidR="00444B91" w:rsidRPr="00361328">
              <w:rPr>
                <w:rFonts w:ascii="Times New Roman" w:hAnsi="Times New Roman" w:cs="Times New Roman"/>
                <w:sz w:val="24"/>
                <w:szCs w:val="24"/>
              </w:rPr>
              <w:t xml:space="preserve">centrālo vērtspapīru depozitāriju uzraudzību, kas balstās uz </w:t>
            </w:r>
            <w:r w:rsidR="00344C9A" w:rsidRPr="00361328">
              <w:rPr>
                <w:rFonts w:ascii="Times New Roman" w:hAnsi="Times New Roman" w:cs="Times New Roman"/>
                <w:sz w:val="24"/>
                <w:szCs w:val="24"/>
              </w:rPr>
              <w:t xml:space="preserve">harmonizētā veidā sagatavotiem un iesniegtiem </w:t>
            </w:r>
            <w:r w:rsidR="00DA25D5" w:rsidRPr="00361328">
              <w:rPr>
                <w:rFonts w:ascii="Times New Roman" w:hAnsi="Times New Roman" w:cs="Times New Roman"/>
                <w:sz w:val="24"/>
                <w:szCs w:val="24"/>
              </w:rPr>
              <w:t xml:space="preserve">uzraudzības </w:t>
            </w:r>
            <w:r w:rsidR="00344C9A" w:rsidRPr="00361328">
              <w:rPr>
                <w:rFonts w:ascii="Times New Roman" w:hAnsi="Times New Roman" w:cs="Times New Roman"/>
                <w:sz w:val="24"/>
                <w:szCs w:val="24"/>
              </w:rPr>
              <w:t xml:space="preserve">pārskatiem (datiem/informāciju), </w:t>
            </w:r>
            <w:r w:rsidR="00344C9A" w:rsidRPr="00361328">
              <w:rPr>
                <w:rFonts w:ascii="Times New Roman" w:hAnsi="Times New Roman" w:cs="Times New Roman"/>
                <w:color w:val="000000" w:themeColor="text1"/>
                <w:sz w:val="24"/>
                <w:szCs w:val="24"/>
              </w:rPr>
              <w:t>tādējādi nodrošinot finanšu instrumentu tirgus stabilitāti un uzticamību.</w:t>
            </w:r>
          </w:p>
        </w:tc>
      </w:tr>
      <w:tr w:rsidR="00FD2008" w:rsidRPr="00361328" w14:paraId="1F6AF38A" w14:textId="77777777" w:rsidTr="004D7D20">
        <w:tc>
          <w:tcPr>
            <w:tcW w:w="2547" w:type="dxa"/>
          </w:tcPr>
          <w:p w14:paraId="5B2AC1B8" w14:textId="2F4B9FD5" w:rsidR="00FD2008" w:rsidRPr="00361328" w:rsidRDefault="00FD2008" w:rsidP="00FD2008">
            <w:pPr>
              <w:jc w:val="both"/>
              <w:rPr>
                <w:rFonts w:ascii="Times New Roman" w:hAnsi="Times New Roman" w:cs="Times New Roman"/>
                <w:b/>
                <w:bCs/>
                <w:sz w:val="24"/>
                <w:szCs w:val="24"/>
              </w:rPr>
            </w:pPr>
            <w:r w:rsidRPr="00361328">
              <w:rPr>
                <w:rFonts w:ascii="Times New Roman" w:hAnsi="Times New Roman" w:cs="Times New Roman"/>
                <w:b/>
                <w:bCs/>
                <w:sz w:val="24"/>
                <w:szCs w:val="24"/>
              </w:rPr>
              <w:t>Samērīgums</w:t>
            </w:r>
          </w:p>
        </w:tc>
        <w:tc>
          <w:tcPr>
            <w:tcW w:w="5812" w:type="dxa"/>
          </w:tcPr>
          <w:p w14:paraId="0825AB86" w14:textId="59162A9B" w:rsidR="00FD2008" w:rsidRPr="00361328" w:rsidRDefault="00FD2008" w:rsidP="00FD2008">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Nosakot centrālaj</w:t>
            </w:r>
            <w:r w:rsidR="00DA25D5" w:rsidRPr="00361328">
              <w:rPr>
                <w:rFonts w:ascii="Times New Roman" w:eastAsia="Times New Roman" w:hAnsi="Times New Roman" w:cs="Times New Roman"/>
                <w:sz w:val="24"/>
                <w:szCs w:val="24"/>
                <w:lang w:eastAsia="lv-LV"/>
              </w:rPr>
              <w:t>ie</w:t>
            </w:r>
            <w:r w:rsidRPr="00361328">
              <w:rPr>
                <w:rFonts w:ascii="Times New Roman" w:eastAsia="Times New Roman" w:hAnsi="Times New Roman" w:cs="Times New Roman"/>
                <w:sz w:val="24"/>
                <w:szCs w:val="24"/>
                <w:lang w:eastAsia="lv-LV"/>
              </w:rPr>
              <w:t>m vērtspapīru depozitārij</w:t>
            </w:r>
            <w:r w:rsidR="00DA25D5" w:rsidRPr="00361328">
              <w:rPr>
                <w:rFonts w:ascii="Times New Roman" w:eastAsia="Times New Roman" w:hAnsi="Times New Roman" w:cs="Times New Roman"/>
                <w:sz w:val="24"/>
                <w:szCs w:val="24"/>
                <w:lang w:eastAsia="lv-LV"/>
              </w:rPr>
              <w:t>ie</w:t>
            </w:r>
            <w:r w:rsidR="002F05FC" w:rsidRPr="00361328">
              <w:rPr>
                <w:rFonts w:ascii="Times New Roman" w:eastAsia="Times New Roman" w:hAnsi="Times New Roman" w:cs="Times New Roman"/>
                <w:sz w:val="24"/>
                <w:szCs w:val="24"/>
                <w:lang w:eastAsia="lv-LV"/>
              </w:rPr>
              <w:t>m</w:t>
            </w:r>
            <w:r w:rsidRPr="00361328">
              <w:rPr>
                <w:rFonts w:ascii="Times New Roman" w:eastAsia="Times New Roman" w:hAnsi="Times New Roman" w:cs="Times New Roman"/>
                <w:sz w:val="24"/>
                <w:szCs w:val="24"/>
                <w:lang w:eastAsia="lv-LV"/>
              </w:rPr>
              <w:t xml:space="preserve"> </w:t>
            </w:r>
            <w:r w:rsidR="00DA25D5" w:rsidRPr="00361328">
              <w:rPr>
                <w:rFonts w:ascii="Times New Roman" w:eastAsia="Times New Roman" w:hAnsi="Times New Roman" w:cs="Times New Roman"/>
                <w:sz w:val="24"/>
                <w:szCs w:val="24"/>
                <w:lang w:eastAsia="lv-LV"/>
              </w:rPr>
              <w:t xml:space="preserve">uzraudzības </w:t>
            </w:r>
            <w:r w:rsidRPr="00361328">
              <w:rPr>
                <w:rFonts w:ascii="Times New Roman" w:eastAsia="Times New Roman" w:hAnsi="Times New Roman" w:cs="Times New Roman"/>
                <w:sz w:val="24"/>
                <w:szCs w:val="24"/>
                <w:lang w:eastAsia="lv-LV"/>
              </w:rPr>
              <w:t xml:space="preserve">pārskatu sagatavošanas un iesniegšanas prasības, tiek nodrošināta vienota finanšu tirgus dalībnieku izpratne un pieeja regulējošo prasību interpretācijai un piemērošanai. </w:t>
            </w:r>
          </w:p>
          <w:p w14:paraId="2831E9A1" w14:textId="77777777" w:rsidR="00FD2008" w:rsidRPr="00361328" w:rsidRDefault="00FD2008" w:rsidP="00FD2008">
            <w:pPr>
              <w:jc w:val="both"/>
              <w:rPr>
                <w:rFonts w:ascii="Times New Roman" w:eastAsia="Times New Roman" w:hAnsi="Times New Roman" w:cs="Times New Roman"/>
                <w:sz w:val="24"/>
                <w:szCs w:val="24"/>
                <w:lang w:eastAsia="lv-LV"/>
              </w:rPr>
            </w:pPr>
          </w:p>
          <w:p w14:paraId="1DDC96F0" w14:textId="27BE5E7B" w:rsidR="00FD2008" w:rsidRPr="00361328" w:rsidRDefault="00FD2008" w:rsidP="00FD2008">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Ja centrālais vērtspapīru depozitārijs nesagatavotu un nesniegtu</w:t>
            </w:r>
            <w:r w:rsidR="00987518" w:rsidRPr="00361328">
              <w:rPr>
                <w:rFonts w:ascii="Times New Roman" w:eastAsia="Times New Roman" w:hAnsi="Times New Roman" w:cs="Times New Roman"/>
                <w:sz w:val="24"/>
                <w:szCs w:val="24"/>
                <w:lang w:eastAsia="lv-LV"/>
              </w:rPr>
              <w:t xml:space="preserve"> uzraudzības</w:t>
            </w:r>
            <w:r w:rsidRPr="00361328">
              <w:rPr>
                <w:rFonts w:ascii="Times New Roman" w:eastAsia="Times New Roman" w:hAnsi="Times New Roman" w:cs="Times New Roman"/>
                <w:sz w:val="24"/>
                <w:szCs w:val="24"/>
                <w:lang w:eastAsia="lv-LV"/>
              </w:rPr>
              <w:t xml:space="preserve"> pārskatus atbilstoši normatīvo aktu prasībām, centrālā vērtspapīru depozitārija kapitāla pietiekamības aprēķina pareizība varētu tikt negatīvi ietekmēta. Ja centrālais vērtspapīru depozitārijs nesniegtu atbilstošu informāciju par </w:t>
            </w:r>
            <w:r w:rsidR="002F05FC" w:rsidRPr="00361328">
              <w:rPr>
                <w:rFonts w:ascii="Times New Roman" w:eastAsia="Times New Roman" w:hAnsi="Times New Roman" w:cs="Times New Roman"/>
                <w:sz w:val="24"/>
                <w:szCs w:val="24"/>
                <w:lang w:eastAsia="lv-LV"/>
              </w:rPr>
              <w:t>informācijas tehnoloģiju</w:t>
            </w:r>
            <w:r w:rsidRPr="00361328">
              <w:rPr>
                <w:rFonts w:ascii="Times New Roman" w:eastAsia="Times New Roman" w:hAnsi="Times New Roman" w:cs="Times New Roman"/>
                <w:sz w:val="24"/>
                <w:szCs w:val="24"/>
                <w:lang w:eastAsia="lv-LV"/>
              </w:rPr>
              <w:t xml:space="preserve"> incidentiem, t</w:t>
            </w:r>
            <w:r w:rsidR="0027279D" w:rsidRPr="00361328">
              <w:rPr>
                <w:rFonts w:ascii="Times New Roman" w:eastAsia="Times New Roman" w:hAnsi="Times New Roman" w:cs="Times New Roman"/>
                <w:sz w:val="24"/>
                <w:szCs w:val="24"/>
                <w:lang w:eastAsia="lv-LV"/>
              </w:rPr>
              <w:t>ā</w:t>
            </w:r>
            <w:r w:rsidRPr="00361328">
              <w:rPr>
                <w:rFonts w:ascii="Times New Roman" w:eastAsia="Times New Roman" w:hAnsi="Times New Roman" w:cs="Times New Roman"/>
                <w:sz w:val="24"/>
                <w:szCs w:val="24"/>
                <w:lang w:eastAsia="lv-LV"/>
              </w:rPr>
              <w:t xml:space="preserve"> </w:t>
            </w:r>
            <w:r w:rsidR="002F05FC" w:rsidRPr="00361328">
              <w:rPr>
                <w:rFonts w:ascii="Times New Roman" w:eastAsia="Times New Roman" w:hAnsi="Times New Roman" w:cs="Times New Roman"/>
                <w:sz w:val="24"/>
                <w:szCs w:val="24"/>
                <w:lang w:eastAsia="lv-LV"/>
              </w:rPr>
              <w:t>informācijas tehnoloģiju</w:t>
            </w:r>
            <w:r w:rsidRPr="00361328">
              <w:rPr>
                <w:rFonts w:ascii="Times New Roman" w:eastAsia="Times New Roman" w:hAnsi="Times New Roman" w:cs="Times New Roman"/>
                <w:sz w:val="24"/>
                <w:szCs w:val="24"/>
                <w:lang w:eastAsia="lv-LV"/>
              </w:rPr>
              <w:t xml:space="preserve"> infrastruktūras darbība, t</w:t>
            </w:r>
            <w:r w:rsidR="005D030B" w:rsidRPr="00361328">
              <w:rPr>
                <w:rFonts w:ascii="Times New Roman" w:eastAsia="Times New Roman" w:hAnsi="Times New Roman" w:cs="Times New Roman"/>
                <w:sz w:val="24"/>
                <w:szCs w:val="24"/>
                <w:lang w:eastAsia="lv-LV"/>
              </w:rPr>
              <w:t>ai</w:t>
            </w:r>
            <w:r w:rsidR="00615091" w:rsidRPr="00361328">
              <w:rPr>
                <w:rFonts w:ascii="Times New Roman" w:eastAsia="Times New Roman" w:hAnsi="Times New Roman" w:cs="Times New Roman"/>
                <w:sz w:val="24"/>
                <w:szCs w:val="24"/>
                <w:lang w:eastAsia="lv-LV"/>
              </w:rPr>
              <w:t> </w:t>
            </w:r>
            <w:r w:rsidRPr="00361328">
              <w:rPr>
                <w:rFonts w:ascii="Times New Roman" w:eastAsia="Times New Roman" w:hAnsi="Times New Roman" w:cs="Times New Roman"/>
                <w:sz w:val="24"/>
                <w:szCs w:val="24"/>
                <w:lang w:eastAsia="lv-LV"/>
              </w:rPr>
              <w:t>sk</w:t>
            </w:r>
            <w:r w:rsidR="005D030B" w:rsidRPr="00361328">
              <w:rPr>
                <w:rFonts w:ascii="Times New Roman" w:eastAsia="Times New Roman" w:hAnsi="Times New Roman" w:cs="Times New Roman"/>
                <w:sz w:val="24"/>
                <w:szCs w:val="24"/>
                <w:lang w:eastAsia="lv-LV"/>
              </w:rPr>
              <w:t>aitā</w:t>
            </w:r>
            <w:r w:rsidRPr="00361328">
              <w:rPr>
                <w:rFonts w:ascii="Times New Roman" w:eastAsia="Times New Roman" w:hAnsi="Times New Roman" w:cs="Times New Roman"/>
                <w:sz w:val="24"/>
                <w:szCs w:val="24"/>
                <w:lang w:eastAsia="lv-LV"/>
              </w:rPr>
              <w:t xml:space="preserve"> </w:t>
            </w:r>
            <w:proofErr w:type="spellStart"/>
            <w:r w:rsidRPr="00361328">
              <w:rPr>
                <w:rFonts w:ascii="Times New Roman" w:eastAsia="Times New Roman" w:hAnsi="Times New Roman" w:cs="Times New Roman"/>
                <w:sz w:val="24"/>
                <w:szCs w:val="24"/>
                <w:lang w:eastAsia="lv-LV"/>
              </w:rPr>
              <w:t>kibernoturība</w:t>
            </w:r>
            <w:proofErr w:type="spellEnd"/>
            <w:r w:rsidRPr="00361328">
              <w:rPr>
                <w:rFonts w:ascii="Times New Roman" w:eastAsia="Times New Roman" w:hAnsi="Times New Roman" w:cs="Times New Roman"/>
                <w:sz w:val="24"/>
                <w:szCs w:val="24"/>
                <w:lang w:eastAsia="lv-LV"/>
              </w:rPr>
              <w:t>, varētu tikt neatbilstoši novērtēta. Lai nodrošinātu finanšu tirgus stabilitāti, ir būtiski pēc iespējas mazināt un novērst minētos riskus.</w:t>
            </w:r>
          </w:p>
          <w:p w14:paraId="329739AC" w14:textId="77777777" w:rsidR="00FD2008" w:rsidRPr="00361328" w:rsidRDefault="00FD2008" w:rsidP="00FD2008">
            <w:pPr>
              <w:jc w:val="both"/>
              <w:rPr>
                <w:rFonts w:ascii="Times New Roman" w:eastAsia="Times New Roman" w:hAnsi="Times New Roman" w:cs="Times New Roman"/>
                <w:sz w:val="24"/>
                <w:szCs w:val="24"/>
                <w:lang w:eastAsia="lv-LV"/>
              </w:rPr>
            </w:pPr>
          </w:p>
          <w:p w14:paraId="6E8C5612" w14:textId="59FFC5B9" w:rsidR="00FD2008" w:rsidRPr="00361328" w:rsidRDefault="00FD2008" w:rsidP="00FD2008">
            <w:pPr>
              <w:jc w:val="both"/>
              <w:rPr>
                <w:rFonts w:ascii="Times New Roman" w:eastAsia="Times New Roman" w:hAnsi="Times New Roman" w:cs="Times New Roman"/>
                <w:sz w:val="24"/>
                <w:szCs w:val="24"/>
                <w:lang w:eastAsia="lv-LV"/>
              </w:rPr>
            </w:pPr>
            <w:r w:rsidRPr="00361328">
              <w:rPr>
                <w:rFonts w:ascii="Times New Roman" w:eastAsia="Times New Roman" w:hAnsi="Times New Roman" w:cs="Times New Roman"/>
                <w:sz w:val="24"/>
                <w:szCs w:val="24"/>
                <w:lang w:eastAsia="lv-LV"/>
              </w:rPr>
              <w:t xml:space="preserve">Atbilstošākais veids, kā noteikt </w:t>
            </w:r>
            <w:r w:rsidR="00987518" w:rsidRPr="00361328">
              <w:rPr>
                <w:rFonts w:ascii="Times New Roman" w:eastAsia="Times New Roman" w:hAnsi="Times New Roman" w:cs="Times New Roman"/>
                <w:sz w:val="24"/>
                <w:szCs w:val="24"/>
                <w:lang w:eastAsia="lv-LV"/>
              </w:rPr>
              <w:t xml:space="preserve">uzraudzības </w:t>
            </w:r>
            <w:r w:rsidRPr="00361328">
              <w:rPr>
                <w:rFonts w:ascii="Times New Roman" w:eastAsia="Times New Roman" w:hAnsi="Times New Roman" w:cs="Times New Roman"/>
                <w:sz w:val="24"/>
                <w:szCs w:val="24"/>
                <w:lang w:eastAsia="lv-LV"/>
              </w:rPr>
              <w:t>pārskatu sagatavošanas un iesniegšanas kārtību, ir izdot tirgus dalībniekiem</w:t>
            </w:r>
            <w:r w:rsidR="00615091" w:rsidRPr="00361328">
              <w:rPr>
                <w:rFonts w:ascii="Times New Roman" w:eastAsia="Times New Roman" w:hAnsi="Times New Roman" w:cs="Times New Roman"/>
                <w:sz w:val="24"/>
                <w:szCs w:val="24"/>
                <w:lang w:eastAsia="lv-LV"/>
              </w:rPr>
              <w:t> </w:t>
            </w:r>
            <w:r w:rsidRPr="00361328">
              <w:rPr>
                <w:rFonts w:ascii="Times New Roman" w:eastAsia="Times New Roman" w:hAnsi="Times New Roman" w:cs="Times New Roman"/>
                <w:sz w:val="24"/>
                <w:szCs w:val="24"/>
                <w:lang w:eastAsia="lv-LV"/>
              </w:rPr>
              <w:t>– centrālaj</w:t>
            </w:r>
            <w:r w:rsidR="00880E24" w:rsidRPr="00361328">
              <w:rPr>
                <w:rFonts w:ascii="Times New Roman" w:eastAsia="Times New Roman" w:hAnsi="Times New Roman" w:cs="Times New Roman"/>
                <w:sz w:val="24"/>
                <w:szCs w:val="24"/>
                <w:lang w:eastAsia="lv-LV"/>
              </w:rPr>
              <w:t>ie</w:t>
            </w:r>
            <w:r w:rsidRPr="00361328">
              <w:rPr>
                <w:rFonts w:ascii="Times New Roman" w:eastAsia="Times New Roman" w:hAnsi="Times New Roman" w:cs="Times New Roman"/>
                <w:sz w:val="24"/>
                <w:szCs w:val="24"/>
                <w:lang w:eastAsia="lv-LV"/>
              </w:rPr>
              <w:t>m vērtspapīru depozitārij</w:t>
            </w:r>
            <w:r w:rsidR="00880E24" w:rsidRPr="00361328">
              <w:rPr>
                <w:rFonts w:ascii="Times New Roman" w:eastAsia="Times New Roman" w:hAnsi="Times New Roman" w:cs="Times New Roman"/>
                <w:sz w:val="24"/>
                <w:szCs w:val="24"/>
                <w:lang w:eastAsia="lv-LV"/>
              </w:rPr>
              <w:t>ie</w:t>
            </w:r>
            <w:r w:rsidRPr="00361328">
              <w:rPr>
                <w:rFonts w:ascii="Times New Roman" w:eastAsia="Times New Roman" w:hAnsi="Times New Roman" w:cs="Times New Roman"/>
                <w:sz w:val="24"/>
                <w:szCs w:val="24"/>
                <w:lang w:eastAsia="lv-LV"/>
              </w:rPr>
              <w:t>m</w:t>
            </w:r>
            <w:r w:rsidR="00615091" w:rsidRPr="00361328">
              <w:rPr>
                <w:rFonts w:ascii="Times New Roman" w:eastAsia="Times New Roman" w:hAnsi="Times New Roman" w:cs="Times New Roman"/>
                <w:sz w:val="24"/>
                <w:szCs w:val="24"/>
                <w:lang w:eastAsia="lv-LV"/>
              </w:rPr>
              <w:t> </w:t>
            </w:r>
            <w:r w:rsidRPr="00361328">
              <w:rPr>
                <w:rFonts w:ascii="Times New Roman" w:eastAsia="Times New Roman" w:hAnsi="Times New Roman" w:cs="Times New Roman"/>
                <w:sz w:val="24"/>
                <w:szCs w:val="24"/>
                <w:lang w:eastAsia="lv-LV"/>
              </w:rPr>
              <w:t xml:space="preserve">– saistošus normatīvos noteikumus. Citas alternatīvas jautājuma noregulēšanai un vienotu prasību noteikšanai nebūtu efektīvas un nesasniegtu izvirzīto mērķi, jo nenodrošinātu vienveidīgu, vienotu un precīzu regulējošo prasību piemērošanu, kas savukārt atstātu negatīvu </w:t>
            </w:r>
            <w:r w:rsidR="002F05FC" w:rsidRPr="00361328">
              <w:rPr>
                <w:rFonts w:ascii="Times New Roman" w:eastAsia="Times New Roman" w:hAnsi="Times New Roman" w:cs="Times New Roman"/>
                <w:sz w:val="24"/>
                <w:szCs w:val="24"/>
                <w:lang w:eastAsia="lv-LV"/>
              </w:rPr>
              <w:t>ietekmi</w:t>
            </w:r>
            <w:r w:rsidRPr="00361328">
              <w:rPr>
                <w:rFonts w:ascii="Times New Roman" w:eastAsia="Times New Roman" w:hAnsi="Times New Roman" w:cs="Times New Roman"/>
                <w:sz w:val="24"/>
                <w:szCs w:val="24"/>
                <w:lang w:eastAsia="lv-LV"/>
              </w:rPr>
              <w:t xml:space="preserve"> uz finanšu tirgus stabilitāti un finanšu tirgus dalībnieku darbības kvalitāti. </w:t>
            </w:r>
          </w:p>
          <w:p w14:paraId="18CEE189" w14:textId="77777777" w:rsidR="00FD2008" w:rsidRPr="00361328" w:rsidRDefault="00FD2008" w:rsidP="00FD2008">
            <w:pPr>
              <w:jc w:val="both"/>
              <w:rPr>
                <w:rFonts w:ascii="Times New Roman" w:eastAsia="Times New Roman" w:hAnsi="Times New Roman" w:cs="Times New Roman"/>
                <w:sz w:val="24"/>
                <w:szCs w:val="24"/>
              </w:rPr>
            </w:pPr>
          </w:p>
          <w:p w14:paraId="53AEF4F3" w14:textId="44513CB3" w:rsidR="00FD2008" w:rsidRPr="00361328" w:rsidRDefault="00FD2008" w:rsidP="00FD2008">
            <w:pPr>
              <w:jc w:val="both"/>
              <w:rPr>
                <w:rFonts w:ascii="Times New Roman" w:hAnsi="Times New Roman" w:cs="Times New Roman"/>
                <w:color w:val="000000" w:themeColor="text1"/>
                <w:sz w:val="24"/>
                <w:szCs w:val="24"/>
              </w:rPr>
            </w:pPr>
            <w:r w:rsidRPr="00361328">
              <w:rPr>
                <w:rFonts w:ascii="Times New Roman" w:hAnsi="Times New Roman" w:cs="Times New Roman"/>
                <w:color w:val="000000" w:themeColor="text1"/>
                <w:sz w:val="24"/>
                <w:szCs w:val="24"/>
              </w:rPr>
              <w:t>Izraugoties piemērotāko līdzekli leģitīmā mērķa sasniegšanai, Latvijas Banka izvērtēja, ka nebūtu atbilstoši izdot, piemēram, zemāka ranga tiesību aktus, kuri nebūtu iestādei juridiski saistoši (ieteikumi), jo īpaši ņemot vērā tirgus izkropļojuma un regulējuma arbitrāžas riskus. Turklāt Noteikumu projekta izstrādi pilnvarojošās normas skaidri norāda uz noteikumu izstrādi.</w:t>
            </w:r>
          </w:p>
          <w:p w14:paraId="79F7E03F" w14:textId="77777777" w:rsidR="00FD2008" w:rsidRPr="00361328" w:rsidRDefault="00FD2008" w:rsidP="00FD2008">
            <w:pPr>
              <w:jc w:val="both"/>
              <w:rPr>
                <w:rFonts w:ascii="Times New Roman" w:hAnsi="Times New Roman" w:cs="Times New Roman"/>
                <w:color w:val="000000" w:themeColor="text1"/>
                <w:sz w:val="24"/>
                <w:szCs w:val="24"/>
              </w:rPr>
            </w:pPr>
          </w:p>
          <w:p w14:paraId="12569A52" w14:textId="3A55FFAC" w:rsidR="00FD2008" w:rsidRPr="00361328" w:rsidRDefault="00FD2008" w:rsidP="00FD2008">
            <w:pPr>
              <w:jc w:val="both"/>
              <w:rPr>
                <w:rFonts w:ascii="Times New Roman" w:hAnsi="Times New Roman" w:cs="Times New Roman"/>
                <w:sz w:val="24"/>
                <w:szCs w:val="24"/>
              </w:rPr>
            </w:pPr>
            <w:bookmarkStart w:id="0" w:name="_Hlk80180307"/>
            <w:r w:rsidRPr="00361328">
              <w:rPr>
                <w:rFonts w:ascii="Times New Roman" w:hAnsi="Times New Roman" w:cs="Times New Roman"/>
                <w:color w:val="000000" w:themeColor="text1"/>
                <w:sz w:val="24"/>
                <w:szCs w:val="24"/>
              </w:rPr>
              <w:t>Samērojot papildu slogu un resursus, kas tirgus dalībniekiem</w:t>
            </w:r>
            <w:r w:rsidR="00841948" w:rsidRPr="00361328">
              <w:rPr>
                <w:rFonts w:ascii="Times New Roman" w:hAnsi="Times New Roman" w:cs="Times New Roman"/>
                <w:color w:val="000000" w:themeColor="text1"/>
                <w:sz w:val="24"/>
                <w:szCs w:val="24"/>
              </w:rPr>
              <w:t> </w:t>
            </w:r>
            <w:r w:rsidRPr="00361328">
              <w:rPr>
                <w:rFonts w:ascii="Times New Roman" w:hAnsi="Times New Roman" w:cs="Times New Roman"/>
                <w:color w:val="000000" w:themeColor="text1"/>
                <w:sz w:val="24"/>
                <w:szCs w:val="24"/>
              </w:rPr>
              <w:t>– centrālaj</w:t>
            </w:r>
            <w:r w:rsidR="00880E24" w:rsidRPr="00361328">
              <w:rPr>
                <w:rFonts w:ascii="Times New Roman" w:hAnsi="Times New Roman" w:cs="Times New Roman"/>
                <w:color w:val="000000" w:themeColor="text1"/>
                <w:sz w:val="24"/>
                <w:szCs w:val="24"/>
              </w:rPr>
              <w:t>ie</w:t>
            </w:r>
            <w:r w:rsidRPr="00361328">
              <w:rPr>
                <w:rFonts w:ascii="Times New Roman" w:hAnsi="Times New Roman" w:cs="Times New Roman"/>
                <w:color w:val="000000" w:themeColor="text1"/>
                <w:sz w:val="24"/>
                <w:szCs w:val="24"/>
              </w:rPr>
              <w:t>m vērtspapīru depozitārij</w:t>
            </w:r>
            <w:r w:rsidR="00880E24" w:rsidRPr="00361328">
              <w:rPr>
                <w:rFonts w:ascii="Times New Roman" w:hAnsi="Times New Roman" w:cs="Times New Roman"/>
                <w:color w:val="000000" w:themeColor="text1"/>
                <w:sz w:val="24"/>
                <w:szCs w:val="24"/>
              </w:rPr>
              <w:t>ie</w:t>
            </w:r>
            <w:r w:rsidRPr="00361328">
              <w:rPr>
                <w:rFonts w:ascii="Times New Roman" w:hAnsi="Times New Roman" w:cs="Times New Roman"/>
                <w:color w:val="000000" w:themeColor="text1"/>
                <w:sz w:val="24"/>
                <w:szCs w:val="24"/>
              </w:rPr>
              <w:t>m</w:t>
            </w:r>
            <w:r w:rsidR="00841948" w:rsidRPr="00361328">
              <w:rPr>
                <w:rFonts w:ascii="Times New Roman" w:hAnsi="Times New Roman" w:cs="Times New Roman"/>
                <w:color w:val="000000" w:themeColor="text1"/>
                <w:sz w:val="24"/>
                <w:szCs w:val="24"/>
              </w:rPr>
              <w:t> </w:t>
            </w:r>
            <w:r w:rsidRPr="00361328">
              <w:rPr>
                <w:rFonts w:ascii="Times New Roman" w:hAnsi="Times New Roman" w:cs="Times New Roman"/>
                <w:color w:val="000000" w:themeColor="text1"/>
                <w:sz w:val="24"/>
                <w:szCs w:val="24"/>
              </w:rPr>
              <w:t>– būs jāiegulda Latvijas Bankas noteikto prasību ievērošanā, ar sabiedrības ieguvumu, jāsecina, ka sabiedrības interesēm piešķirama prioritāte un tās ieguvums būs lielāks par papildu resursu ieguldījumu, kas konkrētajam tirgus dalībniekam varētu rasties ar uzliktajiem pienākumiem, un to atsver sagaidāmie ilgtermiņa ieguvumi stabilāka finanšu sektora veidā</w:t>
            </w:r>
            <w:bookmarkEnd w:id="0"/>
            <w:r w:rsidRPr="00361328">
              <w:rPr>
                <w:rFonts w:ascii="Times New Roman" w:hAnsi="Times New Roman" w:cs="Times New Roman"/>
                <w:color w:val="000000" w:themeColor="text1"/>
                <w:sz w:val="24"/>
                <w:szCs w:val="24"/>
              </w:rPr>
              <w:t>, kas savukārt stiprinās ieguldītāju tiesisko interešu aizsardzību.</w:t>
            </w:r>
          </w:p>
        </w:tc>
      </w:tr>
      <w:tr w:rsidR="00774CC3" w:rsidRPr="00361328" w14:paraId="73006DC9" w14:textId="77777777" w:rsidTr="004D7D20">
        <w:tc>
          <w:tcPr>
            <w:tcW w:w="2547" w:type="dxa"/>
          </w:tcPr>
          <w:p w14:paraId="57036A8D" w14:textId="76ABCFE9" w:rsidR="00822148" w:rsidRPr="00361328" w:rsidRDefault="009E6A95" w:rsidP="00CB2ED4">
            <w:pPr>
              <w:jc w:val="both"/>
              <w:rPr>
                <w:rFonts w:ascii="Times New Roman" w:hAnsi="Times New Roman" w:cs="Times New Roman"/>
                <w:b/>
                <w:bCs/>
                <w:sz w:val="24"/>
                <w:szCs w:val="24"/>
              </w:rPr>
            </w:pPr>
            <w:r w:rsidRPr="00361328">
              <w:rPr>
                <w:rFonts w:ascii="Times New Roman" w:hAnsi="Times New Roman" w:cs="Times New Roman"/>
                <w:b/>
                <w:bCs/>
                <w:sz w:val="24"/>
                <w:szCs w:val="24"/>
              </w:rPr>
              <w:lastRenderedPageBreak/>
              <w:t>Spēkā stāšanās</w:t>
            </w:r>
          </w:p>
        </w:tc>
        <w:tc>
          <w:tcPr>
            <w:tcW w:w="5812" w:type="dxa"/>
          </w:tcPr>
          <w:p w14:paraId="391B9A6F" w14:textId="1710BBBD" w:rsidR="00D34E4F" w:rsidRPr="00361328" w:rsidRDefault="00602230" w:rsidP="00CB2ED4">
            <w:pPr>
              <w:jc w:val="both"/>
              <w:rPr>
                <w:rFonts w:ascii="Times New Roman" w:hAnsi="Times New Roman" w:cs="Times New Roman"/>
                <w:sz w:val="24"/>
                <w:szCs w:val="24"/>
              </w:rPr>
            </w:pPr>
            <w:r w:rsidRPr="00361328">
              <w:rPr>
                <w:rFonts w:ascii="Times New Roman" w:hAnsi="Times New Roman" w:cs="Times New Roman"/>
                <w:sz w:val="24"/>
                <w:szCs w:val="24"/>
              </w:rPr>
              <w:t>2024.</w:t>
            </w:r>
            <w:r w:rsidR="009C1B37" w:rsidRPr="00361328">
              <w:rPr>
                <w:rFonts w:ascii="Times New Roman" w:hAnsi="Times New Roman" w:cs="Times New Roman"/>
                <w:sz w:val="24"/>
                <w:szCs w:val="24"/>
              </w:rPr>
              <w:t> </w:t>
            </w:r>
            <w:r w:rsidRPr="00361328">
              <w:rPr>
                <w:rFonts w:ascii="Times New Roman" w:hAnsi="Times New Roman" w:cs="Times New Roman"/>
                <w:sz w:val="24"/>
                <w:szCs w:val="24"/>
              </w:rPr>
              <w:t>gada 1.</w:t>
            </w:r>
            <w:r w:rsidR="009C1B37" w:rsidRPr="00361328">
              <w:rPr>
                <w:rFonts w:ascii="Times New Roman" w:hAnsi="Times New Roman" w:cs="Times New Roman"/>
                <w:sz w:val="24"/>
                <w:szCs w:val="24"/>
              </w:rPr>
              <w:t> </w:t>
            </w:r>
            <w:r w:rsidR="004D2810" w:rsidRPr="00361328">
              <w:rPr>
                <w:rFonts w:ascii="Times New Roman" w:hAnsi="Times New Roman" w:cs="Times New Roman"/>
                <w:sz w:val="24"/>
                <w:szCs w:val="24"/>
              </w:rPr>
              <w:t>oktobr</w:t>
            </w:r>
            <w:r w:rsidR="005A43BD" w:rsidRPr="00361328">
              <w:rPr>
                <w:rFonts w:ascii="Times New Roman" w:hAnsi="Times New Roman" w:cs="Times New Roman"/>
                <w:sz w:val="24"/>
                <w:szCs w:val="24"/>
              </w:rPr>
              <w:t>is</w:t>
            </w:r>
            <w:r w:rsidR="00615091" w:rsidRPr="00361328">
              <w:rPr>
                <w:rFonts w:ascii="Times New Roman" w:hAnsi="Times New Roman" w:cs="Times New Roman"/>
                <w:sz w:val="24"/>
                <w:szCs w:val="24"/>
              </w:rPr>
              <w:t>.</w:t>
            </w:r>
          </w:p>
        </w:tc>
      </w:tr>
      <w:tr w:rsidR="00774CC3" w:rsidRPr="00361328" w14:paraId="3E1DDE9F" w14:textId="77777777" w:rsidTr="00731A18">
        <w:tc>
          <w:tcPr>
            <w:tcW w:w="2547" w:type="dxa"/>
          </w:tcPr>
          <w:p w14:paraId="5FBEDEFD" w14:textId="712405EF" w:rsidR="00822148" w:rsidRPr="00361328" w:rsidRDefault="009E6A95" w:rsidP="00CB2ED4">
            <w:pPr>
              <w:jc w:val="both"/>
              <w:rPr>
                <w:rFonts w:ascii="Times New Roman" w:hAnsi="Times New Roman" w:cs="Times New Roman"/>
                <w:b/>
                <w:bCs/>
                <w:sz w:val="24"/>
                <w:szCs w:val="24"/>
              </w:rPr>
            </w:pPr>
            <w:r w:rsidRPr="00361328">
              <w:rPr>
                <w:rFonts w:ascii="Times New Roman" w:hAnsi="Times New Roman" w:cs="Times New Roman"/>
                <w:b/>
                <w:bCs/>
                <w:sz w:val="24"/>
                <w:szCs w:val="24"/>
              </w:rPr>
              <w:t>Ietekme uz Latvijas Bankas budžetu</w:t>
            </w:r>
          </w:p>
        </w:tc>
        <w:tc>
          <w:tcPr>
            <w:tcW w:w="5812" w:type="dxa"/>
            <w:shd w:val="clear" w:color="auto" w:fill="auto"/>
          </w:tcPr>
          <w:p w14:paraId="387D687A" w14:textId="4BDA436B" w:rsidR="009E6A95" w:rsidRPr="00361328" w:rsidRDefault="00952874" w:rsidP="00CB2ED4">
            <w:pPr>
              <w:jc w:val="both"/>
              <w:rPr>
                <w:rFonts w:ascii="Times New Roman" w:hAnsi="Times New Roman" w:cs="Times New Roman"/>
                <w:sz w:val="24"/>
                <w:szCs w:val="24"/>
              </w:rPr>
            </w:pPr>
            <w:r w:rsidRPr="00361328">
              <w:rPr>
                <w:rFonts w:ascii="Times New Roman" w:hAnsi="Times New Roman" w:cs="Times New Roman"/>
                <w:sz w:val="24"/>
                <w:szCs w:val="24"/>
              </w:rPr>
              <w:t>Noteikumu izdošana nerada ietekmi uz Latvijas Bankas budžetu.</w:t>
            </w:r>
          </w:p>
        </w:tc>
      </w:tr>
      <w:tr w:rsidR="00774CC3" w:rsidRPr="00361328" w14:paraId="4266A97A" w14:textId="77777777" w:rsidTr="004D7D20">
        <w:tc>
          <w:tcPr>
            <w:tcW w:w="2547" w:type="dxa"/>
          </w:tcPr>
          <w:p w14:paraId="2C58F0AD" w14:textId="29E65971" w:rsidR="00822148" w:rsidRPr="00361328" w:rsidRDefault="0099611F" w:rsidP="005D030B">
            <w:pPr>
              <w:rPr>
                <w:rFonts w:ascii="Times New Roman" w:hAnsi="Times New Roman" w:cs="Times New Roman"/>
                <w:b/>
                <w:bCs/>
                <w:sz w:val="24"/>
                <w:szCs w:val="24"/>
              </w:rPr>
            </w:pPr>
            <w:r w:rsidRPr="00361328">
              <w:rPr>
                <w:rFonts w:ascii="Times New Roman" w:hAnsi="Times New Roman" w:cs="Times New Roman"/>
                <w:b/>
                <w:bCs/>
                <w:sz w:val="24"/>
                <w:szCs w:val="24"/>
              </w:rPr>
              <w:t>Administratīvā sloga un izmaksu novērtējums (tirgus dalībniekiem)</w:t>
            </w:r>
          </w:p>
        </w:tc>
        <w:tc>
          <w:tcPr>
            <w:tcW w:w="5812" w:type="dxa"/>
          </w:tcPr>
          <w:p w14:paraId="6B15E7B3" w14:textId="7B92677B" w:rsidR="00ED0183" w:rsidRPr="00361328" w:rsidRDefault="00ED0183" w:rsidP="00ED0183">
            <w:pPr>
              <w:jc w:val="both"/>
              <w:rPr>
                <w:rFonts w:ascii="Times New Roman" w:hAnsi="Times New Roman" w:cs="Times New Roman"/>
                <w:sz w:val="24"/>
                <w:szCs w:val="24"/>
                <w:lang w:eastAsia="lv-LV"/>
              </w:rPr>
            </w:pPr>
            <w:r w:rsidRPr="00361328">
              <w:rPr>
                <w:rFonts w:ascii="Times New Roman" w:hAnsi="Times New Roman" w:cs="Times New Roman"/>
                <w:sz w:val="24"/>
                <w:szCs w:val="24"/>
                <w:lang w:eastAsia="lv-LV"/>
              </w:rPr>
              <w:t xml:space="preserve">Noteikumu projekts nerada papildu administratīvo slogu centrālajam vērtspapīru depozitārijam, jo </w:t>
            </w:r>
            <w:r w:rsidR="00F046EE" w:rsidRPr="00361328">
              <w:rPr>
                <w:rFonts w:ascii="Times New Roman" w:hAnsi="Times New Roman" w:cs="Times New Roman"/>
                <w:sz w:val="24"/>
                <w:szCs w:val="24"/>
                <w:lang w:eastAsia="lv-LV"/>
              </w:rPr>
              <w:t>N</w:t>
            </w:r>
            <w:r w:rsidR="00AF5FAB" w:rsidRPr="00361328">
              <w:rPr>
                <w:rFonts w:ascii="Times New Roman" w:hAnsi="Times New Roman" w:cs="Times New Roman"/>
                <w:sz w:val="24"/>
                <w:szCs w:val="24"/>
                <w:lang w:eastAsia="lv-LV"/>
              </w:rPr>
              <w:t>oteikumu projekt</w:t>
            </w:r>
            <w:r w:rsidRPr="00361328">
              <w:rPr>
                <w:rFonts w:ascii="Times New Roman" w:hAnsi="Times New Roman" w:cs="Times New Roman"/>
                <w:sz w:val="24"/>
                <w:szCs w:val="24"/>
                <w:lang w:eastAsia="lv-LV"/>
              </w:rPr>
              <w:t>ā</w:t>
            </w:r>
            <w:r w:rsidR="00AF5FAB" w:rsidRPr="00361328">
              <w:rPr>
                <w:rFonts w:ascii="Times New Roman" w:hAnsi="Times New Roman" w:cs="Times New Roman"/>
                <w:sz w:val="24"/>
                <w:szCs w:val="24"/>
                <w:lang w:eastAsia="lv-LV"/>
              </w:rPr>
              <w:t xml:space="preserve"> </w:t>
            </w:r>
            <w:r w:rsidR="0098262B" w:rsidRPr="00361328">
              <w:rPr>
                <w:rFonts w:ascii="Times New Roman" w:hAnsi="Times New Roman" w:cs="Times New Roman"/>
                <w:sz w:val="24"/>
                <w:szCs w:val="24"/>
                <w:lang w:eastAsia="lv-LV"/>
              </w:rPr>
              <w:t>saglabātas pašlaik spēkā esošās prasības</w:t>
            </w:r>
            <w:r w:rsidR="002E04C1" w:rsidRPr="00361328">
              <w:rPr>
                <w:rFonts w:ascii="Times New Roman" w:hAnsi="Times New Roman" w:cs="Times New Roman"/>
                <w:sz w:val="24"/>
                <w:szCs w:val="24"/>
                <w:lang w:eastAsia="lv-LV"/>
              </w:rPr>
              <w:t xml:space="preserve"> </w:t>
            </w:r>
            <w:r w:rsidRPr="00361328">
              <w:rPr>
                <w:rFonts w:ascii="Times New Roman" w:hAnsi="Times New Roman" w:cs="Times New Roman"/>
                <w:sz w:val="24"/>
                <w:szCs w:val="24"/>
                <w:lang w:eastAsia="lv-LV"/>
              </w:rPr>
              <w:t xml:space="preserve">uzraudzības </w:t>
            </w:r>
            <w:r w:rsidR="009D40D0" w:rsidRPr="00361328">
              <w:rPr>
                <w:rFonts w:ascii="Times New Roman" w:hAnsi="Times New Roman" w:cs="Times New Roman"/>
                <w:sz w:val="24"/>
                <w:szCs w:val="24"/>
                <w:lang w:eastAsia="lv-LV"/>
              </w:rPr>
              <w:t>pārskatu sagatavošanai</w:t>
            </w:r>
            <w:r w:rsidR="00945EA4" w:rsidRPr="00361328">
              <w:rPr>
                <w:rFonts w:ascii="Times New Roman" w:hAnsi="Times New Roman" w:cs="Times New Roman"/>
                <w:sz w:val="24"/>
                <w:szCs w:val="24"/>
                <w:lang w:eastAsia="lv-LV"/>
              </w:rPr>
              <w:t xml:space="preserve">, savukārt </w:t>
            </w:r>
            <w:r w:rsidR="00987518" w:rsidRPr="00361328">
              <w:rPr>
                <w:rFonts w:ascii="Times New Roman" w:hAnsi="Times New Roman" w:cs="Times New Roman"/>
                <w:sz w:val="24"/>
                <w:szCs w:val="24"/>
                <w:lang w:eastAsia="lv-LV"/>
              </w:rPr>
              <w:t xml:space="preserve">uzraudzības </w:t>
            </w:r>
            <w:r w:rsidR="00945EA4" w:rsidRPr="00361328">
              <w:rPr>
                <w:rFonts w:ascii="Times New Roman" w:hAnsi="Times New Roman" w:cs="Times New Roman"/>
                <w:sz w:val="24"/>
                <w:szCs w:val="24"/>
                <w:lang w:eastAsia="lv-LV"/>
              </w:rPr>
              <w:t xml:space="preserve">pārskatu iesniegšanas </w:t>
            </w:r>
            <w:r w:rsidR="00544539" w:rsidRPr="00361328">
              <w:rPr>
                <w:rFonts w:ascii="Times New Roman" w:hAnsi="Times New Roman" w:cs="Times New Roman"/>
                <w:sz w:val="24"/>
                <w:szCs w:val="24"/>
                <w:lang w:eastAsia="lv-LV"/>
              </w:rPr>
              <w:t>sistēmas</w:t>
            </w:r>
            <w:r w:rsidR="00945EA4" w:rsidRPr="00361328">
              <w:rPr>
                <w:rFonts w:ascii="Times New Roman" w:hAnsi="Times New Roman" w:cs="Times New Roman"/>
                <w:sz w:val="24"/>
                <w:szCs w:val="24"/>
                <w:lang w:eastAsia="lv-LV"/>
              </w:rPr>
              <w:t xml:space="preserve"> maiņa nerada papildu slogu, jo paaugstināt</w:t>
            </w:r>
            <w:r w:rsidR="00657614" w:rsidRPr="00361328">
              <w:rPr>
                <w:rFonts w:ascii="Times New Roman" w:hAnsi="Times New Roman" w:cs="Times New Roman"/>
                <w:sz w:val="24"/>
                <w:szCs w:val="24"/>
                <w:lang w:eastAsia="lv-LV"/>
              </w:rPr>
              <w:t>ā</w:t>
            </w:r>
            <w:r w:rsidR="00945EA4" w:rsidRPr="00361328">
              <w:rPr>
                <w:rFonts w:ascii="Times New Roman" w:hAnsi="Times New Roman" w:cs="Times New Roman"/>
                <w:sz w:val="24"/>
                <w:szCs w:val="24"/>
                <w:lang w:eastAsia="lv-LV"/>
              </w:rPr>
              <w:t xml:space="preserve">s drošības </w:t>
            </w:r>
            <w:r w:rsidR="00544539" w:rsidRPr="00361328">
              <w:rPr>
                <w:rFonts w:ascii="Times New Roman" w:hAnsi="Times New Roman" w:cs="Times New Roman"/>
                <w:sz w:val="24"/>
                <w:szCs w:val="24"/>
                <w:lang w:eastAsia="lv-LV"/>
              </w:rPr>
              <w:t>sistēmu</w:t>
            </w:r>
            <w:r w:rsidR="00945EA4" w:rsidRPr="00361328">
              <w:rPr>
                <w:rFonts w:ascii="Times New Roman" w:hAnsi="Times New Roman" w:cs="Times New Roman"/>
                <w:sz w:val="24"/>
                <w:szCs w:val="24"/>
                <w:lang w:eastAsia="lv-LV"/>
              </w:rPr>
              <w:t xml:space="preserve"> centrālais </w:t>
            </w:r>
            <w:r w:rsidR="00945EA4" w:rsidRPr="00361328">
              <w:rPr>
                <w:rFonts w:ascii="Times New Roman" w:hAnsi="Times New Roman" w:cs="Times New Roman"/>
                <w:sz w:val="24"/>
                <w:szCs w:val="24"/>
                <w:lang w:eastAsia="lv-LV"/>
              </w:rPr>
              <w:lastRenderedPageBreak/>
              <w:t>vērtspapīru depozitārijs pašlaik izmanto citu datu iesniegšanai</w:t>
            </w:r>
            <w:r w:rsidR="009D40D0" w:rsidRPr="00361328">
              <w:rPr>
                <w:rFonts w:ascii="Times New Roman" w:hAnsi="Times New Roman" w:cs="Times New Roman"/>
                <w:sz w:val="24"/>
                <w:szCs w:val="24"/>
                <w:lang w:eastAsia="lv-LV"/>
              </w:rPr>
              <w:t>.</w:t>
            </w:r>
          </w:p>
        </w:tc>
      </w:tr>
      <w:tr w:rsidR="00774CC3" w:rsidRPr="00361328" w14:paraId="78453D7D" w14:textId="77777777" w:rsidTr="004D7D20">
        <w:tc>
          <w:tcPr>
            <w:tcW w:w="2547" w:type="dxa"/>
          </w:tcPr>
          <w:p w14:paraId="5AF60CCD" w14:textId="40437210" w:rsidR="00822148" w:rsidRPr="00361328" w:rsidRDefault="009E6A95" w:rsidP="00CB2ED4">
            <w:pPr>
              <w:jc w:val="both"/>
              <w:rPr>
                <w:rFonts w:ascii="Times New Roman" w:hAnsi="Times New Roman" w:cs="Times New Roman"/>
                <w:b/>
                <w:bCs/>
                <w:sz w:val="24"/>
                <w:szCs w:val="24"/>
              </w:rPr>
            </w:pPr>
            <w:r w:rsidRPr="00361328">
              <w:rPr>
                <w:rFonts w:ascii="Times New Roman" w:hAnsi="Times New Roman" w:cs="Times New Roman"/>
                <w:b/>
                <w:bCs/>
                <w:sz w:val="24"/>
                <w:szCs w:val="24"/>
              </w:rPr>
              <w:lastRenderedPageBreak/>
              <w:t>Saistītie dokumenti</w:t>
            </w:r>
          </w:p>
        </w:tc>
        <w:tc>
          <w:tcPr>
            <w:tcW w:w="5812" w:type="dxa"/>
          </w:tcPr>
          <w:p w14:paraId="2F8B9B13" w14:textId="77777777" w:rsidR="00D66AF9" w:rsidRPr="00361328" w:rsidRDefault="00992442" w:rsidP="009C1B37">
            <w:pPr>
              <w:pStyle w:val="ListParagraph"/>
              <w:numPr>
                <w:ilvl w:val="0"/>
                <w:numId w:val="5"/>
              </w:numPr>
              <w:ind w:left="313"/>
              <w:jc w:val="both"/>
              <w:rPr>
                <w:rFonts w:ascii="Times New Roman" w:hAnsi="Times New Roman" w:cs="Times New Roman"/>
                <w:color w:val="000000" w:themeColor="text1"/>
                <w:sz w:val="24"/>
                <w:szCs w:val="24"/>
              </w:rPr>
            </w:pPr>
            <w:hyperlink r:id="rId11" w:history="1">
              <w:r w:rsidR="00D66AF9" w:rsidRPr="00361328">
                <w:rPr>
                  <w:rStyle w:val="Hyperlink"/>
                  <w:rFonts w:ascii="Times New Roman" w:hAnsi="Times New Roman" w:cs="Times New Roman"/>
                  <w:color w:val="000000" w:themeColor="text1"/>
                  <w:sz w:val="24"/>
                  <w:szCs w:val="24"/>
                </w:rPr>
                <w:t>Finanšu instrumentu tirgus likums</w:t>
              </w:r>
            </w:hyperlink>
            <w:r w:rsidR="00D66AF9" w:rsidRPr="00361328">
              <w:rPr>
                <w:rFonts w:ascii="Times New Roman" w:hAnsi="Times New Roman" w:cs="Times New Roman"/>
                <w:color w:val="000000" w:themeColor="text1"/>
                <w:sz w:val="24"/>
                <w:szCs w:val="24"/>
              </w:rPr>
              <w:t>.</w:t>
            </w:r>
          </w:p>
          <w:p w14:paraId="0203CD8D" w14:textId="0C931FEE" w:rsidR="00D66AF9" w:rsidRPr="00361328" w:rsidRDefault="00992442" w:rsidP="009C1B37">
            <w:pPr>
              <w:pStyle w:val="ListParagraph"/>
              <w:numPr>
                <w:ilvl w:val="0"/>
                <w:numId w:val="5"/>
              </w:numPr>
              <w:ind w:left="313"/>
              <w:jc w:val="both"/>
              <w:rPr>
                <w:rFonts w:ascii="Times New Roman" w:hAnsi="Times New Roman" w:cs="Times New Roman"/>
                <w:color w:val="000000" w:themeColor="text1"/>
                <w:sz w:val="24"/>
                <w:szCs w:val="24"/>
              </w:rPr>
            </w:pPr>
            <w:hyperlink r:id="rId12" w:history="1">
              <w:r w:rsidR="00D66AF9" w:rsidRPr="00361328">
                <w:rPr>
                  <w:rStyle w:val="Hyperlink"/>
                  <w:rFonts w:ascii="Times New Roman" w:eastAsia="Times New Roman" w:hAnsi="Times New Roman" w:cs="Times New Roman"/>
                  <w:color w:val="000000" w:themeColor="text1"/>
                  <w:sz w:val="24"/>
                  <w:szCs w:val="24"/>
                  <w:lang w:eastAsia="lv-LV"/>
                </w:rPr>
                <w:t>Regula</w:t>
              </w:r>
              <w:r w:rsidR="00615091" w:rsidRPr="00361328">
                <w:rPr>
                  <w:rStyle w:val="Hyperlink"/>
                  <w:rFonts w:ascii="Times New Roman" w:eastAsia="Times New Roman" w:hAnsi="Times New Roman" w:cs="Times New Roman"/>
                  <w:color w:val="000000" w:themeColor="text1"/>
                  <w:sz w:val="24"/>
                  <w:szCs w:val="24"/>
                  <w:lang w:eastAsia="lv-LV"/>
                </w:rPr>
                <w:t xml:space="preserve"> </w:t>
              </w:r>
              <w:r w:rsidR="00D66AF9" w:rsidRPr="00361328">
                <w:rPr>
                  <w:rStyle w:val="Hyperlink"/>
                  <w:rFonts w:ascii="Times New Roman" w:eastAsia="Times New Roman" w:hAnsi="Times New Roman" w:cs="Times New Roman"/>
                  <w:color w:val="000000" w:themeColor="text1"/>
                  <w:sz w:val="24"/>
                  <w:szCs w:val="24"/>
                  <w:lang w:eastAsia="lv-LV"/>
                </w:rPr>
                <w:t>Nr. 909/2014</w:t>
              </w:r>
            </w:hyperlink>
            <w:r w:rsidR="00D66AF9" w:rsidRPr="00361328">
              <w:rPr>
                <w:rFonts w:ascii="Times New Roman" w:eastAsia="Times New Roman" w:hAnsi="Times New Roman" w:cs="Times New Roman"/>
                <w:color w:val="000000" w:themeColor="text1"/>
                <w:sz w:val="24"/>
                <w:szCs w:val="24"/>
                <w:lang w:eastAsia="lv-LV"/>
              </w:rPr>
              <w:t>.</w:t>
            </w:r>
          </w:p>
          <w:p w14:paraId="63F12400" w14:textId="4AC58887" w:rsidR="00D66AF9" w:rsidRPr="00361328" w:rsidRDefault="00992442" w:rsidP="009C1B37">
            <w:pPr>
              <w:pStyle w:val="ListParagraph"/>
              <w:numPr>
                <w:ilvl w:val="0"/>
                <w:numId w:val="5"/>
              </w:numPr>
              <w:ind w:left="313"/>
              <w:jc w:val="both"/>
              <w:rPr>
                <w:rFonts w:ascii="Times New Roman" w:hAnsi="Times New Roman" w:cs="Times New Roman"/>
                <w:color w:val="000000" w:themeColor="text1"/>
                <w:sz w:val="24"/>
                <w:szCs w:val="24"/>
              </w:rPr>
            </w:pPr>
            <w:hyperlink r:id="rId13" w:history="1">
              <w:r w:rsidR="001E461E" w:rsidRPr="00361328">
                <w:rPr>
                  <w:rStyle w:val="Hyperlink"/>
                  <w:rFonts w:ascii="Times New Roman" w:hAnsi="Times New Roman" w:cs="Times New Roman"/>
                  <w:color w:val="000000" w:themeColor="text1"/>
                  <w:sz w:val="24"/>
                  <w:szCs w:val="24"/>
                </w:rPr>
                <w:t>Regula Nr.</w:t>
              </w:r>
              <w:r w:rsidR="00615091" w:rsidRPr="00361328">
                <w:rPr>
                  <w:rStyle w:val="Hyperlink"/>
                  <w:rFonts w:ascii="Times New Roman" w:hAnsi="Times New Roman" w:cs="Times New Roman"/>
                  <w:color w:val="000000" w:themeColor="text1"/>
                  <w:sz w:val="24"/>
                  <w:szCs w:val="24"/>
                </w:rPr>
                <w:t> </w:t>
              </w:r>
              <w:r w:rsidR="001E461E" w:rsidRPr="00361328">
                <w:rPr>
                  <w:rStyle w:val="Hyperlink"/>
                  <w:rFonts w:ascii="Times New Roman" w:hAnsi="Times New Roman" w:cs="Times New Roman"/>
                  <w:color w:val="000000" w:themeColor="text1"/>
                  <w:sz w:val="24"/>
                  <w:szCs w:val="24"/>
                </w:rPr>
                <w:t>2017/390</w:t>
              </w:r>
            </w:hyperlink>
            <w:r w:rsidR="00D66AF9" w:rsidRPr="00361328">
              <w:rPr>
                <w:rFonts w:ascii="Times New Roman" w:hAnsi="Times New Roman" w:cs="Times New Roman"/>
                <w:color w:val="000000" w:themeColor="text1"/>
                <w:sz w:val="24"/>
                <w:szCs w:val="24"/>
              </w:rPr>
              <w:t>.</w:t>
            </w:r>
          </w:p>
          <w:p w14:paraId="3C123B35" w14:textId="626E49FB" w:rsidR="00D66AF9" w:rsidRPr="00361328" w:rsidRDefault="00992442" w:rsidP="009C1B37">
            <w:pPr>
              <w:pStyle w:val="ListParagraph"/>
              <w:numPr>
                <w:ilvl w:val="0"/>
                <w:numId w:val="5"/>
              </w:numPr>
              <w:ind w:left="313"/>
              <w:jc w:val="both"/>
              <w:rPr>
                <w:rFonts w:ascii="Times New Roman" w:hAnsi="Times New Roman" w:cs="Times New Roman"/>
                <w:color w:val="000000" w:themeColor="text1"/>
                <w:sz w:val="24"/>
                <w:szCs w:val="24"/>
              </w:rPr>
            </w:pPr>
            <w:hyperlink r:id="rId14" w:history="1">
              <w:r w:rsidR="00D66AF9" w:rsidRPr="00361328">
                <w:rPr>
                  <w:rStyle w:val="Hyperlink"/>
                  <w:rFonts w:ascii="Times New Roman" w:eastAsia="Times New Roman" w:hAnsi="Times New Roman" w:cs="Times New Roman"/>
                  <w:color w:val="000000" w:themeColor="text1"/>
                  <w:sz w:val="24"/>
                  <w:szCs w:val="24"/>
                  <w:lang w:eastAsia="lv-LV"/>
                </w:rPr>
                <w:t xml:space="preserve">Eiropas Parlamenta un Padomes 2013. gada 26. jūnija </w:t>
              </w:r>
              <w:r w:rsidR="002F05FC" w:rsidRPr="00361328">
                <w:rPr>
                  <w:rStyle w:val="Hyperlink"/>
                  <w:rFonts w:ascii="Times New Roman" w:eastAsia="Times New Roman" w:hAnsi="Times New Roman" w:cs="Times New Roman"/>
                  <w:color w:val="000000" w:themeColor="text1"/>
                  <w:sz w:val="24"/>
                  <w:szCs w:val="24"/>
                  <w:lang w:eastAsia="lv-LV"/>
                </w:rPr>
                <w:t>r</w:t>
              </w:r>
              <w:r w:rsidR="00D66AF9" w:rsidRPr="00361328">
                <w:rPr>
                  <w:rStyle w:val="Hyperlink"/>
                  <w:rFonts w:ascii="Times New Roman" w:eastAsia="Times New Roman" w:hAnsi="Times New Roman" w:cs="Times New Roman"/>
                  <w:color w:val="000000" w:themeColor="text1"/>
                  <w:sz w:val="24"/>
                  <w:szCs w:val="24"/>
                  <w:lang w:eastAsia="lv-LV"/>
                </w:rPr>
                <w:t>egul</w:t>
              </w:r>
              <w:r w:rsidR="002F05FC" w:rsidRPr="00361328">
                <w:rPr>
                  <w:rStyle w:val="Hyperlink"/>
                  <w:rFonts w:ascii="Times New Roman" w:eastAsia="Times New Roman" w:hAnsi="Times New Roman" w:cs="Times New Roman"/>
                  <w:color w:val="000000" w:themeColor="text1"/>
                  <w:sz w:val="24"/>
                  <w:szCs w:val="24"/>
                  <w:lang w:eastAsia="lv-LV"/>
                </w:rPr>
                <w:t>a</w:t>
              </w:r>
              <w:r w:rsidR="00D66AF9" w:rsidRPr="00361328">
                <w:rPr>
                  <w:rStyle w:val="Hyperlink"/>
                  <w:rFonts w:ascii="Times New Roman" w:eastAsia="Times New Roman" w:hAnsi="Times New Roman" w:cs="Times New Roman"/>
                  <w:color w:val="000000" w:themeColor="text1"/>
                  <w:sz w:val="24"/>
                  <w:szCs w:val="24"/>
                  <w:lang w:eastAsia="lv-LV"/>
                </w:rPr>
                <w:t xml:space="preserve"> (ES) Nr.</w:t>
              </w:r>
              <w:r w:rsidR="00615091" w:rsidRPr="00361328">
                <w:rPr>
                  <w:rStyle w:val="Hyperlink"/>
                  <w:rFonts w:ascii="Times New Roman" w:eastAsia="Times New Roman" w:hAnsi="Times New Roman" w:cs="Times New Roman"/>
                  <w:color w:val="000000" w:themeColor="text1"/>
                  <w:sz w:val="24"/>
                  <w:szCs w:val="24"/>
                  <w:lang w:eastAsia="lv-LV"/>
                </w:rPr>
                <w:t> </w:t>
              </w:r>
              <w:r w:rsidR="00D66AF9" w:rsidRPr="00361328">
                <w:rPr>
                  <w:rStyle w:val="Hyperlink"/>
                  <w:rFonts w:ascii="Times New Roman" w:eastAsia="Times New Roman" w:hAnsi="Times New Roman" w:cs="Times New Roman"/>
                  <w:color w:val="000000" w:themeColor="text1"/>
                  <w:sz w:val="24"/>
                  <w:szCs w:val="24"/>
                  <w:lang w:eastAsia="lv-LV"/>
                </w:rPr>
                <w:t xml:space="preserve">575/2013 par prudenciālajām prasībām attiecībā uz kredītiestādēm, un ar ko groza </w:t>
              </w:r>
              <w:r w:rsidR="002F05FC" w:rsidRPr="00361328">
                <w:rPr>
                  <w:rStyle w:val="Hyperlink"/>
                  <w:rFonts w:ascii="Times New Roman" w:eastAsia="Times New Roman" w:hAnsi="Times New Roman" w:cs="Times New Roman"/>
                  <w:color w:val="000000" w:themeColor="text1"/>
                  <w:sz w:val="24"/>
                  <w:szCs w:val="24"/>
                  <w:lang w:eastAsia="lv-LV"/>
                </w:rPr>
                <w:t>r</w:t>
              </w:r>
              <w:r w:rsidR="00D66AF9" w:rsidRPr="00361328">
                <w:rPr>
                  <w:rStyle w:val="Hyperlink"/>
                  <w:rFonts w:ascii="Times New Roman" w:eastAsia="Times New Roman" w:hAnsi="Times New Roman" w:cs="Times New Roman"/>
                  <w:color w:val="000000" w:themeColor="text1"/>
                  <w:sz w:val="24"/>
                  <w:szCs w:val="24"/>
                  <w:lang w:eastAsia="lv-LV"/>
                </w:rPr>
                <w:t>egulu (ES) Nr.</w:t>
              </w:r>
              <w:r w:rsidR="009C1B37" w:rsidRPr="00361328">
                <w:rPr>
                  <w:rStyle w:val="Hyperlink"/>
                  <w:rFonts w:ascii="Times New Roman" w:eastAsia="Times New Roman" w:hAnsi="Times New Roman" w:cs="Times New Roman"/>
                  <w:color w:val="000000" w:themeColor="text1"/>
                  <w:sz w:val="24"/>
                  <w:szCs w:val="24"/>
                  <w:lang w:eastAsia="lv-LV"/>
                </w:rPr>
                <w:t> </w:t>
              </w:r>
              <w:r w:rsidR="00D66AF9" w:rsidRPr="00361328">
                <w:rPr>
                  <w:rStyle w:val="Hyperlink"/>
                  <w:rFonts w:ascii="Times New Roman" w:eastAsia="Times New Roman" w:hAnsi="Times New Roman" w:cs="Times New Roman"/>
                  <w:color w:val="000000" w:themeColor="text1"/>
                  <w:sz w:val="24"/>
                  <w:szCs w:val="24"/>
                  <w:lang w:eastAsia="lv-LV"/>
                </w:rPr>
                <w:t>648/2012</w:t>
              </w:r>
            </w:hyperlink>
            <w:r w:rsidR="00D66AF9" w:rsidRPr="00361328">
              <w:rPr>
                <w:rFonts w:ascii="Times New Roman" w:eastAsia="Times New Roman" w:hAnsi="Times New Roman" w:cs="Times New Roman"/>
                <w:color w:val="000000" w:themeColor="text1"/>
                <w:sz w:val="24"/>
                <w:szCs w:val="24"/>
                <w:lang w:eastAsia="lv-LV"/>
              </w:rPr>
              <w:t>.</w:t>
            </w:r>
          </w:p>
          <w:p w14:paraId="581983FF" w14:textId="53B99E07" w:rsidR="00D66AF9" w:rsidRPr="00361328" w:rsidRDefault="00992442" w:rsidP="009C1B37">
            <w:pPr>
              <w:pStyle w:val="ListParagraph"/>
              <w:numPr>
                <w:ilvl w:val="0"/>
                <w:numId w:val="5"/>
              </w:numPr>
              <w:ind w:left="313"/>
              <w:jc w:val="both"/>
              <w:rPr>
                <w:rFonts w:ascii="Times New Roman" w:hAnsi="Times New Roman" w:cs="Times New Roman"/>
                <w:color w:val="000000" w:themeColor="text1"/>
                <w:sz w:val="24"/>
                <w:szCs w:val="24"/>
              </w:rPr>
            </w:pPr>
            <w:hyperlink r:id="rId15" w:history="1">
              <w:r w:rsidR="005B7F5C" w:rsidRPr="00361328">
                <w:rPr>
                  <w:rStyle w:val="Hyperlink"/>
                  <w:rFonts w:ascii="Times New Roman" w:eastAsia="Times New Roman" w:hAnsi="Times New Roman" w:cs="Times New Roman"/>
                  <w:color w:val="000000" w:themeColor="text1"/>
                  <w:sz w:val="24"/>
                  <w:szCs w:val="24"/>
                  <w:lang w:eastAsia="lv-LV"/>
                </w:rPr>
                <w:t>Regula Nr. 2021/451</w:t>
              </w:r>
            </w:hyperlink>
            <w:r w:rsidR="00D66AF9" w:rsidRPr="00361328">
              <w:rPr>
                <w:rFonts w:ascii="Times New Roman" w:eastAsia="Times New Roman" w:hAnsi="Times New Roman" w:cs="Times New Roman"/>
                <w:color w:val="000000" w:themeColor="text1"/>
                <w:sz w:val="24"/>
                <w:szCs w:val="24"/>
                <w:lang w:eastAsia="lv-LV"/>
              </w:rPr>
              <w:t>.</w:t>
            </w:r>
          </w:p>
          <w:p w14:paraId="4AF9B0CF" w14:textId="148A3629" w:rsidR="00D66AF9" w:rsidRPr="00361328" w:rsidRDefault="00D66AF9" w:rsidP="009C1B37">
            <w:pPr>
              <w:pStyle w:val="ListParagraph"/>
              <w:numPr>
                <w:ilvl w:val="0"/>
                <w:numId w:val="5"/>
              </w:numPr>
              <w:ind w:left="313"/>
              <w:jc w:val="both"/>
              <w:rPr>
                <w:rFonts w:ascii="Times New Roman" w:hAnsi="Times New Roman" w:cs="Times New Roman"/>
                <w:sz w:val="24"/>
                <w:szCs w:val="24"/>
              </w:rPr>
            </w:pPr>
            <w:r w:rsidRPr="00361328">
              <w:rPr>
                <w:rFonts w:ascii="Times New Roman" w:hAnsi="Times New Roman" w:cs="Times New Roman"/>
                <w:color w:val="000000" w:themeColor="text1"/>
                <w:sz w:val="24"/>
                <w:szCs w:val="24"/>
              </w:rPr>
              <w:t xml:space="preserve">Latvijas Bankas 2022. gada 24. oktobra </w:t>
            </w:r>
            <w:r w:rsidR="0033716D" w:rsidRPr="00361328">
              <w:rPr>
                <w:rFonts w:ascii="Times New Roman" w:hAnsi="Times New Roman" w:cs="Times New Roman"/>
                <w:color w:val="000000" w:themeColor="text1"/>
                <w:sz w:val="24"/>
                <w:szCs w:val="24"/>
              </w:rPr>
              <w:t>noteikumi Nr. 226</w:t>
            </w:r>
            <w:r w:rsidRPr="00361328">
              <w:rPr>
                <w:rFonts w:ascii="Times New Roman" w:hAnsi="Times New Roman" w:cs="Times New Roman"/>
                <w:color w:val="000000" w:themeColor="text1"/>
                <w:sz w:val="24"/>
                <w:szCs w:val="24"/>
              </w:rPr>
              <w:t xml:space="preserve"> </w:t>
            </w:r>
            <w:r w:rsidR="0033716D" w:rsidRPr="00361328">
              <w:rPr>
                <w:rFonts w:ascii="Times New Roman" w:eastAsia="Times New Roman" w:hAnsi="Times New Roman" w:cs="Times New Roman"/>
                <w:color w:val="000000" w:themeColor="text1"/>
                <w:sz w:val="24"/>
                <w:szCs w:val="24"/>
                <w:lang w:eastAsia="lv-LV"/>
              </w:rPr>
              <w:t>"</w:t>
            </w:r>
            <w:hyperlink r:id="rId16" w:history="1">
              <w:r w:rsidRPr="00361328">
                <w:rPr>
                  <w:rStyle w:val="Hyperlink"/>
                  <w:rFonts w:ascii="Times New Roman" w:hAnsi="Times New Roman" w:cs="Times New Roman"/>
                  <w:color w:val="000000" w:themeColor="text1"/>
                  <w:sz w:val="24"/>
                  <w:szCs w:val="24"/>
                </w:rPr>
                <w:t>Noteikumi par elektronisko informācijas apmaiņu ar Latvijas Banku</w:t>
              </w:r>
            </w:hyperlink>
            <w:r w:rsidR="0033716D" w:rsidRPr="00361328">
              <w:rPr>
                <w:rFonts w:ascii="Times New Roman" w:eastAsia="Times New Roman" w:hAnsi="Times New Roman" w:cs="Times New Roman"/>
                <w:sz w:val="24"/>
                <w:szCs w:val="24"/>
                <w:lang w:eastAsia="lv-LV"/>
              </w:rPr>
              <w:t>".</w:t>
            </w:r>
          </w:p>
          <w:p w14:paraId="2C55F282" w14:textId="37D86945" w:rsidR="009E6A95" w:rsidRPr="00361328" w:rsidRDefault="002E04C1" w:rsidP="009C1B37">
            <w:pPr>
              <w:pStyle w:val="ListParagraph"/>
              <w:numPr>
                <w:ilvl w:val="0"/>
                <w:numId w:val="5"/>
              </w:numPr>
              <w:ind w:left="313"/>
              <w:jc w:val="both"/>
              <w:rPr>
                <w:rFonts w:ascii="Times New Roman" w:hAnsi="Times New Roman" w:cs="Times New Roman"/>
                <w:sz w:val="24"/>
                <w:szCs w:val="24"/>
              </w:rPr>
            </w:pPr>
            <w:r w:rsidRPr="00361328">
              <w:rPr>
                <w:rFonts w:ascii="Times New Roman" w:eastAsia="Times New Roman" w:hAnsi="Times New Roman" w:cs="Times New Roman"/>
                <w:sz w:val="24"/>
                <w:szCs w:val="24"/>
                <w:lang w:eastAsia="lv-LV"/>
              </w:rPr>
              <w:t xml:space="preserve">Finanšu un kapitāla tirgus komisijas </w:t>
            </w:r>
            <w:r w:rsidR="009D40D0" w:rsidRPr="00361328">
              <w:rPr>
                <w:rFonts w:ascii="Times New Roman" w:eastAsia="Times New Roman" w:hAnsi="Times New Roman" w:cs="Times New Roman"/>
                <w:sz w:val="24"/>
                <w:szCs w:val="24"/>
                <w:lang w:eastAsia="lv-LV"/>
              </w:rPr>
              <w:t>2021.</w:t>
            </w:r>
            <w:r w:rsidR="009C1B37" w:rsidRPr="00361328">
              <w:rPr>
                <w:rFonts w:ascii="Times New Roman" w:eastAsia="Times New Roman" w:hAnsi="Times New Roman" w:cs="Times New Roman"/>
                <w:sz w:val="24"/>
                <w:szCs w:val="24"/>
                <w:lang w:eastAsia="lv-LV"/>
              </w:rPr>
              <w:t> </w:t>
            </w:r>
            <w:r w:rsidR="009D40D0" w:rsidRPr="00361328">
              <w:rPr>
                <w:rFonts w:ascii="Times New Roman" w:eastAsia="Times New Roman" w:hAnsi="Times New Roman" w:cs="Times New Roman"/>
                <w:sz w:val="24"/>
                <w:szCs w:val="24"/>
                <w:lang w:eastAsia="lv-LV"/>
              </w:rPr>
              <w:t xml:space="preserve">gada </w:t>
            </w:r>
            <w:r w:rsidR="009D40D0" w:rsidRPr="00361328">
              <w:rPr>
                <w:rFonts w:ascii="Times New Roman" w:eastAsia="Times New Roman" w:hAnsi="Times New Roman" w:cs="Times New Roman"/>
                <w:color w:val="000000" w:themeColor="text1"/>
                <w:sz w:val="24"/>
                <w:szCs w:val="24"/>
                <w:lang w:eastAsia="lv-LV"/>
              </w:rPr>
              <w:t>21.</w:t>
            </w:r>
            <w:r w:rsidR="009C1B37" w:rsidRPr="00361328">
              <w:rPr>
                <w:rFonts w:ascii="Times New Roman" w:eastAsia="Times New Roman" w:hAnsi="Times New Roman" w:cs="Times New Roman"/>
                <w:color w:val="000000" w:themeColor="text1"/>
                <w:sz w:val="24"/>
                <w:szCs w:val="24"/>
                <w:lang w:eastAsia="lv-LV"/>
              </w:rPr>
              <w:t> </w:t>
            </w:r>
            <w:r w:rsidR="009D40D0" w:rsidRPr="00361328">
              <w:rPr>
                <w:rFonts w:ascii="Times New Roman" w:eastAsia="Times New Roman" w:hAnsi="Times New Roman" w:cs="Times New Roman"/>
                <w:color w:val="000000" w:themeColor="text1"/>
                <w:sz w:val="24"/>
                <w:szCs w:val="24"/>
                <w:lang w:eastAsia="lv-LV"/>
              </w:rPr>
              <w:t>decembra normatīv</w:t>
            </w:r>
            <w:r w:rsidR="002F05FC" w:rsidRPr="00361328">
              <w:rPr>
                <w:rFonts w:ascii="Times New Roman" w:eastAsia="Times New Roman" w:hAnsi="Times New Roman" w:cs="Times New Roman"/>
                <w:color w:val="000000" w:themeColor="text1"/>
                <w:sz w:val="24"/>
                <w:szCs w:val="24"/>
                <w:lang w:eastAsia="lv-LV"/>
              </w:rPr>
              <w:t>ie</w:t>
            </w:r>
            <w:r w:rsidR="009D40D0" w:rsidRPr="00361328">
              <w:rPr>
                <w:rFonts w:ascii="Times New Roman" w:eastAsia="Times New Roman" w:hAnsi="Times New Roman" w:cs="Times New Roman"/>
                <w:color w:val="000000" w:themeColor="text1"/>
                <w:sz w:val="24"/>
                <w:szCs w:val="24"/>
                <w:lang w:eastAsia="lv-LV"/>
              </w:rPr>
              <w:t xml:space="preserve"> noteikum</w:t>
            </w:r>
            <w:r w:rsidR="002F05FC" w:rsidRPr="00361328">
              <w:rPr>
                <w:rFonts w:ascii="Times New Roman" w:eastAsia="Times New Roman" w:hAnsi="Times New Roman" w:cs="Times New Roman"/>
                <w:color w:val="000000" w:themeColor="text1"/>
                <w:sz w:val="24"/>
                <w:szCs w:val="24"/>
                <w:lang w:eastAsia="lv-LV"/>
              </w:rPr>
              <w:t>i</w:t>
            </w:r>
            <w:r w:rsidR="009D40D0" w:rsidRPr="00361328">
              <w:rPr>
                <w:rFonts w:ascii="Times New Roman" w:eastAsia="Times New Roman" w:hAnsi="Times New Roman" w:cs="Times New Roman"/>
                <w:color w:val="000000" w:themeColor="text1"/>
                <w:sz w:val="24"/>
                <w:szCs w:val="24"/>
                <w:lang w:eastAsia="lv-LV"/>
              </w:rPr>
              <w:t xml:space="preserve"> Nr.</w:t>
            </w:r>
            <w:r w:rsidR="009C1B37" w:rsidRPr="00361328">
              <w:rPr>
                <w:rFonts w:ascii="Times New Roman" w:eastAsia="Times New Roman" w:hAnsi="Times New Roman" w:cs="Times New Roman"/>
                <w:color w:val="000000" w:themeColor="text1"/>
                <w:sz w:val="24"/>
                <w:szCs w:val="24"/>
                <w:lang w:eastAsia="lv-LV"/>
              </w:rPr>
              <w:t> </w:t>
            </w:r>
            <w:r w:rsidR="009D40D0" w:rsidRPr="00361328">
              <w:rPr>
                <w:rFonts w:ascii="Times New Roman" w:eastAsia="Times New Roman" w:hAnsi="Times New Roman" w:cs="Times New Roman"/>
                <w:color w:val="000000" w:themeColor="text1"/>
                <w:sz w:val="24"/>
                <w:szCs w:val="24"/>
                <w:lang w:eastAsia="lv-LV"/>
              </w:rPr>
              <w:t>168 "</w:t>
            </w:r>
            <w:hyperlink r:id="rId17" w:history="1">
              <w:r w:rsidR="009D40D0" w:rsidRPr="00361328">
                <w:rPr>
                  <w:rStyle w:val="Hyperlink"/>
                  <w:rFonts w:ascii="Times New Roman" w:eastAsia="Times New Roman" w:hAnsi="Times New Roman" w:cs="Times New Roman"/>
                  <w:color w:val="000000" w:themeColor="text1"/>
                  <w:sz w:val="24"/>
                  <w:szCs w:val="24"/>
                  <w:lang w:eastAsia="lv-LV"/>
                </w:rPr>
                <w:t>Centrālo vērtspapīru depozitāriju uzraudzības pārskatu sagatavošanas un iesniegšanas normatīvie noteikumi</w:t>
              </w:r>
            </w:hyperlink>
            <w:r w:rsidR="009D40D0" w:rsidRPr="00361328">
              <w:rPr>
                <w:rFonts w:ascii="Times New Roman" w:eastAsia="Times New Roman" w:hAnsi="Times New Roman" w:cs="Times New Roman"/>
                <w:sz w:val="24"/>
                <w:szCs w:val="24"/>
                <w:lang w:eastAsia="lv-LV"/>
              </w:rPr>
              <w:t>"</w:t>
            </w:r>
            <w:r w:rsidR="00665CAD" w:rsidRPr="00361328">
              <w:rPr>
                <w:rFonts w:ascii="Times New Roman" w:hAnsi="Times New Roman" w:cs="Times New Roman"/>
                <w:sz w:val="24"/>
                <w:szCs w:val="24"/>
              </w:rPr>
              <w:t>.</w:t>
            </w:r>
          </w:p>
        </w:tc>
      </w:tr>
      <w:tr w:rsidR="00774CC3" w:rsidRPr="00361328" w14:paraId="6E8D0230" w14:textId="77777777" w:rsidTr="004D7D20">
        <w:tc>
          <w:tcPr>
            <w:tcW w:w="2547" w:type="dxa"/>
          </w:tcPr>
          <w:p w14:paraId="36731D0A" w14:textId="5D7F3E58" w:rsidR="00822148" w:rsidRPr="00361328" w:rsidRDefault="009E6A95" w:rsidP="00850201">
            <w:pPr>
              <w:rPr>
                <w:rFonts w:ascii="Times New Roman" w:hAnsi="Times New Roman" w:cs="Times New Roman"/>
                <w:b/>
                <w:bCs/>
                <w:sz w:val="24"/>
                <w:szCs w:val="24"/>
              </w:rPr>
            </w:pPr>
            <w:r w:rsidRPr="00361328">
              <w:rPr>
                <w:rFonts w:ascii="Times New Roman" w:hAnsi="Times New Roman" w:cs="Times New Roman"/>
                <w:b/>
                <w:bCs/>
                <w:sz w:val="24"/>
                <w:szCs w:val="24"/>
              </w:rPr>
              <w:t>Saskaņošana ar Eiropas Centrālo banku</w:t>
            </w:r>
          </w:p>
        </w:tc>
        <w:tc>
          <w:tcPr>
            <w:tcW w:w="5812" w:type="dxa"/>
          </w:tcPr>
          <w:p w14:paraId="792DD68E" w14:textId="53BE43BC" w:rsidR="009E6A95" w:rsidRPr="00361328" w:rsidRDefault="003A7C34" w:rsidP="00CB2ED4">
            <w:pPr>
              <w:jc w:val="both"/>
              <w:rPr>
                <w:rFonts w:ascii="Times New Roman" w:hAnsi="Times New Roman" w:cs="Times New Roman"/>
                <w:sz w:val="24"/>
                <w:szCs w:val="24"/>
              </w:rPr>
            </w:pPr>
            <w:r w:rsidRPr="00361328">
              <w:rPr>
                <w:rFonts w:ascii="Times New Roman" w:hAnsi="Times New Roman" w:cs="Times New Roman"/>
                <w:sz w:val="24"/>
                <w:szCs w:val="24"/>
              </w:rPr>
              <w:t>Noteikumu</w:t>
            </w:r>
            <w:r w:rsidR="009E6A95" w:rsidRPr="00361328">
              <w:rPr>
                <w:rFonts w:ascii="Times New Roman" w:hAnsi="Times New Roman" w:cs="Times New Roman"/>
                <w:sz w:val="24"/>
                <w:szCs w:val="24"/>
              </w:rPr>
              <w:t xml:space="preserve"> </w:t>
            </w:r>
            <w:r w:rsidR="00822148" w:rsidRPr="00361328">
              <w:rPr>
                <w:rFonts w:ascii="Times New Roman" w:hAnsi="Times New Roman" w:cs="Times New Roman"/>
                <w:sz w:val="24"/>
                <w:szCs w:val="24"/>
              </w:rPr>
              <w:t xml:space="preserve">projekts </w:t>
            </w:r>
            <w:r w:rsidR="009E6A95" w:rsidRPr="00361328">
              <w:rPr>
                <w:rFonts w:ascii="Times New Roman" w:hAnsi="Times New Roman" w:cs="Times New Roman"/>
                <w:sz w:val="24"/>
                <w:szCs w:val="24"/>
              </w:rPr>
              <w:t xml:space="preserve">nav </w:t>
            </w:r>
            <w:r w:rsidR="00952874" w:rsidRPr="00361328">
              <w:rPr>
                <w:rFonts w:ascii="Times New Roman" w:hAnsi="Times New Roman" w:cs="Times New Roman"/>
                <w:sz w:val="24"/>
                <w:szCs w:val="24"/>
              </w:rPr>
              <w:t>jā</w:t>
            </w:r>
            <w:r w:rsidR="009E6A95" w:rsidRPr="00361328">
              <w:rPr>
                <w:rFonts w:ascii="Times New Roman" w:hAnsi="Times New Roman" w:cs="Times New Roman"/>
                <w:sz w:val="24"/>
                <w:szCs w:val="24"/>
              </w:rPr>
              <w:t>saskaņo ar Eiropas Centrālo banku.</w:t>
            </w:r>
          </w:p>
        </w:tc>
      </w:tr>
      <w:tr w:rsidR="00774CC3" w:rsidRPr="00361328" w14:paraId="48DDCC66" w14:textId="77777777" w:rsidTr="004D7D20">
        <w:tc>
          <w:tcPr>
            <w:tcW w:w="2547" w:type="dxa"/>
          </w:tcPr>
          <w:p w14:paraId="58FC4ACD" w14:textId="75E381C9" w:rsidR="00822148" w:rsidRPr="00361328" w:rsidRDefault="009E6A95" w:rsidP="00850201">
            <w:pPr>
              <w:rPr>
                <w:rFonts w:ascii="Times New Roman" w:hAnsi="Times New Roman" w:cs="Times New Roman"/>
                <w:b/>
                <w:bCs/>
                <w:sz w:val="24"/>
                <w:szCs w:val="24"/>
              </w:rPr>
            </w:pPr>
            <w:r w:rsidRPr="00361328">
              <w:rPr>
                <w:rFonts w:ascii="Times New Roman" w:hAnsi="Times New Roman" w:cs="Times New Roman"/>
                <w:b/>
                <w:bCs/>
                <w:sz w:val="24"/>
                <w:szCs w:val="24"/>
              </w:rPr>
              <w:t>Saskaņošana ar citām publiskām un privātām personām</w:t>
            </w:r>
          </w:p>
        </w:tc>
        <w:tc>
          <w:tcPr>
            <w:tcW w:w="5812" w:type="dxa"/>
          </w:tcPr>
          <w:p w14:paraId="5F5F56AC" w14:textId="2F564288" w:rsidR="000755C1" w:rsidRDefault="00EA0CC6" w:rsidP="00EA0CC6">
            <w:pPr>
              <w:jc w:val="both"/>
              <w:rPr>
                <w:rFonts w:ascii="Times New Roman" w:hAnsi="Times New Roman" w:cs="Times New Roman"/>
                <w:sz w:val="24"/>
                <w:szCs w:val="24"/>
              </w:rPr>
            </w:pPr>
            <w:r w:rsidRPr="00361328">
              <w:rPr>
                <w:rFonts w:ascii="Times New Roman" w:hAnsi="Times New Roman" w:cs="Times New Roman"/>
                <w:sz w:val="24"/>
                <w:szCs w:val="24"/>
              </w:rPr>
              <w:t xml:space="preserve">Noteikumu projekts </w:t>
            </w:r>
            <w:r w:rsidR="00883C0F">
              <w:rPr>
                <w:rFonts w:ascii="Times New Roman" w:hAnsi="Times New Roman" w:cs="Times New Roman"/>
                <w:sz w:val="24"/>
                <w:szCs w:val="24"/>
              </w:rPr>
              <w:t xml:space="preserve">2024. gada 13. martā </w:t>
            </w:r>
            <w:r w:rsidRPr="00361328">
              <w:rPr>
                <w:rFonts w:ascii="Times New Roman" w:hAnsi="Times New Roman" w:cs="Times New Roman"/>
                <w:sz w:val="24"/>
                <w:szCs w:val="24"/>
              </w:rPr>
              <w:t>tik</w:t>
            </w:r>
            <w:r w:rsidR="00992442">
              <w:rPr>
                <w:rFonts w:ascii="Times New Roman" w:hAnsi="Times New Roman" w:cs="Times New Roman"/>
                <w:sz w:val="24"/>
                <w:szCs w:val="24"/>
              </w:rPr>
              <w:t>a</w:t>
            </w:r>
            <w:r w:rsidRPr="00361328">
              <w:rPr>
                <w:rFonts w:ascii="Times New Roman" w:hAnsi="Times New Roman" w:cs="Times New Roman"/>
                <w:sz w:val="24"/>
                <w:szCs w:val="24"/>
              </w:rPr>
              <w:t xml:space="preserve"> publicēts Latvijas Bankas tīmekļvietnes www.bank.lv sadaļ</w:t>
            </w:r>
            <w:r w:rsidR="005A43BD" w:rsidRPr="00361328">
              <w:rPr>
                <w:rFonts w:ascii="Times New Roman" w:hAnsi="Times New Roman" w:cs="Times New Roman"/>
                <w:sz w:val="24"/>
                <w:szCs w:val="24"/>
              </w:rPr>
              <w:t>as</w:t>
            </w:r>
            <w:r w:rsidRPr="00361328">
              <w:rPr>
                <w:rFonts w:ascii="Times New Roman" w:hAnsi="Times New Roman" w:cs="Times New Roman"/>
                <w:sz w:val="24"/>
                <w:szCs w:val="24"/>
              </w:rPr>
              <w:t xml:space="preserve"> </w:t>
            </w:r>
            <w:r w:rsidR="005A43BD" w:rsidRPr="00361328">
              <w:rPr>
                <w:rFonts w:ascii="Times New Roman" w:hAnsi="Times New Roman" w:cs="Times New Roman"/>
                <w:sz w:val="24"/>
                <w:szCs w:val="24"/>
              </w:rPr>
              <w:t xml:space="preserve">"Tiesību akti" apakšsadaļā </w:t>
            </w:r>
            <w:r w:rsidRPr="00361328">
              <w:rPr>
                <w:rFonts w:ascii="Times New Roman" w:hAnsi="Times New Roman" w:cs="Times New Roman"/>
                <w:sz w:val="24"/>
                <w:szCs w:val="24"/>
              </w:rPr>
              <w:t xml:space="preserve">"Sabiedrības līdzdalība", un par to </w:t>
            </w:r>
            <w:r w:rsidR="00883C0F">
              <w:rPr>
                <w:rFonts w:ascii="Times New Roman" w:hAnsi="Times New Roman" w:cs="Times New Roman"/>
                <w:sz w:val="24"/>
                <w:szCs w:val="24"/>
              </w:rPr>
              <w:t>līdz 2024. gada 27. martam bija</w:t>
            </w:r>
            <w:r w:rsidRPr="00361328">
              <w:rPr>
                <w:rFonts w:ascii="Times New Roman" w:hAnsi="Times New Roman" w:cs="Times New Roman"/>
                <w:sz w:val="24"/>
                <w:szCs w:val="24"/>
              </w:rPr>
              <w:t xml:space="preserve"> iespējama sabiedrības līdzdalība.</w:t>
            </w:r>
            <w:r w:rsidR="00883C0F">
              <w:rPr>
                <w:rFonts w:ascii="Times New Roman" w:hAnsi="Times New Roman" w:cs="Times New Roman"/>
                <w:sz w:val="24"/>
                <w:szCs w:val="24"/>
              </w:rPr>
              <w:t xml:space="preserve"> </w:t>
            </w:r>
            <w:r w:rsidRPr="00361328">
              <w:rPr>
                <w:rFonts w:ascii="Times New Roman" w:hAnsi="Times New Roman" w:cs="Times New Roman"/>
                <w:sz w:val="24"/>
                <w:szCs w:val="24"/>
              </w:rPr>
              <w:t xml:space="preserve">Vienlaikus par </w:t>
            </w:r>
            <w:r w:rsidR="00F046EE" w:rsidRPr="00361328">
              <w:rPr>
                <w:rFonts w:ascii="Times New Roman" w:hAnsi="Times New Roman" w:cs="Times New Roman"/>
                <w:sz w:val="24"/>
                <w:szCs w:val="24"/>
              </w:rPr>
              <w:t>N</w:t>
            </w:r>
            <w:r w:rsidR="00FA51E9" w:rsidRPr="00361328">
              <w:rPr>
                <w:rFonts w:ascii="Times New Roman" w:hAnsi="Times New Roman" w:cs="Times New Roman"/>
                <w:sz w:val="24"/>
                <w:szCs w:val="24"/>
              </w:rPr>
              <w:t xml:space="preserve">oteikumu </w:t>
            </w:r>
            <w:r w:rsidRPr="00361328">
              <w:rPr>
                <w:rFonts w:ascii="Times New Roman" w:hAnsi="Times New Roman" w:cs="Times New Roman"/>
                <w:sz w:val="24"/>
                <w:szCs w:val="24"/>
              </w:rPr>
              <w:t>projektu un notiekošo sabiedrības līdzdalību individuāli tik</w:t>
            </w:r>
            <w:r w:rsidR="00883C0F">
              <w:rPr>
                <w:rFonts w:ascii="Times New Roman" w:hAnsi="Times New Roman" w:cs="Times New Roman"/>
                <w:sz w:val="24"/>
                <w:szCs w:val="24"/>
              </w:rPr>
              <w:t>a</w:t>
            </w:r>
            <w:r w:rsidRPr="00361328">
              <w:rPr>
                <w:rFonts w:ascii="Times New Roman" w:hAnsi="Times New Roman" w:cs="Times New Roman"/>
                <w:sz w:val="24"/>
                <w:szCs w:val="24"/>
              </w:rPr>
              <w:t xml:space="preserve"> informēt</w:t>
            </w:r>
            <w:r w:rsidR="009D40D0" w:rsidRPr="00361328">
              <w:rPr>
                <w:rFonts w:ascii="Times New Roman" w:hAnsi="Times New Roman" w:cs="Times New Roman"/>
                <w:sz w:val="24"/>
                <w:szCs w:val="24"/>
              </w:rPr>
              <w:t xml:space="preserve">s </w:t>
            </w:r>
            <w:r w:rsidR="002E04C1" w:rsidRPr="00361328">
              <w:rPr>
                <w:rFonts w:ascii="Times New Roman" w:hAnsi="Times New Roman" w:cs="Times New Roman"/>
                <w:sz w:val="24"/>
                <w:szCs w:val="24"/>
              </w:rPr>
              <w:t>centrālais vērtspapīru depozitārijs</w:t>
            </w:r>
            <w:r w:rsidR="00187157" w:rsidRPr="00361328">
              <w:rPr>
                <w:rFonts w:ascii="Times New Roman" w:hAnsi="Times New Roman" w:cs="Times New Roman"/>
                <w:sz w:val="24"/>
                <w:szCs w:val="24"/>
              </w:rPr>
              <w:t xml:space="preserve"> </w:t>
            </w:r>
            <w:proofErr w:type="spellStart"/>
            <w:r w:rsidR="00187157" w:rsidRPr="00361328">
              <w:rPr>
                <w:rFonts w:ascii="Times New Roman" w:eastAsia="Times New Roman" w:hAnsi="Times New Roman" w:cs="Times New Roman"/>
                <w:sz w:val="24"/>
                <w:szCs w:val="24"/>
                <w:lang w:eastAsia="lv-LV"/>
              </w:rPr>
              <w:t>N</w:t>
            </w:r>
            <w:r w:rsidR="00385880" w:rsidRPr="00361328">
              <w:rPr>
                <w:rFonts w:ascii="Times New Roman" w:eastAsia="Times New Roman" w:hAnsi="Times New Roman" w:cs="Times New Roman"/>
                <w:sz w:val="24"/>
                <w:szCs w:val="24"/>
                <w:lang w:eastAsia="lv-LV"/>
              </w:rPr>
              <w:t>asdaq</w:t>
            </w:r>
            <w:proofErr w:type="spellEnd"/>
            <w:r w:rsidR="00615091" w:rsidRPr="00361328">
              <w:rPr>
                <w:rFonts w:ascii="Times New Roman" w:eastAsia="Times New Roman" w:hAnsi="Times New Roman" w:cs="Times New Roman"/>
                <w:sz w:val="24"/>
                <w:szCs w:val="24"/>
                <w:lang w:eastAsia="lv-LV"/>
              </w:rPr>
              <w:t> </w:t>
            </w:r>
            <w:r w:rsidR="00187157" w:rsidRPr="00361328">
              <w:rPr>
                <w:rFonts w:ascii="Times New Roman" w:eastAsia="Times New Roman" w:hAnsi="Times New Roman" w:cs="Times New Roman"/>
                <w:sz w:val="24"/>
                <w:szCs w:val="24"/>
                <w:lang w:eastAsia="lv-LV"/>
              </w:rPr>
              <w:t>CSD</w:t>
            </w:r>
            <w:r w:rsidR="00615091" w:rsidRPr="00361328">
              <w:rPr>
                <w:rFonts w:ascii="Times New Roman" w:eastAsia="Times New Roman" w:hAnsi="Times New Roman" w:cs="Times New Roman"/>
                <w:sz w:val="24"/>
                <w:szCs w:val="24"/>
                <w:lang w:eastAsia="lv-LV"/>
              </w:rPr>
              <w:t> </w:t>
            </w:r>
            <w:r w:rsidR="00187157" w:rsidRPr="00361328">
              <w:rPr>
                <w:rFonts w:ascii="Times New Roman" w:eastAsia="Times New Roman" w:hAnsi="Times New Roman" w:cs="Times New Roman"/>
                <w:sz w:val="24"/>
                <w:szCs w:val="24"/>
                <w:lang w:eastAsia="lv-LV"/>
              </w:rPr>
              <w:t>SE</w:t>
            </w:r>
            <w:r w:rsidR="002E04C1" w:rsidRPr="00361328">
              <w:rPr>
                <w:rFonts w:ascii="Times New Roman" w:hAnsi="Times New Roman" w:cs="Times New Roman"/>
                <w:sz w:val="24"/>
                <w:szCs w:val="24"/>
              </w:rPr>
              <w:t>.</w:t>
            </w:r>
          </w:p>
          <w:p w14:paraId="4F6DAAF3" w14:textId="77777777" w:rsidR="00883C0F" w:rsidRDefault="00883C0F" w:rsidP="00EA0CC6">
            <w:pPr>
              <w:jc w:val="both"/>
              <w:rPr>
                <w:rFonts w:ascii="Times New Roman" w:hAnsi="Times New Roman" w:cs="Times New Roman"/>
                <w:sz w:val="24"/>
                <w:szCs w:val="24"/>
              </w:rPr>
            </w:pPr>
          </w:p>
          <w:p w14:paraId="61CE77FB" w14:textId="391B9595" w:rsidR="00883C0F" w:rsidRPr="00361328" w:rsidRDefault="00883C0F" w:rsidP="00EA0CC6">
            <w:pPr>
              <w:jc w:val="both"/>
              <w:rPr>
                <w:rFonts w:ascii="Times New Roman" w:hAnsi="Times New Roman" w:cs="Times New Roman"/>
                <w:sz w:val="24"/>
                <w:szCs w:val="24"/>
              </w:rPr>
            </w:pPr>
            <w:r w:rsidRPr="00883C0F">
              <w:rPr>
                <w:rFonts w:ascii="Times New Roman" w:hAnsi="Times New Roman" w:cs="Times New Roman"/>
                <w:sz w:val="24"/>
                <w:szCs w:val="24"/>
              </w:rPr>
              <w:t>Noteikumu projekts tiks iesniegts izskatīšanai Latvijas Bankas konsultatīvās finanšu tirgus padomes sēdē.</w:t>
            </w:r>
          </w:p>
        </w:tc>
      </w:tr>
      <w:tr w:rsidR="00774CC3" w:rsidRPr="00774CC3" w14:paraId="69C6D010" w14:textId="77777777" w:rsidTr="004D7D20">
        <w:tc>
          <w:tcPr>
            <w:tcW w:w="2547" w:type="dxa"/>
          </w:tcPr>
          <w:p w14:paraId="19ED627F" w14:textId="441DA441" w:rsidR="00822148" w:rsidRPr="00361328" w:rsidRDefault="00FC38CB" w:rsidP="00FC38CB">
            <w:pPr>
              <w:jc w:val="both"/>
              <w:rPr>
                <w:rFonts w:ascii="Times New Roman" w:hAnsi="Times New Roman" w:cs="Times New Roman"/>
                <w:b/>
                <w:bCs/>
                <w:sz w:val="24"/>
                <w:szCs w:val="24"/>
              </w:rPr>
            </w:pPr>
            <w:r w:rsidRPr="00361328">
              <w:rPr>
                <w:rFonts w:ascii="Times New Roman" w:eastAsia="Times New Roman" w:hAnsi="Times New Roman" w:cs="Times New Roman"/>
                <w:b/>
                <w:bCs/>
                <w:sz w:val="24"/>
                <w:szCs w:val="24"/>
                <w:lang w:eastAsia="lv-LV"/>
              </w:rPr>
              <w:t>Saskaņošanas rezultāti</w:t>
            </w:r>
          </w:p>
        </w:tc>
        <w:tc>
          <w:tcPr>
            <w:tcW w:w="5812" w:type="dxa"/>
          </w:tcPr>
          <w:p w14:paraId="42E86DBD" w14:textId="74ABDA0D" w:rsidR="00FC38CB" w:rsidRPr="00774CC3" w:rsidRDefault="00883C0F" w:rsidP="00FC38CB">
            <w:pPr>
              <w:jc w:val="both"/>
              <w:rPr>
                <w:rFonts w:ascii="Times New Roman" w:hAnsi="Times New Roman" w:cs="Times New Roman"/>
                <w:sz w:val="24"/>
                <w:szCs w:val="24"/>
              </w:rPr>
            </w:pPr>
            <w:r w:rsidRPr="00883C0F">
              <w:rPr>
                <w:rFonts w:ascii="Times New Roman" w:eastAsia="Times New Roman" w:hAnsi="Times New Roman" w:cs="Times New Roman"/>
                <w:bCs/>
                <w:sz w:val="24"/>
                <w:szCs w:val="24"/>
                <w:lang w:eastAsia="lv-LV"/>
              </w:rPr>
              <w:t>Par noteikumu projektu netika saņemti iebildumi un priekšlikumi.</w:t>
            </w:r>
          </w:p>
        </w:tc>
      </w:tr>
    </w:tbl>
    <w:p w14:paraId="37E2A4CD" w14:textId="40409C4A" w:rsidR="004D7D20" w:rsidRPr="00774CC3" w:rsidRDefault="004D7D20" w:rsidP="00C4181C">
      <w:pPr>
        <w:jc w:val="both"/>
      </w:pPr>
    </w:p>
    <w:sectPr w:rsidR="004D7D20" w:rsidRPr="00774CC3" w:rsidSect="00BF04C4">
      <w:headerReference w:type="default" r:id="rId1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11A1" w14:textId="77777777" w:rsidR="00BF04C4" w:rsidRDefault="00BF04C4" w:rsidP="004D7D20">
      <w:pPr>
        <w:spacing w:after="0" w:line="240" w:lineRule="auto"/>
      </w:pPr>
      <w:r>
        <w:separator/>
      </w:r>
    </w:p>
  </w:endnote>
  <w:endnote w:type="continuationSeparator" w:id="0">
    <w:p w14:paraId="7FB54A98" w14:textId="77777777" w:rsidR="00BF04C4" w:rsidRDefault="00BF04C4"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0A431" w14:textId="77777777" w:rsidR="00BF04C4" w:rsidRDefault="00BF04C4" w:rsidP="004D7D20">
      <w:pPr>
        <w:spacing w:after="0" w:line="240" w:lineRule="auto"/>
      </w:pPr>
      <w:r>
        <w:separator/>
      </w:r>
    </w:p>
  </w:footnote>
  <w:footnote w:type="continuationSeparator" w:id="0">
    <w:p w14:paraId="5DC04D36" w14:textId="77777777" w:rsidR="00BF04C4" w:rsidRDefault="00BF04C4"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247454"/>
      <w:docPartObj>
        <w:docPartGallery w:val="Page Numbers (Top of Page)"/>
        <w:docPartUnique/>
      </w:docPartObj>
    </w:sdtPr>
    <w:sdtEndPr>
      <w:rPr>
        <w:rFonts w:ascii="Times New Roman" w:hAnsi="Times New Roman" w:cs="Times New Roman"/>
        <w:sz w:val="24"/>
        <w:szCs w:val="24"/>
      </w:rPr>
    </w:sdtEndPr>
    <w:sdtContent>
      <w:p w14:paraId="4F33CB0E" w14:textId="77777777" w:rsidR="0021474E" w:rsidRPr="0021474E" w:rsidRDefault="0021474E">
        <w:pPr>
          <w:pStyle w:val="Header"/>
          <w:jc w:val="center"/>
          <w:rPr>
            <w:rFonts w:ascii="Times New Roman" w:hAnsi="Times New Roman" w:cs="Times New Roman"/>
            <w:sz w:val="24"/>
            <w:szCs w:val="24"/>
          </w:rPr>
        </w:pPr>
        <w:r w:rsidRPr="0021474E">
          <w:rPr>
            <w:rFonts w:ascii="Times New Roman" w:hAnsi="Times New Roman" w:cs="Times New Roman"/>
            <w:sz w:val="24"/>
            <w:szCs w:val="24"/>
          </w:rPr>
          <w:fldChar w:fldCharType="begin"/>
        </w:r>
        <w:r w:rsidRPr="0021474E">
          <w:rPr>
            <w:rFonts w:ascii="Times New Roman" w:hAnsi="Times New Roman" w:cs="Times New Roman"/>
            <w:sz w:val="24"/>
            <w:szCs w:val="24"/>
          </w:rPr>
          <w:instrText>PAGE   \* MERGEFORMAT</w:instrText>
        </w:r>
        <w:r w:rsidRPr="0021474E">
          <w:rPr>
            <w:rFonts w:ascii="Times New Roman" w:hAnsi="Times New Roman" w:cs="Times New Roman"/>
            <w:sz w:val="24"/>
            <w:szCs w:val="24"/>
          </w:rPr>
          <w:fldChar w:fldCharType="separate"/>
        </w:r>
        <w:r w:rsidRPr="0021474E">
          <w:rPr>
            <w:rFonts w:ascii="Times New Roman" w:hAnsi="Times New Roman" w:cs="Times New Roman"/>
            <w:sz w:val="24"/>
            <w:szCs w:val="24"/>
          </w:rPr>
          <w:t>2</w:t>
        </w:r>
        <w:r w:rsidRPr="0021474E">
          <w:rPr>
            <w:rFonts w:ascii="Times New Roman" w:hAnsi="Times New Roman" w:cs="Times New Roman"/>
            <w:sz w:val="24"/>
            <w:szCs w:val="24"/>
          </w:rPr>
          <w:fldChar w:fldCharType="end"/>
        </w:r>
      </w:p>
    </w:sdtContent>
  </w:sdt>
  <w:p w14:paraId="3E06CCA1" w14:textId="77777777" w:rsidR="0021474E" w:rsidRDefault="002147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48E2"/>
    <w:multiLevelType w:val="hybridMultilevel"/>
    <w:tmpl w:val="982657B0"/>
    <w:lvl w:ilvl="0" w:tplc="4D88EFA6">
      <w:start w:val="1"/>
      <w:numFmt w:val="decimal"/>
      <w:lvlText w:val="%1."/>
      <w:lvlJc w:val="left"/>
      <w:pPr>
        <w:ind w:left="2760" w:hanging="360"/>
      </w:pPr>
    </w:lvl>
    <w:lvl w:ilvl="1" w:tplc="7102DDCC">
      <w:start w:val="1"/>
      <w:numFmt w:val="decimal"/>
      <w:lvlText w:val="%2."/>
      <w:lvlJc w:val="left"/>
      <w:pPr>
        <w:ind w:left="2760" w:hanging="360"/>
      </w:pPr>
    </w:lvl>
    <w:lvl w:ilvl="2" w:tplc="84EE13F6">
      <w:start w:val="1"/>
      <w:numFmt w:val="decimal"/>
      <w:lvlText w:val="%3."/>
      <w:lvlJc w:val="left"/>
      <w:pPr>
        <w:ind w:left="2760" w:hanging="360"/>
      </w:pPr>
    </w:lvl>
    <w:lvl w:ilvl="3" w:tplc="29F4FF8E">
      <w:start w:val="1"/>
      <w:numFmt w:val="decimal"/>
      <w:lvlText w:val="%4."/>
      <w:lvlJc w:val="left"/>
      <w:pPr>
        <w:ind w:left="2760" w:hanging="360"/>
      </w:pPr>
    </w:lvl>
    <w:lvl w:ilvl="4" w:tplc="A728219E">
      <w:start w:val="1"/>
      <w:numFmt w:val="decimal"/>
      <w:lvlText w:val="%5."/>
      <w:lvlJc w:val="left"/>
      <w:pPr>
        <w:ind w:left="2760" w:hanging="360"/>
      </w:pPr>
    </w:lvl>
    <w:lvl w:ilvl="5" w:tplc="1410EEFA">
      <w:start w:val="1"/>
      <w:numFmt w:val="decimal"/>
      <w:lvlText w:val="%6."/>
      <w:lvlJc w:val="left"/>
      <w:pPr>
        <w:ind w:left="2760" w:hanging="360"/>
      </w:pPr>
    </w:lvl>
    <w:lvl w:ilvl="6" w:tplc="AF4C785A">
      <w:start w:val="1"/>
      <w:numFmt w:val="decimal"/>
      <w:lvlText w:val="%7."/>
      <w:lvlJc w:val="left"/>
      <w:pPr>
        <w:ind w:left="2760" w:hanging="360"/>
      </w:pPr>
    </w:lvl>
    <w:lvl w:ilvl="7" w:tplc="9F5E3F1A">
      <w:start w:val="1"/>
      <w:numFmt w:val="decimal"/>
      <w:lvlText w:val="%8."/>
      <w:lvlJc w:val="left"/>
      <w:pPr>
        <w:ind w:left="2760" w:hanging="360"/>
      </w:pPr>
    </w:lvl>
    <w:lvl w:ilvl="8" w:tplc="12A8FBA2">
      <w:start w:val="1"/>
      <w:numFmt w:val="decimal"/>
      <w:lvlText w:val="%9."/>
      <w:lvlJc w:val="left"/>
      <w:pPr>
        <w:ind w:left="2760" w:hanging="360"/>
      </w:pPr>
    </w:lvl>
  </w:abstractNum>
  <w:abstractNum w:abstractNumId="1"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CBE072F"/>
    <w:multiLevelType w:val="hybridMultilevel"/>
    <w:tmpl w:val="D0F84B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EA60839"/>
    <w:multiLevelType w:val="hybridMultilevel"/>
    <w:tmpl w:val="28D6FB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7824C7D"/>
    <w:multiLevelType w:val="hybridMultilevel"/>
    <w:tmpl w:val="30408E8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BFC1121"/>
    <w:multiLevelType w:val="hybridMultilevel"/>
    <w:tmpl w:val="F558CE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20741383">
    <w:abstractNumId w:val="3"/>
  </w:num>
  <w:num w:numId="2" w16cid:durableId="219558385">
    <w:abstractNumId w:val="1"/>
  </w:num>
  <w:num w:numId="3" w16cid:durableId="253784293">
    <w:abstractNumId w:val="6"/>
  </w:num>
  <w:num w:numId="4" w16cid:durableId="549683054">
    <w:abstractNumId w:val="0"/>
  </w:num>
  <w:num w:numId="5" w16cid:durableId="738984515">
    <w:abstractNumId w:val="7"/>
  </w:num>
  <w:num w:numId="6" w16cid:durableId="909341779">
    <w:abstractNumId w:val="2"/>
  </w:num>
  <w:num w:numId="7" w16cid:durableId="336923999">
    <w:abstractNumId w:val="5"/>
  </w:num>
  <w:num w:numId="8" w16cid:durableId="7535484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05DD2"/>
    <w:rsid w:val="00012538"/>
    <w:rsid w:val="000133F4"/>
    <w:rsid w:val="00013443"/>
    <w:rsid w:val="000266E8"/>
    <w:rsid w:val="000266FD"/>
    <w:rsid w:val="0003229D"/>
    <w:rsid w:val="00032B00"/>
    <w:rsid w:val="00036527"/>
    <w:rsid w:val="000434F8"/>
    <w:rsid w:val="0005215D"/>
    <w:rsid w:val="00052B8F"/>
    <w:rsid w:val="0006395D"/>
    <w:rsid w:val="00070518"/>
    <w:rsid w:val="000755C1"/>
    <w:rsid w:val="00083AF9"/>
    <w:rsid w:val="00083B07"/>
    <w:rsid w:val="00094C0B"/>
    <w:rsid w:val="00096344"/>
    <w:rsid w:val="000A360D"/>
    <w:rsid w:val="000A49BC"/>
    <w:rsid w:val="000B18AB"/>
    <w:rsid w:val="000B491E"/>
    <w:rsid w:val="000B4A2E"/>
    <w:rsid w:val="000B5A74"/>
    <w:rsid w:val="000B6CE1"/>
    <w:rsid w:val="000C0DC9"/>
    <w:rsid w:val="000C2186"/>
    <w:rsid w:val="000C4902"/>
    <w:rsid w:val="000C76AC"/>
    <w:rsid w:val="000D2119"/>
    <w:rsid w:val="000D23B0"/>
    <w:rsid w:val="000D6B73"/>
    <w:rsid w:val="000D7B1E"/>
    <w:rsid w:val="000E5859"/>
    <w:rsid w:val="000F0C2A"/>
    <w:rsid w:val="000F18AE"/>
    <w:rsid w:val="000F39FA"/>
    <w:rsid w:val="000F531C"/>
    <w:rsid w:val="00100A93"/>
    <w:rsid w:val="0010496E"/>
    <w:rsid w:val="0010598D"/>
    <w:rsid w:val="00106F4D"/>
    <w:rsid w:val="001110D6"/>
    <w:rsid w:val="0011178D"/>
    <w:rsid w:val="0011303F"/>
    <w:rsid w:val="001133A1"/>
    <w:rsid w:val="00113937"/>
    <w:rsid w:val="00114C8D"/>
    <w:rsid w:val="00120718"/>
    <w:rsid w:val="00123692"/>
    <w:rsid w:val="001356E5"/>
    <w:rsid w:val="00147132"/>
    <w:rsid w:val="0015367A"/>
    <w:rsid w:val="00170221"/>
    <w:rsid w:val="001816FB"/>
    <w:rsid w:val="001827C1"/>
    <w:rsid w:val="00186DD6"/>
    <w:rsid w:val="00187157"/>
    <w:rsid w:val="00192BE7"/>
    <w:rsid w:val="001947DB"/>
    <w:rsid w:val="001A1C30"/>
    <w:rsid w:val="001C02E9"/>
    <w:rsid w:val="001E0BB0"/>
    <w:rsid w:val="001E34F2"/>
    <w:rsid w:val="001E461E"/>
    <w:rsid w:val="001E701B"/>
    <w:rsid w:val="001F1F1F"/>
    <w:rsid w:val="001F60BD"/>
    <w:rsid w:val="001F6CE3"/>
    <w:rsid w:val="0020468E"/>
    <w:rsid w:val="002051F6"/>
    <w:rsid w:val="00206343"/>
    <w:rsid w:val="00210B1F"/>
    <w:rsid w:val="00211D34"/>
    <w:rsid w:val="00212A26"/>
    <w:rsid w:val="0021474E"/>
    <w:rsid w:val="0022022D"/>
    <w:rsid w:val="0022614E"/>
    <w:rsid w:val="00242E4C"/>
    <w:rsid w:val="00251046"/>
    <w:rsid w:val="00255F29"/>
    <w:rsid w:val="002621A4"/>
    <w:rsid w:val="00266209"/>
    <w:rsid w:val="0027276E"/>
    <w:rsid w:val="0027279D"/>
    <w:rsid w:val="002834C5"/>
    <w:rsid w:val="00291665"/>
    <w:rsid w:val="00293C94"/>
    <w:rsid w:val="002969DA"/>
    <w:rsid w:val="002A7FB5"/>
    <w:rsid w:val="002B6725"/>
    <w:rsid w:val="002B75EA"/>
    <w:rsid w:val="002C6295"/>
    <w:rsid w:val="002D3FFE"/>
    <w:rsid w:val="002E04C1"/>
    <w:rsid w:val="002E35C4"/>
    <w:rsid w:val="002E5FC9"/>
    <w:rsid w:val="002E635F"/>
    <w:rsid w:val="002F05FC"/>
    <w:rsid w:val="002F1A2F"/>
    <w:rsid w:val="002F1C0C"/>
    <w:rsid w:val="00304AD5"/>
    <w:rsid w:val="00306671"/>
    <w:rsid w:val="003128D2"/>
    <w:rsid w:val="00312CED"/>
    <w:rsid w:val="00313DCA"/>
    <w:rsid w:val="00321062"/>
    <w:rsid w:val="00321D71"/>
    <w:rsid w:val="00324765"/>
    <w:rsid w:val="003260EC"/>
    <w:rsid w:val="00331568"/>
    <w:rsid w:val="00331694"/>
    <w:rsid w:val="0033716D"/>
    <w:rsid w:val="003422ED"/>
    <w:rsid w:val="00343634"/>
    <w:rsid w:val="00344C9A"/>
    <w:rsid w:val="003504CE"/>
    <w:rsid w:val="00350B45"/>
    <w:rsid w:val="003514E7"/>
    <w:rsid w:val="00356135"/>
    <w:rsid w:val="00361328"/>
    <w:rsid w:val="00364E81"/>
    <w:rsid w:val="003665E2"/>
    <w:rsid w:val="00366CC3"/>
    <w:rsid w:val="00372A50"/>
    <w:rsid w:val="00376B29"/>
    <w:rsid w:val="003770FF"/>
    <w:rsid w:val="00380848"/>
    <w:rsid w:val="00384126"/>
    <w:rsid w:val="00385880"/>
    <w:rsid w:val="003912A6"/>
    <w:rsid w:val="003A1547"/>
    <w:rsid w:val="003A2DF0"/>
    <w:rsid w:val="003A7C34"/>
    <w:rsid w:val="003B01FF"/>
    <w:rsid w:val="003B0F31"/>
    <w:rsid w:val="003B5C31"/>
    <w:rsid w:val="003B7C70"/>
    <w:rsid w:val="003C5662"/>
    <w:rsid w:val="003D15EB"/>
    <w:rsid w:val="003E0020"/>
    <w:rsid w:val="003E1F83"/>
    <w:rsid w:val="003E4F11"/>
    <w:rsid w:val="003E559F"/>
    <w:rsid w:val="003F20B8"/>
    <w:rsid w:val="00404CD6"/>
    <w:rsid w:val="00422A7C"/>
    <w:rsid w:val="00426B2C"/>
    <w:rsid w:val="00430191"/>
    <w:rsid w:val="00430443"/>
    <w:rsid w:val="00430A44"/>
    <w:rsid w:val="00431166"/>
    <w:rsid w:val="00441B3E"/>
    <w:rsid w:val="00442D8A"/>
    <w:rsid w:val="00444B91"/>
    <w:rsid w:val="0045084D"/>
    <w:rsid w:val="00456FAA"/>
    <w:rsid w:val="0045755E"/>
    <w:rsid w:val="0046451C"/>
    <w:rsid w:val="00471743"/>
    <w:rsid w:val="00471DA4"/>
    <w:rsid w:val="004772FB"/>
    <w:rsid w:val="004816A5"/>
    <w:rsid w:val="00483FEF"/>
    <w:rsid w:val="004A13C1"/>
    <w:rsid w:val="004A5625"/>
    <w:rsid w:val="004B3BBE"/>
    <w:rsid w:val="004D2810"/>
    <w:rsid w:val="004D58EB"/>
    <w:rsid w:val="004D7D20"/>
    <w:rsid w:val="004E3225"/>
    <w:rsid w:val="004E5181"/>
    <w:rsid w:val="004E638F"/>
    <w:rsid w:val="004E6EBB"/>
    <w:rsid w:val="004F068C"/>
    <w:rsid w:val="004F226D"/>
    <w:rsid w:val="004F4693"/>
    <w:rsid w:val="004F5C09"/>
    <w:rsid w:val="005028D8"/>
    <w:rsid w:val="005069E7"/>
    <w:rsid w:val="00527C8F"/>
    <w:rsid w:val="005322CF"/>
    <w:rsid w:val="00544539"/>
    <w:rsid w:val="005502D9"/>
    <w:rsid w:val="0055187E"/>
    <w:rsid w:val="005721A2"/>
    <w:rsid w:val="0059070B"/>
    <w:rsid w:val="00592E64"/>
    <w:rsid w:val="005945BA"/>
    <w:rsid w:val="005A371C"/>
    <w:rsid w:val="005A43BD"/>
    <w:rsid w:val="005A6E97"/>
    <w:rsid w:val="005B38B3"/>
    <w:rsid w:val="005B73FE"/>
    <w:rsid w:val="005B7F5C"/>
    <w:rsid w:val="005C1AD1"/>
    <w:rsid w:val="005C6F27"/>
    <w:rsid w:val="005C7A4E"/>
    <w:rsid w:val="005D030B"/>
    <w:rsid w:val="005E11EA"/>
    <w:rsid w:val="005E1EC8"/>
    <w:rsid w:val="005E2284"/>
    <w:rsid w:val="005E64B3"/>
    <w:rsid w:val="005F23C8"/>
    <w:rsid w:val="005F36CC"/>
    <w:rsid w:val="00601CE0"/>
    <w:rsid w:val="00601D56"/>
    <w:rsid w:val="00602230"/>
    <w:rsid w:val="00610ECB"/>
    <w:rsid w:val="0061206C"/>
    <w:rsid w:val="00615091"/>
    <w:rsid w:val="00616F3B"/>
    <w:rsid w:val="00617A85"/>
    <w:rsid w:val="006307A1"/>
    <w:rsid w:val="00630FA7"/>
    <w:rsid w:val="00636E46"/>
    <w:rsid w:val="0064109C"/>
    <w:rsid w:val="00650410"/>
    <w:rsid w:val="00656FF8"/>
    <w:rsid w:val="00657614"/>
    <w:rsid w:val="006603FC"/>
    <w:rsid w:val="00662DCD"/>
    <w:rsid w:val="00664B7C"/>
    <w:rsid w:val="00665CAD"/>
    <w:rsid w:val="00673281"/>
    <w:rsid w:val="006755B5"/>
    <w:rsid w:val="0068263E"/>
    <w:rsid w:val="00684DAF"/>
    <w:rsid w:val="00690659"/>
    <w:rsid w:val="0069337D"/>
    <w:rsid w:val="00695650"/>
    <w:rsid w:val="00697EFF"/>
    <w:rsid w:val="006A7F05"/>
    <w:rsid w:val="006C4B21"/>
    <w:rsid w:val="006D0C5C"/>
    <w:rsid w:val="006D5F36"/>
    <w:rsid w:val="006D6052"/>
    <w:rsid w:val="006D6D82"/>
    <w:rsid w:val="006E6155"/>
    <w:rsid w:val="006F288D"/>
    <w:rsid w:val="006F403B"/>
    <w:rsid w:val="006F4924"/>
    <w:rsid w:val="006F5239"/>
    <w:rsid w:val="006F7344"/>
    <w:rsid w:val="0070203B"/>
    <w:rsid w:val="007048E4"/>
    <w:rsid w:val="00705EC3"/>
    <w:rsid w:val="007156FD"/>
    <w:rsid w:val="0071733C"/>
    <w:rsid w:val="007200D7"/>
    <w:rsid w:val="00731A18"/>
    <w:rsid w:val="0073254C"/>
    <w:rsid w:val="00736400"/>
    <w:rsid w:val="00737059"/>
    <w:rsid w:val="00742CCF"/>
    <w:rsid w:val="00745C0D"/>
    <w:rsid w:val="0074615E"/>
    <w:rsid w:val="00751485"/>
    <w:rsid w:val="00752E86"/>
    <w:rsid w:val="007539DC"/>
    <w:rsid w:val="00760EAA"/>
    <w:rsid w:val="0076100E"/>
    <w:rsid w:val="0076258A"/>
    <w:rsid w:val="007657EB"/>
    <w:rsid w:val="007677F6"/>
    <w:rsid w:val="0077089C"/>
    <w:rsid w:val="00770C07"/>
    <w:rsid w:val="007719B2"/>
    <w:rsid w:val="007747FE"/>
    <w:rsid w:val="00774CC3"/>
    <w:rsid w:val="007824EB"/>
    <w:rsid w:val="00786B14"/>
    <w:rsid w:val="00787487"/>
    <w:rsid w:val="00797204"/>
    <w:rsid w:val="007A4EB3"/>
    <w:rsid w:val="007A52B9"/>
    <w:rsid w:val="007C2E87"/>
    <w:rsid w:val="007C394B"/>
    <w:rsid w:val="007D1262"/>
    <w:rsid w:val="007D3FB7"/>
    <w:rsid w:val="007E4E5C"/>
    <w:rsid w:val="007F2A03"/>
    <w:rsid w:val="00800B4C"/>
    <w:rsid w:val="00806BFC"/>
    <w:rsid w:val="00811236"/>
    <w:rsid w:val="00817418"/>
    <w:rsid w:val="00820D87"/>
    <w:rsid w:val="00822148"/>
    <w:rsid w:val="00825D1F"/>
    <w:rsid w:val="00830037"/>
    <w:rsid w:val="00830D61"/>
    <w:rsid w:val="0083376C"/>
    <w:rsid w:val="00834471"/>
    <w:rsid w:val="00836F4F"/>
    <w:rsid w:val="00841948"/>
    <w:rsid w:val="00842C77"/>
    <w:rsid w:val="00844507"/>
    <w:rsid w:val="00850201"/>
    <w:rsid w:val="008511D1"/>
    <w:rsid w:val="00851D4C"/>
    <w:rsid w:val="00854E07"/>
    <w:rsid w:val="00861A27"/>
    <w:rsid w:val="00867E11"/>
    <w:rsid w:val="00871F76"/>
    <w:rsid w:val="00877C44"/>
    <w:rsid w:val="00880E24"/>
    <w:rsid w:val="00883734"/>
    <w:rsid w:val="00883C0F"/>
    <w:rsid w:val="008844DB"/>
    <w:rsid w:val="008906AC"/>
    <w:rsid w:val="008B75D0"/>
    <w:rsid w:val="008C500E"/>
    <w:rsid w:val="008D1809"/>
    <w:rsid w:val="008E1CB3"/>
    <w:rsid w:val="008E292D"/>
    <w:rsid w:val="008E2CEA"/>
    <w:rsid w:val="008E5239"/>
    <w:rsid w:val="008E611A"/>
    <w:rsid w:val="008F15D4"/>
    <w:rsid w:val="008F2441"/>
    <w:rsid w:val="009023C8"/>
    <w:rsid w:val="00903BA8"/>
    <w:rsid w:val="009051B9"/>
    <w:rsid w:val="00905C0A"/>
    <w:rsid w:val="00906154"/>
    <w:rsid w:val="009105C7"/>
    <w:rsid w:val="00914420"/>
    <w:rsid w:val="00923CB5"/>
    <w:rsid w:val="00924361"/>
    <w:rsid w:val="00927070"/>
    <w:rsid w:val="00931484"/>
    <w:rsid w:val="009335D5"/>
    <w:rsid w:val="00937CCC"/>
    <w:rsid w:val="00943EA8"/>
    <w:rsid w:val="00945EA4"/>
    <w:rsid w:val="00951972"/>
    <w:rsid w:val="0095203D"/>
    <w:rsid w:val="00952874"/>
    <w:rsid w:val="009530D9"/>
    <w:rsid w:val="00954061"/>
    <w:rsid w:val="00957CFE"/>
    <w:rsid w:val="00962FA0"/>
    <w:rsid w:val="0096351E"/>
    <w:rsid w:val="00964FB9"/>
    <w:rsid w:val="00973089"/>
    <w:rsid w:val="00977615"/>
    <w:rsid w:val="009822D4"/>
    <w:rsid w:val="0098262B"/>
    <w:rsid w:val="00987518"/>
    <w:rsid w:val="00987987"/>
    <w:rsid w:val="00992442"/>
    <w:rsid w:val="0099611F"/>
    <w:rsid w:val="009961B7"/>
    <w:rsid w:val="00997819"/>
    <w:rsid w:val="009A04D5"/>
    <w:rsid w:val="009A5CC3"/>
    <w:rsid w:val="009B0544"/>
    <w:rsid w:val="009B1075"/>
    <w:rsid w:val="009C1B37"/>
    <w:rsid w:val="009C3525"/>
    <w:rsid w:val="009C3909"/>
    <w:rsid w:val="009D40D0"/>
    <w:rsid w:val="009D53DE"/>
    <w:rsid w:val="009E6A95"/>
    <w:rsid w:val="009F2D2F"/>
    <w:rsid w:val="009F5A05"/>
    <w:rsid w:val="00A16630"/>
    <w:rsid w:val="00A17F34"/>
    <w:rsid w:val="00A20C44"/>
    <w:rsid w:val="00A315F0"/>
    <w:rsid w:val="00A4254A"/>
    <w:rsid w:val="00A43DD5"/>
    <w:rsid w:val="00A46015"/>
    <w:rsid w:val="00A551E7"/>
    <w:rsid w:val="00A61684"/>
    <w:rsid w:val="00A6362C"/>
    <w:rsid w:val="00A7344A"/>
    <w:rsid w:val="00A77246"/>
    <w:rsid w:val="00A824D3"/>
    <w:rsid w:val="00A846FF"/>
    <w:rsid w:val="00A85CF9"/>
    <w:rsid w:val="00A8768B"/>
    <w:rsid w:val="00A91690"/>
    <w:rsid w:val="00A938BF"/>
    <w:rsid w:val="00A969C9"/>
    <w:rsid w:val="00A9721F"/>
    <w:rsid w:val="00AA7D93"/>
    <w:rsid w:val="00AA7E79"/>
    <w:rsid w:val="00AB3B6E"/>
    <w:rsid w:val="00AB4AF8"/>
    <w:rsid w:val="00AC77DE"/>
    <w:rsid w:val="00AD2183"/>
    <w:rsid w:val="00AD392C"/>
    <w:rsid w:val="00AE062E"/>
    <w:rsid w:val="00AE3AB1"/>
    <w:rsid w:val="00AE4E04"/>
    <w:rsid w:val="00AE604E"/>
    <w:rsid w:val="00AF3B0F"/>
    <w:rsid w:val="00AF5FAB"/>
    <w:rsid w:val="00AF7C4C"/>
    <w:rsid w:val="00B01E24"/>
    <w:rsid w:val="00B02A6D"/>
    <w:rsid w:val="00B071F2"/>
    <w:rsid w:val="00B20F58"/>
    <w:rsid w:val="00B25A88"/>
    <w:rsid w:val="00B26689"/>
    <w:rsid w:val="00B305D2"/>
    <w:rsid w:val="00B30EFC"/>
    <w:rsid w:val="00B353B7"/>
    <w:rsid w:val="00B357C2"/>
    <w:rsid w:val="00B3717D"/>
    <w:rsid w:val="00B3777E"/>
    <w:rsid w:val="00B43885"/>
    <w:rsid w:val="00B47632"/>
    <w:rsid w:val="00B55D98"/>
    <w:rsid w:val="00B71902"/>
    <w:rsid w:val="00B84167"/>
    <w:rsid w:val="00B91D57"/>
    <w:rsid w:val="00B922C6"/>
    <w:rsid w:val="00B942A2"/>
    <w:rsid w:val="00BA3686"/>
    <w:rsid w:val="00BB6E66"/>
    <w:rsid w:val="00BC2205"/>
    <w:rsid w:val="00BC3468"/>
    <w:rsid w:val="00BC411D"/>
    <w:rsid w:val="00BC4FB2"/>
    <w:rsid w:val="00BD4CAE"/>
    <w:rsid w:val="00BD6C61"/>
    <w:rsid w:val="00BE0B1C"/>
    <w:rsid w:val="00BF04C4"/>
    <w:rsid w:val="00BF0AFB"/>
    <w:rsid w:val="00BF0E98"/>
    <w:rsid w:val="00BF2932"/>
    <w:rsid w:val="00BF396C"/>
    <w:rsid w:val="00BF5BB6"/>
    <w:rsid w:val="00C079C4"/>
    <w:rsid w:val="00C246CB"/>
    <w:rsid w:val="00C3120B"/>
    <w:rsid w:val="00C36164"/>
    <w:rsid w:val="00C36F5E"/>
    <w:rsid w:val="00C4181C"/>
    <w:rsid w:val="00C519B1"/>
    <w:rsid w:val="00C54E7F"/>
    <w:rsid w:val="00C56AB3"/>
    <w:rsid w:val="00C77D1C"/>
    <w:rsid w:val="00C82B2D"/>
    <w:rsid w:val="00C833B0"/>
    <w:rsid w:val="00C92804"/>
    <w:rsid w:val="00C95193"/>
    <w:rsid w:val="00C952EC"/>
    <w:rsid w:val="00CA0E4F"/>
    <w:rsid w:val="00CA3C0C"/>
    <w:rsid w:val="00CA5AD7"/>
    <w:rsid w:val="00CA67B3"/>
    <w:rsid w:val="00CA7D59"/>
    <w:rsid w:val="00CB2ED4"/>
    <w:rsid w:val="00CB2F15"/>
    <w:rsid w:val="00CB36F6"/>
    <w:rsid w:val="00CB5D37"/>
    <w:rsid w:val="00CB67BA"/>
    <w:rsid w:val="00CC52E3"/>
    <w:rsid w:val="00CD14DA"/>
    <w:rsid w:val="00CD37E5"/>
    <w:rsid w:val="00CE18CE"/>
    <w:rsid w:val="00CE2D53"/>
    <w:rsid w:val="00CE3904"/>
    <w:rsid w:val="00CF1B8F"/>
    <w:rsid w:val="00D040FF"/>
    <w:rsid w:val="00D066B2"/>
    <w:rsid w:val="00D06984"/>
    <w:rsid w:val="00D10CD9"/>
    <w:rsid w:val="00D12B02"/>
    <w:rsid w:val="00D20628"/>
    <w:rsid w:val="00D33BB7"/>
    <w:rsid w:val="00D34E4F"/>
    <w:rsid w:val="00D37895"/>
    <w:rsid w:val="00D508F5"/>
    <w:rsid w:val="00D53004"/>
    <w:rsid w:val="00D55DE9"/>
    <w:rsid w:val="00D56DAC"/>
    <w:rsid w:val="00D57B18"/>
    <w:rsid w:val="00D619BC"/>
    <w:rsid w:val="00D65566"/>
    <w:rsid w:val="00D66AF9"/>
    <w:rsid w:val="00D67D2E"/>
    <w:rsid w:val="00D70FDF"/>
    <w:rsid w:val="00D71FB4"/>
    <w:rsid w:val="00D720FB"/>
    <w:rsid w:val="00D87F65"/>
    <w:rsid w:val="00D90B21"/>
    <w:rsid w:val="00D91C56"/>
    <w:rsid w:val="00D935EB"/>
    <w:rsid w:val="00D94D0E"/>
    <w:rsid w:val="00D96AA6"/>
    <w:rsid w:val="00DA1877"/>
    <w:rsid w:val="00DA25D5"/>
    <w:rsid w:val="00DA623C"/>
    <w:rsid w:val="00DB2E3F"/>
    <w:rsid w:val="00DB68B8"/>
    <w:rsid w:val="00DC0200"/>
    <w:rsid w:val="00DC329B"/>
    <w:rsid w:val="00DC58C2"/>
    <w:rsid w:val="00DD53D8"/>
    <w:rsid w:val="00DD59EA"/>
    <w:rsid w:val="00DF1E5D"/>
    <w:rsid w:val="00DF425D"/>
    <w:rsid w:val="00E02C21"/>
    <w:rsid w:val="00E0414D"/>
    <w:rsid w:val="00E0471F"/>
    <w:rsid w:val="00E1250A"/>
    <w:rsid w:val="00E13B14"/>
    <w:rsid w:val="00E16C53"/>
    <w:rsid w:val="00E20DE8"/>
    <w:rsid w:val="00E22880"/>
    <w:rsid w:val="00E241CF"/>
    <w:rsid w:val="00E327DA"/>
    <w:rsid w:val="00E337E7"/>
    <w:rsid w:val="00E3388B"/>
    <w:rsid w:val="00E349E3"/>
    <w:rsid w:val="00E4740D"/>
    <w:rsid w:val="00E47C44"/>
    <w:rsid w:val="00E65482"/>
    <w:rsid w:val="00E657DE"/>
    <w:rsid w:val="00E66974"/>
    <w:rsid w:val="00E67036"/>
    <w:rsid w:val="00E829A1"/>
    <w:rsid w:val="00E932B2"/>
    <w:rsid w:val="00E947CF"/>
    <w:rsid w:val="00EA061E"/>
    <w:rsid w:val="00EA0CC6"/>
    <w:rsid w:val="00EA3C17"/>
    <w:rsid w:val="00EB3BA9"/>
    <w:rsid w:val="00EB6818"/>
    <w:rsid w:val="00EC34DC"/>
    <w:rsid w:val="00EC44FD"/>
    <w:rsid w:val="00EC7BB0"/>
    <w:rsid w:val="00ED0183"/>
    <w:rsid w:val="00EE014A"/>
    <w:rsid w:val="00EE426C"/>
    <w:rsid w:val="00EE7E22"/>
    <w:rsid w:val="00EF0AFE"/>
    <w:rsid w:val="00EF5904"/>
    <w:rsid w:val="00EF64CC"/>
    <w:rsid w:val="00EF78EF"/>
    <w:rsid w:val="00F00555"/>
    <w:rsid w:val="00F0440B"/>
    <w:rsid w:val="00F046EE"/>
    <w:rsid w:val="00F11EC5"/>
    <w:rsid w:val="00F235E3"/>
    <w:rsid w:val="00F24CF6"/>
    <w:rsid w:val="00F31808"/>
    <w:rsid w:val="00F36222"/>
    <w:rsid w:val="00F40D1D"/>
    <w:rsid w:val="00F530A7"/>
    <w:rsid w:val="00F5604D"/>
    <w:rsid w:val="00F60D95"/>
    <w:rsid w:val="00F6715F"/>
    <w:rsid w:val="00F701EA"/>
    <w:rsid w:val="00F73360"/>
    <w:rsid w:val="00F75ACA"/>
    <w:rsid w:val="00F82084"/>
    <w:rsid w:val="00F85D18"/>
    <w:rsid w:val="00F910CC"/>
    <w:rsid w:val="00FA51E9"/>
    <w:rsid w:val="00FB0A09"/>
    <w:rsid w:val="00FB0F8E"/>
    <w:rsid w:val="00FB112C"/>
    <w:rsid w:val="00FB465B"/>
    <w:rsid w:val="00FB5371"/>
    <w:rsid w:val="00FB57E0"/>
    <w:rsid w:val="00FB760F"/>
    <w:rsid w:val="00FC0BBE"/>
    <w:rsid w:val="00FC0EB4"/>
    <w:rsid w:val="00FC1BCE"/>
    <w:rsid w:val="00FC38CB"/>
    <w:rsid w:val="00FC4C67"/>
    <w:rsid w:val="00FC6B3E"/>
    <w:rsid w:val="00FC71B5"/>
    <w:rsid w:val="00FD2008"/>
    <w:rsid w:val="00FD3D93"/>
    <w:rsid w:val="00FD56A1"/>
    <w:rsid w:val="00FD71EF"/>
    <w:rsid w:val="00FF05EA"/>
    <w:rsid w:val="00FF16AE"/>
    <w:rsid w:val="00FF1CB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AFBC32FF-A793-4274-A110-18D6C92ED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2147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474E"/>
  </w:style>
  <w:style w:type="paragraph" w:styleId="Footer">
    <w:name w:val="footer"/>
    <w:basedOn w:val="Normal"/>
    <w:link w:val="FooterChar"/>
    <w:uiPriority w:val="99"/>
    <w:unhideWhenUsed/>
    <w:rsid w:val="002147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4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348563296">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LV/TXT/HTML/?uri=CELEX:02017R0390-20170310"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LV/TXT/HTML/?uri=CELEX:02014R0909-20220622" TargetMode="External"/><Relationship Id="rId17" Type="http://schemas.openxmlformats.org/officeDocument/2006/relationships/hyperlink" Target="https://likumi.lv/ta/id/328822-centralo-vertspapiru-depozitariju-uzraudzibas-parskatu-sagatavosanas-un-iesniegsanas-normativie-noteikumi" TargetMode="External"/><Relationship Id="rId2" Type="http://schemas.openxmlformats.org/officeDocument/2006/relationships/customXml" Target="../customXml/item2.xml"/><Relationship Id="rId16" Type="http://schemas.openxmlformats.org/officeDocument/2006/relationships/hyperlink" Target="https://likumi.lv/ta/id/336703-noteikumi-par-elektronisko-informacijas-apmainu-ar-latvijas-bank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81995-finansu-instrumentu-tirgus-likums" TargetMode="External"/><Relationship Id="rId5" Type="http://schemas.openxmlformats.org/officeDocument/2006/relationships/numbering" Target="numbering.xml"/><Relationship Id="rId15" Type="http://schemas.openxmlformats.org/officeDocument/2006/relationships/hyperlink" Target="https://publications.europa.eu/resource/cellar/46007320-14fd-11ee-806b-01aa75ed71a1.0004.02/DOC_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LV/TXT/?uri=CELEX%3A02013R0575-20230628"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2.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3.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7257</Words>
  <Characters>4138</Characters>
  <Application>Microsoft Office Word</Application>
  <DocSecurity>0</DocSecurity>
  <Lines>34</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Ilze Grava</cp:lastModifiedBy>
  <cp:revision>3</cp:revision>
  <cp:lastPrinted>2023-11-08T17:07:00Z</cp:lastPrinted>
  <dcterms:created xsi:type="dcterms:W3CDTF">2024-04-04T12:32:00Z</dcterms:created>
  <dcterms:modified xsi:type="dcterms:W3CDTF">2024-04-08T13:08:00Z</dcterms:modified>
</cp:coreProperties>
</file>