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0D989" w14:textId="5A6ADBC9" w:rsidR="0057360C" w:rsidRDefault="0057360C" w:rsidP="0057360C">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Pr>
          <w:rFonts w:ascii="Times New Roman" w:hAnsi="Times New Roman" w:cs="Times New Roman"/>
          <w:b/>
          <w:bCs/>
          <w:sz w:val="24"/>
          <w:szCs w:val="24"/>
        </w:rPr>
        <w:t xml:space="preserve">"Maksājumu iestādes un elektroniskās naudas iestādes darbību </w:t>
      </w:r>
      <w:r w:rsidR="007E1BB5">
        <w:rPr>
          <w:rFonts w:ascii="Times New Roman" w:hAnsi="Times New Roman" w:cs="Times New Roman"/>
          <w:b/>
          <w:bCs/>
          <w:sz w:val="24"/>
          <w:szCs w:val="24"/>
        </w:rPr>
        <w:t xml:space="preserve">regulējošo </w:t>
      </w:r>
      <w:r>
        <w:rPr>
          <w:rFonts w:ascii="Times New Roman" w:hAnsi="Times New Roman" w:cs="Times New Roman"/>
          <w:b/>
          <w:bCs/>
          <w:sz w:val="24"/>
          <w:szCs w:val="24"/>
        </w:rPr>
        <w:t>prasību un pārskatu sagatavošanas noteikumi"</w:t>
      </w:r>
      <w:r w:rsidRPr="00C23668">
        <w:rPr>
          <w:rFonts w:ascii="Times New Roman" w:hAnsi="Times New Roman" w:cs="Times New Roman"/>
          <w:b/>
          <w:bCs/>
          <w:sz w:val="24"/>
          <w:szCs w:val="24"/>
        </w:rPr>
        <w:t xml:space="preserve"> </w:t>
      </w:r>
      <w:r w:rsidRPr="00CA28AB">
        <w:rPr>
          <w:rFonts w:ascii="Times New Roman" w:hAnsi="Times New Roman" w:cs="Times New Roman"/>
          <w:b/>
          <w:bCs/>
          <w:sz w:val="24"/>
          <w:szCs w:val="24"/>
        </w:rPr>
        <w:t>anotācija</w:t>
      </w:r>
    </w:p>
    <w:p w14:paraId="1253CC0B" w14:textId="77777777" w:rsidR="00190DDF" w:rsidRPr="00CA28AB" w:rsidRDefault="00190DDF" w:rsidP="0057360C">
      <w:pPr>
        <w:spacing w:after="0" w:line="240" w:lineRule="auto"/>
        <w:jc w:val="center"/>
        <w:rPr>
          <w:rFonts w:ascii="Times New Roman" w:hAnsi="Times New Roman" w:cs="Times New Roman"/>
          <w:b/>
          <w:bCs/>
          <w:sz w:val="24"/>
          <w:szCs w:val="24"/>
        </w:rPr>
      </w:pPr>
    </w:p>
    <w:tbl>
      <w:tblPr>
        <w:tblStyle w:val="Reatabula"/>
        <w:tblW w:w="8359" w:type="dxa"/>
        <w:tblLook w:val="04A0" w:firstRow="1" w:lastRow="0" w:firstColumn="1" w:lastColumn="0" w:noHBand="0" w:noVBand="1"/>
      </w:tblPr>
      <w:tblGrid>
        <w:gridCol w:w="1980"/>
        <w:gridCol w:w="6379"/>
      </w:tblGrid>
      <w:tr w:rsidR="00E02C21" w:rsidRPr="007B1360" w14:paraId="2AC98F6A" w14:textId="77777777" w:rsidTr="009B620B">
        <w:tc>
          <w:tcPr>
            <w:tcW w:w="1980" w:type="dxa"/>
          </w:tcPr>
          <w:p w14:paraId="68548ECA" w14:textId="5D13C2F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Nosaukums</w:t>
            </w:r>
          </w:p>
        </w:tc>
        <w:tc>
          <w:tcPr>
            <w:tcW w:w="6379" w:type="dxa"/>
          </w:tcPr>
          <w:p w14:paraId="0EF6BD51" w14:textId="228AA4F3" w:rsidR="004D7D20" w:rsidRPr="007B1360" w:rsidRDefault="0057360C" w:rsidP="00CB2ED4">
            <w:pPr>
              <w:jc w:val="both"/>
              <w:rPr>
                <w:rFonts w:ascii="Times New Roman" w:hAnsi="Times New Roman" w:cs="Times New Roman"/>
                <w:sz w:val="24"/>
                <w:szCs w:val="24"/>
              </w:rPr>
            </w:pPr>
            <w:r>
              <w:rPr>
                <w:rFonts w:ascii="Times New Roman" w:eastAsia="Times New Roman" w:hAnsi="Times New Roman" w:cs="Times New Roman"/>
                <w:sz w:val="24"/>
                <w:szCs w:val="24"/>
                <w:lang w:eastAsia="lv-LV"/>
              </w:rPr>
              <w:t xml:space="preserve">Maksājumu iestādes un elektroniskās naudas iestādes darbību </w:t>
            </w:r>
            <w:r w:rsidR="007E1BB5">
              <w:rPr>
                <w:rFonts w:ascii="Times New Roman" w:eastAsia="Times New Roman" w:hAnsi="Times New Roman" w:cs="Times New Roman"/>
                <w:sz w:val="24"/>
                <w:szCs w:val="24"/>
                <w:lang w:eastAsia="lv-LV"/>
              </w:rPr>
              <w:t xml:space="preserve">regulējošo </w:t>
            </w:r>
            <w:r>
              <w:rPr>
                <w:rFonts w:ascii="Times New Roman" w:eastAsia="Times New Roman" w:hAnsi="Times New Roman" w:cs="Times New Roman"/>
                <w:sz w:val="24"/>
                <w:szCs w:val="24"/>
                <w:lang w:eastAsia="lv-LV"/>
              </w:rPr>
              <w:t>prasību un pārskatu sagatavošanas noteikumi</w:t>
            </w:r>
          </w:p>
        </w:tc>
      </w:tr>
      <w:tr w:rsidR="00A61684" w:rsidRPr="007B1360" w14:paraId="02230D17" w14:textId="77777777" w:rsidTr="009B620B">
        <w:tc>
          <w:tcPr>
            <w:tcW w:w="1980" w:type="dxa"/>
          </w:tcPr>
          <w:p w14:paraId="118F97D3" w14:textId="47F841DE"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Dokumenta veids</w:t>
            </w:r>
          </w:p>
        </w:tc>
        <w:tc>
          <w:tcPr>
            <w:tcW w:w="6379" w:type="dxa"/>
          </w:tcPr>
          <w:p w14:paraId="4CC0239D" w14:textId="710EA1F9" w:rsidR="004D7D20" w:rsidRPr="007B1360" w:rsidRDefault="00952874" w:rsidP="00CB2ED4">
            <w:pPr>
              <w:jc w:val="both"/>
              <w:rPr>
                <w:rFonts w:ascii="Times New Roman" w:hAnsi="Times New Roman" w:cs="Times New Roman"/>
                <w:sz w:val="24"/>
                <w:szCs w:val="24"/>
              </w:rPr>
            </w:pPr>
            <w:r w:rsidRPr="007B1360">
              <w:rPr>
                <w:rFonts w:ascii="Times New Roman" w:hAnsi="Times New Roman" w:cs="Times New Roman"/>
                <w:sz w:val="24"/>
                <w:szCs w:val="24"/>
              </w:rPr>
              <w:t>Latvijas Bankas noteikumi</w:t>
            </w:r>
          </w:p>
        </w:tc>
      </w:tr>
      <w:tr w:rsidR="00A61684" w:rsidRPr="007B1360" w14:paraId="1E36ACC8" w14:textId="77777777" w:rsidTr="009B620B">
        <w:tc>
          <w:tcPr>
            <w:tcW w:w="1980" w:type="dxa"/>
          </w:tcPr>
          <w:p w14:paraId="15B9D0AC" w14:textId="168434E5" w:rsidR="004D7D20" w:rsidRPr="007B1360" w:rsidRDefault="004D7D20"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Izdošanas pamatojums</w:t>
            </w:r>
          </w:p>
        </w:tc>
        <w:tc>
          <w:tcPr>
            <w:tcW w:w="6379" w:type="dxa"/>
          </w:tcPr>
          <w:p w14:paraId="577079D4" w14:textId="740845A3" w:rsidR="00AF3B0F" w:rsidRDefault="0057360C" w:rsidP="00CB2ED4">
            <w:pPr>
              <w:jc w:val="both"/>
              <w:rPr>
                <w:rFonts w:ascii="Times New Roman" w:hAnsi="Times New Roman" w:cs="Times New Roman"/>
                <w:sz w:val="24"/>
                <w:szCs w:val="24"/>
              </w:rPr>
            </w:pPr>
            <w:r>
              <w:rPr>
                <w:rFonts w:ascii="Times New Roman" w:eastAsia="Times New Roman" w:hAnsi="Times New Roman" w:cs="Times New Roman"/>
                <w:sz w:val="24"/>
                <w:szCs w:val="24"/>
                <w:lang w:eastAsia="lv-LV"/>
              </w:rPr>
              <w:t>Maksājumu pakalpojumu un elektroniskās naudas likuma 35.</w:t>
            </w:r>
            <w:r w:rsidR="007E1BB5">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otrā daļa, 38.</w:t>
            </w:r>
            <w:r w:rsidR="005717A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pirmās daļas 1.</w:t>
            </w:r>
            <w:r w:rsidR="005717A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punkts un 48.</w:t>
            </w:r>
            <w:r w:rsidR="005717A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pirmā daļa</w:t>
            </w:r>
          </w:p>
          <w:p w14:paraId="14871B80" w14:textId="027D62EA" w:rsidR="007E1BB5" w:rsidRPr="007B1360" w:rsidRDefault="007E1BB5" w:rsidP="00CB2ED4">
            <w:pPr>
              <w:jc w:val="both"/>
              <w:rPr>
                <w:rFonts w:ascii="Times New Roman" w:hAnsi="Times New Roman" w:cs="Times New Roman"/>
                <w:sz w:val="24"/>
                <w:szCs w:val="24"/>
              </w:rPr>
            </w:pPr>
            <w:r>
              <w:rPr>
                <w:rFonts w:ascii="Times New Roman" w:hAnsi="Times New Roman" w:cs="Times New Roman"/>
                <w:sz w:val="24"/>
                <w:szCs w:val="24"/>
              </w:rPr>
              <w:t>Latvijas Bankas likuma 63. panta otrā daļa un 68. panta trešā daļa</w:t>
            </w:r>
          </w:p>
        </w:tc>
      </w:tr>
      <w:tr w:rsidR="00A61684" w:rsidRPr="007B1360" w14:paraId="46DB522F" w14:textId="77777777" w:rsidTr="009B620B">
        <w:tc>
          <w:tcPr>
            <w:tcW w:w="1980" w:type="dxa"/>
          </w:tcPr>
          <w:p w14:paraId="2B8F0582" w14:textId="51CB8878" w:rsidR="008D0C81"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t>Mērķis un būtība</w:t>
            </w:r>
          </w:p>
        </w:tc>
        <w:tc>
          <w:tcPr>
            <w:tcW w:w="6379" w:type="dxa"/>
          </w:tcPr>
          <w:p w14:paraId="75C0AE81" w14:textId="750F1792" w:rsidR="0057360C" w:rsidRPr="0057360C" w:rsidRDefault="0057360C" w:rsidP="0057360C">
            <w:pPr>
              <w:jc w:val="both"/>
              <w:rPr>
                <w:rFonts w:ascii="Times New Roman" w:hAnsi="Times New Roman" w:cs="Times New Roman"/>
                <w:sz w:val="24"/>
                <w:szCs w:val="24"/>
              </w:rPr>
            </w:pPr>
            <w:r w:rsidRPr="0057360C">
              <w:rPr>
                <w:rFonts w:ascii="Times New Roman" w:hAnsi="Times New Roman" w:cs="Times New Roman"/>
                <w:sz w:val="24"/>
                <w:szCs w:val="24"/>
              </w:rPr>
              <w:t>Saskaņā ar Latvijas Bankas likuma pārejas noteikumu 3.</w:t>
            </w:r>
            <w:r w:rsidR="005717A7">
              <w:rPr>
                <w:rFonts w:ascii="Times New Roman" w:hAnsi="Times New Roman" w:cs="Times New Roman"/>
                <w:sz w:val="24"/>
                <w:szCs w:val="24"/>
              </w:rPr>
              <w:t> </w:t>
            </w:r>
            <w:r w:rsidRPr="0057360C">
              <w:rPr>
                <w:rFonts w:ascii="Times New Roman" w:hAnsi="Times New Roman" w:cs="Times New Roman"/>
                <w:sz w:val="24"/>
                <w:szCs w:val="24"/>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5717A7">
              <w:rPr>
                <w:rFonts w:ascii="Times New Roman" w:hAnsi="Times New Roman" w:cs="Times New Roman"/>
                <w:sz w:val="24"/>
                <w:szCs w:val="24"/>
              </w:rPr>
              <w:t> </w:t>
            </w:r>
            <w:r w:rsidRPr="0057360C">
              <w:rPr>
                <w:rFonts w:ascii="Times New Roman" w:hAnsi="Times New Roman" w:cs="Times New Roman"/>
                <w:sz w:val="24"/>
                <w:szCs w:val="24"/>
              </w:rPr>
              <w:t>gada 31.</w:t>
            </w:r>
            <w:r w:rsidR="005717A7">
              <w:rPr>
                <w:rFonts w:ascii="Times New Roman" w:hAnsi="Times New Roman" w:cs="Times New Roman"/>
                <w:sz w:val="24"/>
                <w:szCs w:val="24"/>
              </w:rPr>
              <w:t> </w:t>
            </w:r>
            <w:r w:rsidRPr="0057360C">
              <w:rPr>
                <w:rFonts w:ascii="Times New Roman" w:hAnsi="Times New Roman" w:cs="Times New Roman"/>
                <w:sz w:val="24"/>
                <w:szCs w:val="24"/>
              </w:rPr>
              <w:t>decembrim.</w:t>
            </w:r>
          </w:p>
          <w:p w14:paraId="7BF3831F" w14:textId="738663FF" w:rsidR="0057360C" w:rsidRDefault="0057360C" w:rsidP="0057360C">
            <w:pPr>
              <w:jc w:val="both"/>
              <w:rPr>
                <w:rFonts w:ascii="Times New Roman" w:hAnsi="Times New Roman" w:cs="Times New Roman"/>
                <w:sz w:val="24"/>
                <w:szCs w:val="24"/>
              </w:rPr>
            </w:pPr>
            <w:r w:rsidRPr="0057360C">
              <w:rPr>
                <w:rFonts w:ascii="Times New Roman" w:hAnsi="Times New Roman" w:cs="Times New Roman"/>
                <w:sz w:val="24"/>
                <w:szCs w:val="24"/>
              </w:rPr>
              <w:t>Ņemot vērā minēto, Latvijas Banka ir izstrādājusi noteikumu projektu "Maksājumu iestādes un elektroniskās naudas iestādes darbību reglamentējošo prasību un pārskatu sagatavošanas noteikumi " (turpmāk</w:t>
            </w:r>
            <w:r w:rsidR="00E007AB">
              <w:rPr>
                <w:rFonts w:ascii="Times New Roman" w:hAnsi="Times New Roman" w:cs="Times New Roman"/>
                <w:sz w:val="24"/>
                <w:szCs w:val="24"/>
              </w:rPr>
              <w:t> </w:t>
            </w:r>
            <w:r w:rsidRPr="0057360C">
              <w:rPr>
                <w:rFonts w:ascii="Times New Roman" w:hAnsi="Times New Roman" w:cs="Times New Roman"/>
                <w:sz w:val="24"/>
                <w:szCs w:val="24"/>
              </w:rPr>
              <w:t xml:space="preserve">– noteikumu projekts), kas </w:t>
            </w:r>
            <w:r w:rsidR="0099587C">
              <w:rPr>
                <w:rFonts w:ascii="Times New Roman" w:hAnsi="Times New Roman" w:cs="Times New Roman"/>
                <w:sz w:val="24"/>
                <w:szCs w:val="24"/>
              </w:rPr>
              <w:t>ar 2024.</w:t>
            </w:r>
            <w:r w:rsidR="005717A7">
              <w:rPr>
                <w:rFonts w:ascii="Times New Roman" w:hAnsi="Times New Roman" w:cs="Times New Roman"/>
                <w:sz w:val="24"/>
                <w:szCs w:val="24"/>
              </w:rPr>
              <w:t> </w:t>
            </w:r>
            <w:r w:rsidR="0099587C">
              <w:rPr>
                <w:rFonts w:ascii="Times New Roman" w:hAnsi="Times New Roman" w:cs="Times New Roman"/>
                <w:sz w:val="24"/>
                <w:szCs w:val="24"/>
              </w:rPr>
              <w:t>gada 1.</w:t>
            </w:r>
            <w:r w:rsidR="005717A7">
              <w:rPr>
                <w:rFonts w:ascii="Times New Roman" w:hAnsi="Times New Roman" w:cs="Times New Roman"/>
                <w:sz w:val="24"/>
                <w:szCs w:val="24"/>
              </w:rPr>
              <w:t> </w:t>
            </w:r>
            <w:r w:rsidR="0099587C">
              <w:rPr>
                <w:rFonts w:ascii="Times New Roman" w:hAnsi="Times New Roman" w:cs="Times New Roman"/>
                <w:sz w:val="24"/>
                <w:szCs w:val="24"/>
              </w:rPr>
              <w:t xml:space="preserve">janvāri </w:t>
            </w:r>
            <w:r w:rsidRPr="0057360C">
              <w:rPr>
                <w:rFonts w:ascii="Times New Roman" w:hAnsi="Times New Roman" w:cs="Times New Roman"/>
                <w:sz w:val="24"/>
                <w:szCs w:val="24"/>
              </w:rPr>
              <w:t xml:space="preserve">aizstās </w:t>
            </w:r>
            <w:r w:rsidR="0099587C">
              <w:rPr>
                <w:rFonts w:ascii="Times New Roman" w:hAnsi="Times New Roman" w:cs="Times New Roman"/>
                <w:sz w:val="24"/>
                <w:szCs w:val="24"/>
              </w:rPr>
              <w:t xml:space="preserve">pašlaik spēkā esošos </w:t>
            </w:r>
            <w:r w:rsidRPr="0057360C">
              <w:rPr>
                <w:rFonts w:ascii="Times New Roman" w:hAnsi="Times New Roman" w:cs="Times New Roman"/>
                <w:sz w:val="24"/>
                <w:szCs w:val="24"/>
              </w:rPr>
              <w:t>Finanšu un kapitāla tirgus komisijas 2020.</w:t>
            </w:r>
            <w:r w:rsidR="00866AB0">
              <w:rPr>
                <w:rFonts w:ascii="Times New Roman" w:hAnsi="Times New Roman" w:cs="Times New Roman"/>
                <w:sz w:val="24"/>
                <w:szCs w:val="24"/>
              </w:rPr>
              <w:t> </w:t>
            </w:r>
            <w:r w:rsidRPr="0057360C">
              <w:rPr>
                <w:rFonts w:ascii="Times New Roman" w:hAnsi="Times New Roman" w:cs="Times New Roman"/>
                <w:sz w:val="24"/>
                <w:szCs w:val="24"/>
              </w:rPr>
              <w:t>gada 22.</w:t>
            </w:r>
            <w:r w:rsidR="00866AB0">
              <w:rPr>
                <w:rFonts w:ascii="Times New Roman" w:hAnsi="Times New Roman" w:cs="Times New Roman"/>
                <w:sz w:val="24"/>
                <w:szCs w:val="24"/>
              </w:rPr>
              <w:t> </w:t>
            </w:r>
            <w:r w:rsidRPr="0057360C">
              <w:rPr>
                <w:rFonts w:ascii="Times New Roman" w:hAnsi="Times New Roman" w:cs="Times New Roman"/>
                <w:sz w:val="24"/>
                <w:szCs w:val="24"/>
              </w:rPr>
              <w:t>decembra normatīvos noteikumus Nr.</w:t>
            </w:r>
            <w:r w:rsidR="00866AB0">
              <w:rPr>
                <w:rFonts w:ascii="Times New Roman" w:hAnsi="Times New Roman" w:cs="Times New Roman"/>
                <w:sz w:val="24"/>
                <w:szCs w:val="24"/>
              </w:rPr>
              <w:t> </w:t>
            </w:r>
            <w:r w:rsidRPr="0057360C">
              <w:rPr>
                <w:rFonts w:ascii="Times New Roman" w:hAnsi="Times New Roman" w:cs="Times New Roman"/>
                <w:sz w:val="24"/>
                <w:szCs w:val="24"/>
              </w:rPr>
              <w:t>244 "Maksājumu iestādes un elektroniskās naudas iestādes darbību regulējošo prasību un pārskatu sagatavošanas normatīvie noteikumi" (turpmāk</w:t>
            </w:r>
            <w:r w:rsidR="00E007AB">
              <w:rPr>
                <w:rFonts w:ascii="Times New Roman" w:hAnsi="Times New Roman" w:cs="Times New Roman"/>
                <w:sz w:val="24"/>
                <w:szCs w:val="24"/>
              </w:rPr>
              <w:t> </w:t>
            </w:r>
            <w:r w:rsidRPr="0057360C">
              <w:rPr>
                <w:rFonts w:ascii="Times New Roman" w:hAnsi="Times New Roman" w:cs="Times New Roman"/>
                <w:sz w:val="24"/>
                <w:szCs w:val="24"/>
              </w:rPr>
              <w:t xml:space="preserve">– </w:t>
            </w:r>
            <w:r w:rsidR="005717A7">
              <w:rPr>
                <w:rFonts w:ascii="Times New Roman" w:hAnsi="Times New Roman" w:cs="Times New Roman"/>
                <w:sz w:val="24"/>
                <w:szCs w:val="24"/>
              </w:rPr>
              <w:t>N</w:t>
            </w:r>
            <w:r w:rsidRPr="0057360C">
              <w:rPr>
                <w:rFonts w:ascii="Times New Roman" w:hAnsi="Times New Roman" w:cs="Times New Roman"/>
                <w:sz w:val="24"/>
                <w:szCs w:val="24"/>
              </w:rPr>
              <w:t>oteikumi Nr.</w:t>
            </w:r>
            <w:r w:rsidR="007E1BB5">
              <w:rPr>
                <w:rFonts w:ascii="Times New Roman" w:hAnsi="Times New Roman" w:cs="Times New Roman"/>
                <w:sz w:val="24"/>
                <w:szCs w:val="24"/>
              </w:rPr>
              <w:t> </w:t>
            </w:r>
            <w:r w:rsidRPr="0057360C">
              <w:rPr>
                <w:rFonts w:ascii="Times New Roman" w:hAnsi="Times New Roman" w:cs="Times New Roman"/>
                <w:sz w:val="24"/>
                <w:szCs w:val="24"/>
              </w:rPr>
              <w:t>244).</w:t>
            </w:r>
          </w:p>
          <w:p w14:paraId="3345B08B" w14:textId="36BE5FFC" w:rsidR="005717A7" w:rsidRPr="0057360C" w:rsidRDefault="005717A7" w:rsidP="0057360C">
            <w:pPr>
              <w:jc w:val="both"/>
              <w:rPr>
                <w:rFonts w:ascii="Times New Roman" w:hAnsi="Times New Roman" w:cs="Times New Roman"/>
                <w:sz w:val="24"/>
                <w:szCs w:val="24"/>
              </w:rPr>
            </w:pPr>
            <w:r w:rsidRPr="0081067B">
              <w:rPr>
                <w:rFonts w:ascii="Times New Roman" w:hAnsi="Times New Roman" w:cs="Times New Roman"/>
                <w:sz w:val="24"/>
                <w:szCs w:val="24"/>
              </w:rPr>
              <w:t xml:space="preserve">Salīdzinot ar Noteikumiem Nr. 244, noteikumu projekts </w:t>
            </w:r>
            <w:r w:rsidR="0081067B" w:rsidRPr="0081067B">
              <w:rPr>
                <w:rFonts w:ascii="Times New Roman" w:hAnsi="Times New Roman" w:cs="Times New Roman"/>
                <w:sz w:val="24"/>
                <w:szCs w:val="24"/>
              </w:rPr>
              <w:t xml:space="preserve">nosaka Latvijas Bankas uzdevumu veikšanai nepieciešamo datu saņemšanas kārtību, kā arī to, </w:t>
            </w:r>
            <w:r w:rsidR="0081067B" w:rsidRPr="008F3CCB">
              <w:rPr>
                <w:rFonts w:ascii="Times New Roman" w:hAnsi="Times New Roman" w:cs="Times New Roman"/>
                <w:sz w:val="24"/>
                <w:szCs w:val="24"/>
              </w:rPr>
              <w:t xml:space="preserve">ka licencētas </w:t>
            </w:r>
            <w:r w:rsidR="000435A0" w:rsidRPr="005E4E66">
              <w:rPr>
                <w:rFonts w:ascii="Times New Roman" w:hAnsi="Times New Roman" w:cs="Times New Roman"/>
                <w:sz w:val="24"/>
                <w:szCs w:val="24"/>
              </w:rPr>
              <w:t xml:space="preserve">maksājumu </w:t>
            </w:r>
            <w:r w:rsidR="0081067B" w:rsidRPr="008F3CCB">
              <w:rPr>
                <w:rFonts w:ascii="Times New Roman" w:hAnsi="Times New Roman" w:cs="Times New Roman"/>
                <w:sz w:val="24"/>
                <w:szCs w:val="24"/>
              </w:rPr>
              <w:t>iestādes</w:t>
            </w:r>
            <w:r w:rsidR="000435A0" w:rsidRPr="008F3CCB">
              <w:rPr>
                <w:rFonts w:ascii="Times New Roman" w:hAnsi="Times New Roman" w:cs="Times New Roman"/>
                <w:sz w:val="24"/>
                <w:szCs w:val="24"/>
              </w:rPr>
              <w:t xml:space="preserve"> un elektroniskās naudas iestādes</w:t>
            </w:r>
            <w:r w:rsidR="0081067B" w:rsidRPr="008F3CCB">
              <w:rPr>
                <w:rFonts w:ascii="Times New Roman" w:hAnsi="Times New Roman" w:cs="Times New Roman"/>
                <w:sz w:val="24"/>
                <w:szCs w:val="24"/>
              </w:rPr>
              <w:t xml:space="preserve">, kurām </w:t>
            </w:r>
            <w:r w:rsidR="00D43BAD" w:rsidRPr="008F3CCB">
              <w:rPr>
                <w:rFonts w:ascii="Times New Roman" w:hAnsi="Times New Roman" w:cs="Times New Roman"/>
                <w:sz w:val="24"/>
                <w:szCs w:val="24"/>
              </w:rPr>
              <w:t xml:space="preserve">ir </w:t>
            </w:r>
            <w:r w:rsidR="0081067B" w:rsidRPr="008F3CCB">
              <w:rPr>
                <w:rFonts w:ascii="Times New Roman" w:eastAsia="Times New Roman" w:hAnsi="Times New Roman" w:cs="Times New Roman"/>
                <w:sz w:val="24"/>
                <w:lang w:eastAsia="lv-LV"/>
              </w:rPr>
              <w:t>saistošas</w:t>
            </w:r>
            <w:r w:rsidR="0081067B" w:rsidRPr="0081067B">
              <w:rPr>
                <w:rFonts w:ascii="Times New Roman" w:eastAsia="Times New Roman" w:hAnsi="Times New Roman" w:cs="Times New Roman"/>
                <w:sz w:val="24"/>
                <w:lang w:eastAsia="lv-LV"/>
              </w:rPr>
              <w:t xml:space="preserve"> </w:t>
            </w:r>
            <w:r w:rsidR="0081067B">
              <w:rPr>
                <w:rFonts w:ascii="Times New Roman" w:eastAsia="Times New Roman" w:hAnsi="Times New Roman" w:cs="Times New Roman"/>
                <w:sz w:val="24"/>
                <w:lang w:eastAsia="lv-LV"/>
              </w:rPr>
              <w:t xml:space="preserve">Maksājumu pakalpojumu un elektroniskās naudas </w:t>
            </w:r>
            <w:r w:rsidR="0081067B" w:rsidRPr="0081067B">
              <w:rPr>
                <w:rFonts w:ascii="Times New Roman" w:eastAsia="Times New Roman" w:hAnsi="Times New Roman" w:cs="Times New Roman"/>
                <w:sz w:val="24"/>
                <w:lang w:eastAsia="lv-LV"/>
              </w:rPr>
              <w:t>likuma</w:t>
            </w:r>
            <w:r w:rsidR="00F53C50">
              <w:rPr>
                <w:rFonts w:ascii="Times New Roman" w:eastAsia="Times New Roman" w:hAnsi="Times New Roman" w:cs="Times New Roman"/>
                <w:sz w:val="24"/>
                <w:lang w:eastAsia="lv-LV"/>
              </w:rPr>
              <w:t xml:space="preserve"> </w:t>
            </w:r>
            <w:r w:rsidR="0081067B">
              <w:rPr>
                <w:rFonts w:ascii="Times New Roman" w:eastAsia="Times New Roman" w:hAnsi="Times New Roman" w:cs="Times New Roman"/>
                <w:sz w:val="24"/>
                <w:lang w:eastAsia="lv-LV"/>
              </w:rPr>
              <w:t>(turpmāk</w:t>
            </w:r>
            <w:r w:rsidR="005D5510">
              <w:rPr>
                <w:rFonts w:ascii="Times New Roman" w:eastAsia="Times New Roman" w:hAnsi="Times New Roman" w:cs="Times New Roman"/>
                <w:sz w:val="24"/>
                <w:lang w:eastAsia="lv-LV"/>
              </w:rPr>
              <w:t xml:space="preserve"> arī </w:t>
            </w:r>
            <w:r w:rsidR="0081067B">
              <w:rPr>
                <w:rFonts w:ascii="Times New Roman" w:eastAsia="Times New Roman" w:hAnsi="Times New Roman" w:cs="Times New Roman"/>
                <w:sz w:val="24"/>
                <w:lang w:eastAsia="lv-LV"/>
              </w:rPr>
              <w:t xml:space="preserve">– </w:t>
            </w:r>
            <w:r w:rsidR="00A85FCE">
              <w:rPr>
                <w:rFonts w:ascii="Times New Roman" w:eastAsia="Times New Roman" w:hAnsi="Times New Roman" w:cs="Times New Roman"/>
                <w:sz w:val="24"/>
                <w:lang w:eastAsia="lv-LV"/>
              </w:rPr>
              <w:t>L</w:t>
            </w:r>
            <w:r w:rsidR="0081067B">
              <w:rPr>
                <w:rFonts w:ascii="Times New Roman" w:eastAsia="Times New Roman" w:hAnsi="Times New Roman" w:cs="Times New Roman"/>
                <w:sz w:val="24"/>
                <w:lang w:eastAsia="lv-LV"/>
              </w:rPr>
              <w:t>ikums)</w:t>
            </w:r>
            <w:r w:rsidR="0081067B" w:rsidRPr="0081067B">
              <w:rPr>
                <w:rFonts w:ascii="Times New Roman" w:eastAsia="Times New Roman" w:hAnsi="Times New Roman" w:cs="Times New Roman"/>
                <w:sz w:val="24"/>
                <w:lang w:eastAsia="lv-LV"/>
              </w:rPr>
              <w:t xml:space="preserve"> 1. panta 38. </w:t>
            </w:r>
            <w:r w:rsidR="0081067B" w:rsidRPr="00D43BAD">
              <w:rPr>
                <w:rFonts w:ascii="Times New Roman" w:eastAsia="Times New Roman" w:hAnsi="Times New Roman" w:cs="Times New Roman"/>
                <w:sz w:val="24"/>
                <w:lang w:eastAsia="lv-LV"/>
              </w:rPr>
              <w:t>punktā noteiktā</w:t>
            </w:r>
            <w:r w:rsidR="0081067B" w:rsidRPr="0081067B">
              <w:rPr>
                <w:rFonts w:ascii="Times New Roman" w:eastAsia="Times New Roman" w:hAnsi="Times New Roman" w:cs="Times New Roman"/>
                <w:sz w:val="24"/>
                <w:lang w:eastAsia="lv-LV"/>
              </w:rPr>
              <w:t xml:space="preserve"> pašu kapitāla un tā pietiekamības aprēķin</w:t>
            </w:r>
            <w:r w:rsidR="00D43BAD">
              <w:rPr>
                <w:rFonts w:ascii="Times New Roman" w:eastAsia="Times New Roman" w:hAnsi="Times New Roman" w:cs="Times New Roman"/>
                <w:sz w:val="24"/>
                <w:lang w:eastAsia="lv-LV"/>
              </w:rPr>
              <w:t>āšan</w:t>
            </w:r>
            <w:r w:rsidR="0081067B" w:rsidRPr="0081067B">
              <w:rPr>
                <w:rFonts w:ascii="Times New Roman" w:eastAsia="Times New Roman" w:hAnsi="Times New Roman" w:cs="Times New Roman"/>
                <w:sz w:val="24"/>
                <w:lang w:eastAsia="lv-LV"/>
              </w:rPr>
              <w:t>a</w:t>
            </w:r>
            <w:r w:rsidR="00D43BAD">
              <w:rPr>
                <w:rFonts w:ascii="Times New Roman" w:eastAsia="Times New Roman" w:hAnsi="Times New Roman" w:cs="Times New Roman"/>
                <w:sz w:val="24"/>
                <w:lang w:eastAsia="lv-LV"/>
              </w:rPr>
              <w:t>s</w:t>
            </w:r>
            <w:r w:rsidR="0081067B" w:rsidRPr="0081067B">
              <w:rPr>
                <w:rFonts w:ascii="Times New Roman" w:eastAsia="Times New Roman" w:hAnsi="Times New Roman" w:cs="Times New Roman"/>
                <w:sz w:val="24"/>
                <w:lang w:eastAsia="lv-LV"/>
              </w:rPr>
              <w:t xml:space="preserve"> prasības, sagatavo Komisijas 2020. gada 17. decembra īstenošanas regulas (ES) Nr. 2021/451, ar ko nosaka īstenošanas tehniskos standartus Eiropas Parlamenta un Padomes regulas (ES) Nr. 575/2013 piemērošanai attiecībā uz iestāžu sniegtajiem uzraudzības pārskatiem un atceļ īstenošanas regulu (ES) Nr. 680/2014, I pielikumā norādīto pārskata veidni </w:t>
            </w:r>
            <w:r w:rsidR="0081067B" w:rsidRPr="0081067B">
              <w:rPr>
                <w:rFonts w:ascii="Times New Roman" w:eastAsia="Times New Roman" w:hAnsi="Times New Roman" w:cs="Times New Roman"/>
                <w:sz w:val="24"/>
              </w:rPr>
              <w:t>"</w:t>
            </w:r>
            <w:r w:rsidR="0081067B" w:rsidRPr="0081067B">
              <w:rPr>
                <w:rFonts w:ascii="Times New Roman" w:eastAsia="Times New Roman" w:hAnsi="Times New Roman" w:cs="Times New Roman"/>
                <w:sz w:val="24"/>
                <w:lang w:eastAsia="lv-LV"/>
              </w:rPr>
              <w:t>C 01.00 – Pašu kapitāls (CA1)</w:t>
            </w:r>
            <w:r w:rsidR="0081067B" w:rsidRPr="0081067B">
              <w:rPr>
                <w:rFonts w:ascii="Times New Roman" w:eastAsia="Times New Roman" w:hAnsi="Times New Roman" w:cs="Times New Roman"/>
                <w:sz w:val="24"/>
              </w:rPr>
              <w:t>"</w:t>
            </w:r>
            <w:r w:rsidRPr="0081067B">
              <w:rPr>
                <w:rFonts w:ascii="Times New Roman" w:hAnsi="Times New Roman" w:cs="Times New Roman"/>
                <w:sz w:val="24"/>
                <w:szCs w:val="24"/>
              </w:rPr>
              <w:t>.</w:t>
            </w:r>
            <w:r w:rsidR="0081067B">
              <w:rPr>
                <w:rFonts w:ascii="Times New Roman" w:hAnsi="Times New Roman" w:cs="Times New Roman"/>
                <w:sz w:val="24"/>
                <w:szCs w:val="24"/>
              </w:rPr>
              <w:t xml:space="preserve"> Pēc būtības prasība </w:t>
            </w:r>
            <w:r w:rsidR="0081067B" w:rsidRPr="008F3CCB">
              <w:rPr>
                <w:rFonts w:ascii="Times New Roman" w:hAnsi="Times New Roman" w:cs="Times New Roman"/>
                <w:sz w:val="24"/>
                <w:szCs w:val="24"/>
              </w:rPr>
              <w:t>attiecīgai licencētai</w:t>
            </w:r>
            <w:r w:rsidR="008F3CCB" w:rsidRPr="008F3CCB">
              <w:rPr>
                <w:rFonts w:ascii="Times New Roman" w:hAnsi="Times New Roman" w:cs="Times New Roman"/>
                <w:sz w:val="24"/>
                <w:szCs w:val="24"/>
              </w:rPr>
              <w:t xml:space="preserve"> maksājumu iestādei un elektroniskās naudas</w:t>
            </w:r>
            <w:r w:rsidR="0081067B" w:rsidRPr="008F3CCB">
              <w:rPr>
                <w:rFonts w:ascii="Times New Roman" w:hAnsi="Times New Roman" w:cs="Times New Roman"/>
                <w:sz w:val="24"/>
                <w:szCs w:val="24"/>
              </w:rPr>
              <w:t xml:space="preserve"> iestādei sagatavot</w:t>
            </w:r>
            <w:r w:rsidR="0081067B">
              <w:rPr>
                <w:rFonts w:ascii="Times New Roman" w:hAnsi="Times New Roman" w:cs="Times New Roman"/>
                <w:sz w:val="24"/>
                <w:szCs w:val="24"/>
              </w:rPr>
              <w:t xml:space="preserve"> pašu kapitāla un tā pietiekamības aprēķinu nav jauna, </w:t>
            </w:r>
            <w:r w:rsidR="00F53C50">
              <w:rPr>
                <w:rFonts w:ascii="Times New Roman" w:hAnsi="Times New Roman" w:cs="Times New Roman"/>
                <w:sz w:val="24"/>
                <w:szCs w:val="24"/>
              </w:rPr>
              <w:t>tikai</w:t>
            </w:r>
            <w:r w:rsidR="0081067B">
              <w:rPr>
                <w:rFonts w:ascii="Times New Roman" w:hAnsi="Times New Roman" w:cs="Times New Roman"/>
                <w:sz w:val="24"/>
                <w:szCs w:val="24"/>
              </w:rPr>
              <w:t xml:space="preserve"> tagad tā saskaņota </w:t>
            </w:r>
            <w:r w:rsidR="00F53C50">
              <w:rPr>
                <w:rFonts w:ascii="Times New Roman" w:hAnsi="Times New Roman" w:cs="Times New Roman"/>
                <w:sz w:val="24"/>
                <w:szCs w:val="24"/>
              </w:rPr>
              <w:t xml:space="preserve">ar </w:t>
            </w:r>
            <w:r w:rsidR="00A85FCE">
              <w:rPr>
                <w:rFonts w:ascii="Times New Roman" w:hAnsi="Times New Roman" w:cs="Times New Roman"/>
                <w:sz w:val="24"/>
                <w:szCs w:val="24"/>
              </w:rPr>
              <w:t>L</w:t>
            </w:r>
            <w:r w:rsidR="00F53C50">
              <w:rPr>
                <w:rFonts w:ascii="Times New Roman" w:hAnsi="Times New Roman" w:cs="Times New Roman"/>
                <w:sz w:val="24"/>
                <w:szCs w:val="24"/>
              </w:rPr>
              <w:t xml:space="preserve">ikuma 1. panta 38. punktā minēto pašu kapitālu, kuram jāatbilst </w:t>
            </w:r>
            <w:r w:rsidR="00F53C50" w:rsidRPr="0081067B">
              <w:rPr>
                <w:rFonts w:ascii="Times New Roman" w:eastAsia="Times New Roman" w:hAnsi="Times New Roman" w:cs="Times New Roman"/>
                <w:sz w:val="24"/>
                <w:lang w:eastAsia="lv-LV"/>
              </w:rPr>
              <w:t xml:space="preserve">Eiropas Parlamenta un Padomes </w:t>
            </w:r>
            <w:r w:rsidR="00F53C50">
              <w:rPr>
                <w:rFonts w:ascii="Times New Roman" w:eastAsia="Times New Roman" w:hAnsi="Times New Roman" w:cs="Times New Roman"/>
                <w:sz w:val="24"/>
                <w:lang w:eastAsia="lv-LV"/>
              </w:rPr>
              <w:t xml:space="preserve">2013. gada 26. jūnija </w:t>
            </w:r>
            <w:r w:rsidR="00F53C50" w:rsidRPr="0081067B">
              <w:rPr>
                <w:rFonts w:ascii="Times New Roman" w:eastAsia="Times New Roman" w:hAnsi="Times New Roman" w:cs="Times New Roman"/>
                <w:sz w:val="24"/>
                <w:lang w:eastAsia="lv-LV"/>
              </w:rPr>
              <w:t>regula</w:t>
            </w:r>
            <w:r w:rsidR="007C059F">
              <w:rPr>
                <w:rFonts w:ascii="Times New Roman" w:eastAsia="Times New Roman" w:hAnsi="Times New Roman" w:cs="Times New Roman"/>
                <w:sz w:val="24"/>
                <w:lang w:eastAsia="lv-LV"/>
              </w:rPr>
              <w:t>i</w:t>
            </w:r>
            <w:r w:rsidR="00F53C50" w:rsidRPr="0081067B">
              <w:rPr>
                <w:rFonts w:ascii="Times New Roman" w:eastAsia="Times New Roman" w:hAnsi="Times New Roman" w:cs="Times New Roman"/>
                <w:sz w:val="24"/>
                <w:lang w:eastAsia="lv-LV"/>
              </w:rPr>
              <w:t xml:space="preserve"> (ES) Nr. 575/2013</w:t>
            </w:r>
            <w:r w:rsidR="00F53C50">
              <w:rPr>
                <w:rFonts w:ascii="Times New Roman" w:eastAsia="Times New Roman" w:hAnsi="Times New Roman" w:cs="Times New Roman"/>
                <w:sz w:val="24"/>
                <w:lang w:eastAsia="lv-LV"/>
              </w:rPr>
              <w:t xml:space="preserve"> par </w:t>
            </w:r>
            <w:proofErr w:type="spellStart"/>
            <w:r w:rsidR="007C059F">
              <w:rPr>
                <w:rFonts w:ascii="Times New Roman" w:eastAsia="Times New Roman" w:hAnsi="Times New Roman" w:cs="Times New Roman"/>
                <w:sz w:val="24"/>
                <w:lang w:eastAsia="lv-LV"/>
              </w:rPr>
              <w:t>prudenciālajām</w:t>
            </w:r>
            <w:proofErr w:type="spellEnd"/>
            <w:r w:rsidR="00F53C50">
              <w:rPr>
                <w:rFonts w:ascii="Times New Roman" w:eastAsia="Times New Roman" w:hAnsi="Times New Roman" w:cs="Times New Roman"/>
                <w:sz w:val="24"/>
                <w:lang w:eastAsia="lv-LV"/>
              </w:rPr>
              <w:t xml:space="preserve"> prasībā</w:t>
            </w:r>
            <w:r w:rsidR="007C059F">
              <w:rPr>
                <w:rFonts w:ascii="Times New Roman" w:eastAsia="Times New Roman" w:hAnsi="Times New Roman" w:cs="Times New Roman"/>
                <w:sz w:val="24"/>
                <w:lang w:eastAsia="lv-LV"/>
              </w:rPr>
              <w:t>m</w:t>
            </w:r>
            <w:r w:rsidR="00F53C50">
              <w:rPr>
                <w:rFonts w:ascii="Times New Roman" w:eastAsia="Times New Roman" w:hAnsi="Times New Roman" w:cs="Times New Roman"/>
                <w:sz w:val="24"/>
                <w:lang w:eastAsia="lv-LV"/>
              </w:rPr>
              <w:t xml:space="preserve"> attiecībā uz kredītiestādēm</w:t>
            </w:r>
            <w:r w:rsidR="00D43BAD">
              <w:rPr>
                <w:rFonts w:ascii="Times New Roman" w:eastAsia="Times New Roman" w:hAnsi="Times New Roman" w:cs="Times New Roman"/>
                <w:sz w:val="24"/>
                <w:lang w:eastAsia="lv-LV"/>
              </w:rPr>
              <w:t>,</w:t>
            </w:r>
            <w:r w:rsidR="00F53C50">
              <w:rPr>
                <w:rFonts w:ascii="Times New Roman" w:eastAsia="Times New Roman" w:hAnsi="Times New Roman" w:cs="Times New Roman"/>
                <w:sz w:val="24"/>
                <w:lang w:eastAsia="lv-LV"/>
              </w:rPr>
              <w:t xml:space="preserve"> un ar ko groza regulu (ES) Nr</w:t>
            </w:r>
            <w:r w:rsidR="007C059F">
              <w:rPr>
                <w:rFonts w:ascii="Times New Roman" w:eastAsia="Times New Roman" w:hAnsi="Times New Roman" w:cs="Times New Roman"/>
                <w:sz w:val="24"/>
                <w:lang w:eastAsia="lv-LV"/>
              </w:rPr>
              <w:t>.</w:t>
            </w:r>
            <w:r w:rsidR="00F53C50">
              <w:rPr>
                <w:rFonts w:ascii="Times New Roman" w:eastAsia="Times New Roman" w:hAnsi="Times New Roman" w:cs="Times New Roman"/>
                <w:sz w:val="24"/>
                <w:lang w:eastAsia="lv-LV"/>
              </w:rPr>
              <w:t> 648/2012.</w:t>
            </w:r>
          </w:p>
          <w:p w14:paraId="068CC3AE" w14:textId="692E9EB6" w:rsidR="00724E3E" w:rsidRDefault="0057360C" w:rsidP="0057360C">
            <w:pPr>
              <w:jc w:val="both"/>
              <w:rPr>
                <w:rFonts w:ascii="Times New Roman" w:hAnsi="Times New Roman" w:cs="Times New Roman"/>
                <w:sz w:val="24"/>
                <w:szCs w:val="24"/>
              </w:rPr>
            </w:pPr>
            <w:r w:rsidRPr="00857843">
              <w:rPr>
                <w:rFonts w:ascii="Times New Roman" w:hAnsi="Times New Roman" w:cs="Times New Roman"/>
                <w:sz w:val="24"/>
                <w:szCs w:val="24"/>
              </w:rPr>
              <w:t>Noteikumu projekts nodrošina vienotu kārtību</w:t>
            </w:r>
            <w:r w:rsidR="005717A7">
              <w:rPr>
                <w:rFonts w:ascii="Times New Roman" w:hAnsi="Times New Roman" w:cs="Times New Roman"/>
                <w:sz w:val="24"/>
                <w:szCs w:val="24"/>
              </w:rPr>
              <w:t>,</w:t>
            </w:r>
            <w:r w:rsidRPr="00857843">
              <w:rPr>
                <w:rFonts w:ascii="Times New Roman" w:hAnsi="Times New Roman" w:cs="Times New Roman"/>
                <w:sz w:val="24"/>
                <w:szCs w:val="24"/>
              </w:rPr>
              <w:t xml:space="preserve"> kādā </w:t>
            </w:r>
            <w:r w:rsidR="00F42394" w:rsidRPr="00857843">
              <w:rPr>
                <w:rFonts w:ascii="Times New Roman" w:hAnsi="Times New Roman" w:cs="Times New Roman"/>
                <w:sz w:val="24"/>
                <w:szCs w:val="24"/>
              </w:rPr>
              <w:t xml:space="preserve">reģistrētas un licencētas maksājumu iestādes un elektroniskās naudas </w:t>
            </w:r>
            <w:r w:rsidR="00F42394" w:rsidRPr="00857843">
              <w:rPr>
                <w:rFonts w:ascii="Times New Roman" w:hAnsi="Times New Roman" w:cs="Times New Roman"/>
                <w:sz w:val="24"/>
                <w:szCs w:val="24"/>
              </w:rPr>
              <w:lastRenderedPageBreak/>
              <w:t xml:space="preserve">iestādes sagatavo un iesniedz to darbības pārskatus </w:t>
            </w:r>
            <w:r w:rsidRPr="00857843">
              <w:rPr>
                <w:rFonts w:ascii="Times New Roman" w:hAnsi="Times New Roman" w:cs="Times New Roman"/>
                <w:sz w:val="24"/>
                <w:szCs w:val="24"/>
              </w:rPr>
              <w:t>Latvijas Banka</w:t>
            </w:r>
            <w:r w:rsidR="00F42394" w:rsidRPr="00857843">
              <w:rPr>
                <w:rFonts w:ascii="Times New Roman" w:hAnsi="Times New Roman" w:cs="Times New Roman"/>
                <w:sz w:val="24"/>
                <w:szCs w:val="24"/>
              </w:rPr>
              <w:t xml:space="preserve">i, lai tā varētu veikt tiesību aktos </w:t>
            </w:r>
            <w:r w:rsidR="00857843">
              <w:rPr>
                <w:rFonts w:ascii="Times New Roman" w:hAnsi="Times New Roman" w:cs="Times New Roman"/>
                <w:sz w:val="24"/>
                <w:szCs w:val="24"/>
              </w:rPr>
              <w:t xml:space="preserve">tai </w:t>
            </w:r>
            <w:r w:rsidR="00F42394" w:rsidRPr="00857843">
              <w:rPr>
                <w:rFonts w:ascii="Times New Roman" w:hAnsi="Times New Roman" w:cs="Times New Roman"/>
                <w:sz w:val="24"/>
                <w:szCs w:val="24"/>
              </w:rPr>
              <w:t>noteiktās uzraudzības funkcijas</w:t>
            </w:r>
            <w:r w:rsidR="0099587C">
              <w:rPr>
                <w:rFonts w:ascii="Times New Roman" w:hAnsi="Times New Roman" w:cs="Times New Roman"/>
                <w:sz w:val="24"/>
                <w:szCs w:val="24"/>
              </w:rPr>
              <w:t xml:space="preserve"> saskaņā ar </w:t>
            </w:r>
            <w:r w:rsidR="00A85FCE">
              <w:rPr>
                <w:rFonts w:ascii="Times New Roman" w:hAnsi="Times New Roman" w:cs="Times New Roman"/>
                <w:sz w:val="24"/>
                <w:szCs w:val="24"/>
              </w:rPr>
              <w:t>L</w:t>
            </w:r>
            <w:r w:rsidR="0099587C" w:rsidRPr="0099587C">
              <w:rPr>
                <w:rFonts w:ascii="Times New Roman" w:hAnsi="Times New Roman" w:cs="Times New Roman"/>
                <w:sz w:val="24"/>
                <w:szCs w:val="24"/>
              </w:rPr>
              <w:t>ikum</w:t>
            </w:r>
            <w:r w:rsidR="0099587C">
              <w:rPr>
                <w:rFonts w:ascii="Times New Roman" w:hAnsi="Times New Roman" w:cs="Times New Roman"/>
                <w:sz w:val="24"/>
                <w:szCs w:val="24"/>
              </w:rPr>
              <w:t>u</w:t>
            </w:r>
            <w:r w:rsidR="00F42394" w:rsidRPr="00857843">
              <w:rPr>
                <w:rFonts w:ascii="Times New Roman" w:hAnsi="Times New Roman" w:cs="Times New Roman"/>
                <w:sz w:val="24"/>
                <w:szCs w:val="24"/>
              </w:rPr>
              <w:t xml:space="preserve"> un saņemt statistisko</w:t>
            </w:r>
            <w:r w:rsidR="007E1BB5">
              <w:rPr>
                <w:rFonts w:ascii="Times New Roman" w:hAnsi="Times New Roman" w:cs="Times New Roman"/>
                <w:sz w:val="24"/>
                <w:szCs w:val="24"/>
              </w:rPr>
              <w:t>s datus</w:t>
            </w:r>
            <w:r w:rsidR="0099587C">
              <w:rPr>
                <w:rFonts w:ascii="Times New Roman" w:hAnsi="Times New Roman" w:cs="Times New Roman"/>
                <w:sz w:val="24"/>
                <w:szCs w:val="24"/>
              </w:rPr>
              <w:t xml:space="preserve"> saskaņā ar Latvijas Bankas likumu</w:t>
            </w:r>
            <w:r w:rsidRPr="00857843">
              <w:rPr>
                <w:rFonts w:ascii="Times New Roman" w:hAnsi="Times New Roman" w:cs="Times New Roman"/>
                <w:sz w:val="24"/>
                <w:szCs w:val="24"/>
              </w:rPr>
              <w:t>.</w:t>
            </w:r>
          </w:p>
          <w:p w14:paraId="47FA2AA2" w14:textId="2F35A0FC" w:rsidR="0057360C" w:rsidRDefault="00724E3E" w:rsidP="0057360C">
            <w:pPr>
              <w:jc w:val="both"/>
              <w:rPr>
                <w:rFonts w:ascii="Times New Roman" w:eastAsia="Times New Roman" w:hAnsi="Times New Roman" w:cs="Times New Roman"/>
                <w:sz w:val="24"/>
                <w:szCs w:val="24"/>
              </w:rPr>
            </w:pPr>
            <w:r>
              <w:rPr>
                <w:rFonts w:ascii="Times New Roman" w:hAnsi="Times New Roman" w:cs="Times New Roman"/>
                <w:sz w:val="24"/>
                <w:szCs w:val="24"/>
              </w:rPr>
              <w:t xml:space="preserve">Noteikumu projekts nosaka </w:t>
            </w:r>
            <w:r w:rsidRPr="000435A0">
              <w:rPr>
                <w:rFonts w:ascii="Times New Roman" w:hAnsi="Times New Roman" w:cs="Times New Roman"/>
                <w:sz w:val="24"/>
                <w:szCs w:val="24"/>
              </w:rPr>
              <w:t>arī regulējošās prasības, t.</w:t>
            </w:r>
            <w:r w:rsidR="007E1BB5" w:rsidRPr="000435A0">
              <w:rPr>
                <w:rFonts w:ascii="Times New Roman" w:hAnsi="Times New Roman" w:cs="Times New Roman"/>
                <w:sz w:val="24"/>
                <w:szCs w:val="24"/>
              </w:rPr>
              <w:t> </w:t>
            </w:r>
            <w:r w:rsidRPr="000435A0">
              <w:rPr>
                <w:rFonts w:ascii="Times New Roman" w:hAnsi="Times New Roman" w:cs="Times New Roman"/>
                <w:sz w:val="24"/>
                <w:szCs w:val="24"/>
              </w:rPr>
              <w:t>sk. pašu kapitāla prasību aprēķinu licencētajām</w:t>
            </w:r>
            <w:r>
              <w:rPr>
                <w:rFonts w:ascii="Times New Roman" w:hAnsi="Times New Roman" w:cs="Times New Roman"/>
                <w:sz w:val="24"/>
                <w:szCs w:val="24"/>
              </w:rPr>
              <w:t xml:space="preserve"> maksājumu iestādēm un kvalitatīvās prasības ieguldījumiem. K</w:t>
            </w:r>
            <w:r w:rsidRPr="0057360C">
              <w:rPr>
                <w:rFonts w:ascii="Times New Roman" w:eastAsia="Times New Roman" w:hAnsi="Times New Roman" w:cs="Times New Roman"/>
                <w:sz w:val="24"/>
                <w:szCs w:val="24"/>
              </w:rPr>
              <w:t xml:space="preserve">ompetentajai iestādei saskaņā ar </w:t>
            </w:r>
            <w:bookmarkStart w:id="0" w:name="_Hlk150347591"/>
            <w:r w:rsidRPr="0057360C">
              <w:rPr>
                <w:rFonts w:ascii="Times New Roman" w:eastAsia="Times New Roman" w:hAnsi="Times New Roman" w:cs="Times New Roman"/>
                <w:sz w:val="24"/>
                <w:szCs w:val="24"/>
              </w:rPr>
              <w:t xml:space="preserve">Eiropas Parlamenta un Padomes </w:t>
            </w:r>
            <w:r>
              <w:rPr>
                <w:rFonts w:ascii="Times New Roman" w:eastAsia="Times New Roman" w:hAnsi="Times New Roman" w:cs="Times New Roman"/>
                <w:sz w:val="24"/>
                <w:szCs w:val="24"/>
              </w:rPr>
              <w:t xml:space="preserve">2015. gada 25. novembra </w:t>
            </w:r>
            <w:r w:rsidR="005717A7">
              <w:rPr>
                <w:rFonts w:ascii="Times New Roman" w:eastAsia="Times New Roman" w:hAnsi="Times New Roman" w:cs="Times New Roman"/>
                <w:sz w:val="24"/>
                <w:szCs w:val="24"/>
              </w:rPr>
              <w:t>d</w:t>
            </w:r>
            <w:r w:rsidRPr="0057360C">
              <w:rPr>
                <w:rFonts w:ascii="Times New Roman" w:eastAsia="Times New Roman" w:hAnsi="Times New Roman" w:cs="Times New Roman"/>
                <w:sz w:val="24"/>
                <w:szCs w:val="24"/>
              </w:rPr>
              <w:t>irektīvas (ES)</w:t>
            </w:r>
            <w:r w:rsidR="00866AB0">
              <w:rPr>
                <w:rFonts w:ascii="Times New Roman" w:eastAsia="Times New Roman" w:hAnsi="Times New Roman" w:cs="Times New Roman"/>
                <w:sz w:val="24"/>
                <w:szCs w:val="24"/>
              </w:rPr>
              <w:t> </w:t>
            </w:r>
            <w:r w:rsidRPr="0057360C">
              <w:rPr>
                <w:rFonts w:ascii="Times New Roman" w:eastAsia="Times New Roman" w:hAnsi="Times New Roman" w:cs="Times New Roman"/>
                <w:sz w:val="24"/>
                <w:szCs w:val="24"/>
              </w:rPr>
              <w:t xml:space="preserve">2015/2366 par maksājumu pakalpojumiem iekšējā tirgū, ar ko groza </w:t>
            </w:r>
            <w:r w:rsidR="005717A7">
              <w:rPr>
                <w:rFonts w:ascii="Times New Roman" w:eastAsia="Times New Roman" w:hAnsi="Times New Roman" w:cs="Times New Roman"/>
                <w:sz w:val="24"/>
                <w:szCs w:val="24"/>
              </w:rPr>
              <w:t>d</w:t>
            </w:r>
            <w:r w:rsidRPr="0057360C">
              <w:rPr>
                <w:rFonts w:ascii="Times New Roman" w:eastAsia="Times New Roman" w:hAnsi="Times New Roman" w:cs="Times New Roman"/>
                <w:sz w:val="24"/>
                <w:szCs w:val="24"/>
              </w:rPr>
              <w:t>irektīvas</w:t>
            </w:r>
            <w:r w:rsidR="00866AB0">
              <w:rPr>
                <w:rFonts w:ascii="Times New Roman" w:eastAsia="Times New Roman" w:hAnsi="Times New Roman" w:cs="Times New Roman"/>
                <w:sz w:val="24"/>
                <w:szCs w:val="24"/>
              </w:rPr>
              <w:t> </w:t>
            </w:r>
            <w:r w:rsidRPr="0057360C">
              <w:rPr>
                <w:rFonts w:ascii="Times New Roman" w:eastAsia="Times New Roman" w:hAnsi="Times New Roman" w:cs="Times New Roman"/>
                <w:sz w:val="24"/>
                <w:szCs w:val="24"/>
              </w:rPr>
              <w:t xml:space="preserve">2002/65/EK, 2009/110/EK un 2013/36/EK un </w:t>
            </w:r>
            <w:r w:rsidR="005717A7">
              <w:rPr>
                <w:rFonts w:ascii="Times New Roman" w:eastAsia="Times New Roman" w:hAnsi="Times New Roman" w:cs="Times New Roman"/>
                <w:sz w:val="24"/>
                <w:szCs w:val="24"/>
              </w:rPr>
              <w:t>r</w:t>
            </w:r>
            <w:r w:rsidRPr="0057360C">
              <w:rPr>
                <w:rFonts w:ascii="Times New Roman" w:eastAsia="Times New Roman" w:hAnsi="Times New Roman" w:cs="Times New Roman"/>
                <w:sz w:val="24"/>
                <w:szCs w:val="24"/>
              </w:rPr>
              <w:t>egulu (ES) Nr.</w:t>
            </w:r>
            <w:r w:rsidR="007E1BB5">
              <w:rPr>
                <w:rFonts w:ascii="Times New Roman" w:eastAsia="Times New Roman" w:hAnsi="Times New Roman" w:cs="Times New Roman"/>
                <w:sz w:val="24"/>
                <w:szCs w:val="24"/>
              </w:rPr>
              <w:t> </w:t>
            </w:r>
            <w:r w:rsidRPr="0057360C">
              <w:rPr>
                <w:rFonts w:ascii="Times New Roman" w:eastAsia="Times New Roman" w:hAnsi="Times New Roman" w:cs="Times New Roman"/>
                <w:sz w:val="24"/>
                <w:szCs w:val="24"/>
              </w:rPr>
              <w:t xml:space="preserve">1093/2010 un atceļ </w:t>
            </w:r>
            <w:r w:rsidR="005717A7">
              <w:rPr>
                <w:rFonts w:ascii="Times New Roman" w:eastAsia="Times New Roman" w:hAnsi="Times New Roman" w:cs="Times New Roman"/>
                <w:sz w:val="24"/>
                <w:szCs w:val="24"/>
              </w:rPr>
              <w:t>d</w:t>
            </w:r>
            <w:r w:rsidRPr="0057360C">
              <w:rPr>
                <w:rFonts w:ascii="Times New Roman" w:eastAsia="Times New Roman" w:hAnsi="Times New Roman" w:cs="Times New Roman"/>
                <w:sz w:val="24"/>
                <w:szCs w:val="24"/>
              </w:rPr>
              <w:t>irektīvu</w:t>
            </w:r>
            <w:r w:rsidR="00866AB0">
              <w:rPr>
                <w:rFonts w:ascii="Times New Roman" w:eastAsia="Times New Roman" w:hAnsi="Times New Roman" w:cs="Times New Roman"/>
                <w:sz w:val="24"/>
                <w:szCs w:val="24"/>
              </w:rPr>
              <w:t> </w:t>
            </w:r>
            <w:r w:rsidRPr="0057360C">
              <w:rPr>
                <w:rFonts w:ascii="Times New Roman" w:eastAsia="Times New Roman" w:hAnsi="Times New Roman" w:cs="Times New Roman"/>
                <w:sz w:val="24"/>
                <w:szCs w:val="24"/>
              </w:rPr>
              <w:t>2007/64/EK (turpmāk</w:t>
            </w:r>
            <w:r w:rsidR="007E1BB5">
              <w:rPr>
                <w:rFonts w:ascii="Times New Roman" w:eastAsia="Times New Roman" w:hAnsi="Times New Roman" w:cs="Times New Roman"/>
                <w:sz w:val="24"/>
                <w:szCs w:val="24"/>
              </w:rPr>
              <w:t> </w:t>
            </w:r>
            <w:r w:rsidRPr="0057360C">
              <w:rPr>
                <w:rFonts w:ascii="Times New Roman" w:eastAsia="Times New Roman" w:hAnsi="Times New Roman" w:cs="Times New Roman"/>
                <w:sz w:val="24"/>
                <w:szCs w:val="24"/>
              </w:rPr>
              <w:t>– Direktīva</w:t>
            </w:r>
            <w:r>
              <w:rPr>
                <w:rFonts w:ascii="Times New Roman" w:eastAsia="Times New Roman" w:hAnsi="Times New Roman" w:cs="Times New Roman"/>
                <w:sz w:val="24"/>
                <w:szCs w:val="24"/>
              </w:rPr>
              <w:t xml:space="preserve"> (ES)</w:t>
            </w:r>
            <w:r w:rsidR="00866AB0">
              <w:rPr>
                <w:rFonts w:ascii="Times New Roman" w:eastAsia="Times New Roman" w:hAnsi="Times New Roman" w:cs="Times New Roman"/>
                <w:sz w:val="24"/>
                <w:szCs w:val="24"/>
              </w:rPr>
              <w:t> </w:t>
            </w:r>
            <w:r>
              <w:rPr>
                <w:rFonts w:ascii="Times New Roman" w:eastAsia="Times New Roman" w:hAnsi="Times New Roman" w:cs="Times New Roman"/>
                <w:sz w:val="24"/>
                <w:szCs w:val="24"/>
              </w:rPr>
              <w:t>2015/2366</w:t>
            </w:r>
            <w:r w:rsidRPr="0057360C">
              <w:rPr>
                <w:rFonts w:ascii="Times New Roman" w:eastAsia="Times New Roman" w:hAnsi="Times New Roman" w:cs="Times New Roman"/>
                <w:sz w:val="24"/>
                <w:szCs w:val="24"/>
              </w:rPr>
              <w:t xml:space="preserve">) </w:t>
            </w:r>
            <w:bookmarkEnd w:id="0"/>
            <w:r w:rsidRPr="0057360C">
              <w:rPr>
                <w:rFonts w:ascii="Times New Roman" w:eastAsia="Times New Roman" w:hAnsi="Times New Roman" w:cs="Times New Roman"/>
                <w:sz w:val="24"/>
                <w:szCs w:val="24"/>
              </w:rPr>
              <w:t>9.</w:t>
            </w:r>
            <w:r>
              <w:rPr>
                <w:rFonts w:ascii="Times New Roman" w:eastAsia="Times New Roman" w:hAnsi="Times New Roman" w:cs="Times New Roman"/>
                <w:sz w:val="24"/>
                <w:szCs w:val="24"/>
              </w:rPr>
              <w:t> </w:t>
            </w:r>
            <w:r w:rsidRPr="0057360C">
              <w:rPr>
                <w:rFonts w:ascii="Times New Roman" w:eastAsia="Times New Roman" w:hAnsi="Times New Roman" w:cs="Times New Roman"/>
                <w:sz w:val="24"/>
                <w:szCs w:val="24"/>
              </w:rPr>
              <w:t>pantā noteikto jāizvēlas viena no trim šajā pantā minētajām pašu kapitāla prasību aprēķina metodēm, kur</w:t>
            </w:r>
            <w:r w:rsidR="00A85FCE">
              <w:rPr>
                <w:rFonts w:ascii="Times New Roman" w:eastAsia="Times New Roman" w:hAnsi="Times New Roman" w:cs="Times New Roman"/>
                <w:sz w:val="24"/>
                <w:szCs w:val="24"/>
              </w:rPr>
              <w:t>a</w:t>
            </w:r>
            <w:r w:rsidRPr="0057360C">
              <w:rPr>
                <w:rFonts w:ascii="Times New Roman" w:eastAsia="Times New Roman" w:hAnsi="Times New Roman" w:cs="Times New Roman"/>
                <w:sz w:val="24"/>
                <w:szCs w:val="24"/>
              </w:rPr>
              <w:t xml:space="preserve"> jānosaka kā piemērojam</w:t>
            </w:r>
            <w:r w:rsidR="00A85FCE">
              <w:rPr>
                <w:rFonts w:ascii="Times New Roman" w:eastAsia="Times New Roman" w:hAnsi="Times New Roman" w:cs="Times New Roman"/>
                <w:sz w:val="24"/>
                <w:szCs w:val="24"/>
              </w:rPr>
              <w:t>a</w:t>
            </w:r>
            <w:r w:rsidRPr="0057360C">
              <w:rPr>
                <w:rFonts w:ascii="Times New Roman" w:eastAsia="Times New Roman" w:hAnsi="Times New Roman" w:cs="Times New Roman"/>
                <w:sz w:val="24"/>
                <w:szCs w:val="24"/>
              </w:rPr>
              <w:t xml:space="preserve"> licencētajām maksājumu iestādēm. Latvijas Banka </w:t>
            </w:r>
            <w:r w:rsidR="00A85FCE">
              <w:rPr>
                <w:rFonts w:ascii="Times New Roman" w:eastAsia="Times New Roman" w:hAnsi="Times New Roman" w:cs="Times New Roman"/>
                <w:sz w:val="24"/>
                <w:szCs w:val="24"/>
              </w:rPr>
              <w:t>par</w:t>
            </w:r>
            <w:r w:rsidRPr="0057360C">
              <w:rPr>
                <w:rFonts w:ascii="Times New Roman" w:eastAsia="Times New Roman" w:hAnsi="Times New Roman" w:cs="Times New Roman"/>
                <w:sz w:val="24"/>
                <w:szCs w:val="24"/>
              </w:rPr>
              <w:t xml:space="preserve"> atbilstošāko ir atzinusi Direktīvas </w:t>
            </w:r>
            <w:r>
              <w:rPr>
                <w:rFonts w:ascii="Times New Roman" w:eastAsia="Times New Roman" w:hAnsi="Times New Roman" w:cs="Times New Roman"/>
                <w:sz w:val="24"/>
                <w:szCs w:val="24"/>
              </w:rPr>
              <w:t>(ES)</w:t>
            </w:r>
            <w:r w:rsidR="00866AB0">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2015/2366 </w:t>
            </w:r>
            <w:r w:rsidRPr="0057360C">
              <w:rPr>
                <w:rFonts w:ascii="Times New Roman" w:eastAsia="Times New Roman" w:hAnsi="Times New Roman" w:cs="Times New Roman"/>
                <w:sz w:val="24"/>
                <w:szCs w:val="24"/>
              </w:rPr>
              <w:t>9.</w:t>
            </w:r>
            <w:r>
              <w:rPr>
                <w:rFonts w:ascii="Times New Roman" w:eastAsia="Times New Roman" w:hAnsi="Times New Roman" w:cs="Times New Roman"/>
                <w:sz w:val="24"/>
                <w:szCs w:val="24"/>
              </w:rPr>
              <w:t> </w:t>
            </w:r>
            <w:r w:rsidRPr="0057360C">
              <w:rPr>
                <w:rFonts w:ascii="Times New Roman" w:eastAsia="Times New Roman" w:hAnsi="Times New Roman" w:cs="Times New Roman"/>
                <w:sz w:val="24"/>
                <w:szCs w:val="24"/>
              </w:rPr>
              <w:t>pantā minēto B</w:t>
            </w:r>
            <w:r w:rsidR="00857843">
              <w:rPr>
                <w:rFonts w:ascii="Times New Roman" w:eastAsia="Times New Roman" w:hAnsi="Times New Roman" w:cs="Times New Roman"/>
                <w:sz w:val="24"/>
                <w:szCs w:val="24"/>
              </w:rPr>
              <w:t> </w:t>
            </w:r>
            <w:r w:rsidRPr="0057360C">
              <w:rPr>
                <w:rFonts w:ascii="Times New Roman" w:eastAsia="Times New Roman" w:hAnsi="Times New Roman" w:cs="Times New Roman"/>
                <w:sz w:val="24"/>
                <w:szCs w:val="24"/>
              </w:rPr>
              <w:t>metodi, kuras aprēķins iekļauts noteikumu projektā.</w:t>
            </w:r>
          </w:p>
          <w:p w14:paraId="035246F0" w14:textId="1AB9A27E" w:rsidR="00724E3E" w:rsidRPr="0057360C" w:rsidRDefault="00724E3E" w:rsidP="0057360C">
            <w:pPr>
              <w:jc w:val="both"/>
              <w:rPr>
                <w:rFonts w:ascii="Times New Roman" w:hAnsi="Times New Roman" w:cs="Times New Roman"/>
                <w:sz w:val="24"/>
                <w:szCs w:val="24"/>
              </w:rPr>
            </w:pPr>
            <w:r>
              <w:rPr>
                <w:rFonts w:ascii="Times New Roman" w:hAnsi="Times New Roman" w:cs="Times New Roman"/>
                <w:sz w:val="24"/>
                <w:szCs w:val="24"/>
              </w:rPr>
              <w:t xml:space="preserve">Noteikumu projekts nosaka prasības ieguldījumiem, kurus var atzīt par drošiem, likvīdiem un zema riska aktīviem </w:t>
            </w:r>
            <w:r w:rsidR="00857843">
              <w:rPr>
                <w:rFonts w:ascii="Times New Roman" w:hAnsi="Times New Roman" w:cs="Times New Roman"/>
                <w:sz w:val="24"/>
                <w:szCs w:val="24"/>
              </w:rPr>
              <w:t>saskaņā ar</w:t>
            </w:r>
            <w:r>
              <w:rPr>
                <w:rFonts w:ascii="Times New Roman" w:hAnsi="Times New Roman" w:cs="Times New Roman"/>
                <w:sz w:val="24"/>
                <w:szCs w:val="24"/>
              </w:rPr>
              <w:t xml:space="preserve"> </w:t>
            </w:r>
            <w:r w:rsidRPr="00724E3E">
              <w:rPr>
                <w:rFonts w:ascii="Times New Roman" w:eastAsia="Times New Roman" w:hAnsi="Times New Roman" w:cs="Times New Roman"/>
                <w:sz w:val="24"/>
                <w:lang w:eastAsia="lv-LV"/>
              </w:rPr>
              <w:t xml:space="preserve">Eiropas Parlamenta un Padomes 2009. gada 16. septembra </w:t>
            </w:r>
            <w:r w:rsidR="005717A7">
              <w:rPr>
                <w:rFonts w:ascii="Times New Roman" w:eastAsia="Times New Roman" w:hAnsi="Times New Roman" w:cs="Times New Roman"/>
                <w:sz w:val="24"/>
                <w:lang w:eastAsia="lv-LV"/>
              </w:rPr>
              <w:t>d</w:t>
            </w:r>
            <w:r w:rsidRPr="00724E3E">
              <w:rPr>
                <w:rFonts w:ascii="Times New Roman" w:eastAsia="Times New Roman" w:hAnsi="Times New Roman" w:cs="Times New Roman"/>
                <w:sz w:val="24"/>
                <w:lang w:eastAsia="lv-LV"/>
              </w:rPr>
              <w:t>irektīvas</w:t>
            </w:r>
            <w:r w:rsidR="00866AB0">
              <w:rPr>
                <w:rFonts w:ascii="Times New Roman" w:eastAsia="Times New Roman" w:hAnsi="Times New Roman" w:cs="Times New Roman"/>
                <w:sz w:val="24"/>
                <w:lang w:eastAsia="lv-LV"/>
              </w:rPr>
              <w:t> </w:t>
            </w:r>
            <w:r w:rsidRPr="00724E3E">
              <w:rPr>
                <w:rFonts w:ascii="Times New Roman" w:eastAsia="Times New Roman" w:hAnsi="Times New Roman" w:cs="Times New Roman"/>
                <w:sz w:val="24"/>
                <w:lang w:eastAsia="lv-LV"/>
              </w:rPr>
              <w:t xml:space="preserve">2009/110/EK par elektroniskās naudas iestāžu darbības sākšanu, veikšanu un konsultatīvu uzraudzību, par grozījumiem </w:t>
            </w:r>
            <w:r w:rsidR="005717A7">
              <w:rPr>
                <w:rFonts w:ascii="Times New Roman" w:eastAsia="Times New Roman" w:hAnsi="Times New Roman" w:cs="Times New Roman"/>
                <w:sz w:val="24"/>
                <w:lang w:eastAsia="lv-LV"/>
              </w:rPr>
              <w:t>d</w:t>
            </w:r>
            <w:r w:rsidRPr="00724E3E">
              <w:rPr>
                <w:rFonts w:ascii="Times New Roman" w:eastAsia="Times New Roman" w:hAnsi="Times New Roman" w:cs="Times New Roman"/>
                <w:sz w:val="24"/>
                <w:lang w:eastAsia="lv-LV"/>
              </w:rPr>
              <w:t>irektīvā</w:t>
            </w:r>
            <w:r w:rsidR="00866AB0">
              <w:rPr>
                <w:rFonts w:ascii="Times New Roman" w:eastAsia="Times New Roman" w:hAnsi="Times New Roman" w:cs="Times New Roman"/>
                <w:sz w:val="24"/>
                <w:lang w:eastAsia="lv-LV"/>
              </w:rPr>
              <w:t> </w:t>
            </w:r>
            <w:r w:rsidRPr="00724E3E">
              <w:rPr>
                <w:rFonts w:ascii="Times New Roman" w:eastAsia="Times New Roman" w:hAnsi="Times New Roman" w:cs="Times New Roman"/>
                <w:sz w:val="24"/>
                <w:lang w:eastAsia="lv-LV"/>
              </w:rPr>
              <w:t xml:space="preserve">2005/60/EK un </w:t>
            </w:r>
            <w:r w:rsidR="005717A7">
              <w:rPr>
                <w:rFonts w:ascii="Times New Roman" w:eastAsia="Times New Roman" w:hAnsi="Times New Roman" w:cs="Times New Roman"/>
                <w:sz w:val="24"/>
                <w:lang w:eastAsia="lv-LV"/>
              </w:rPr>
              <w:t>d</w:t>
            </w:r>
            <w:r w:rsidRPr="00724E3E">
              <w:rPr>
                <w:rFonts w:ascii="Times New Roman" w:eastAsia="Times New Roman" w:hAnsi="Times New Roman" w:cs="Times New Roman"/>
                <w:sz w:val="24"/>
                <w:lang w:eastAsia="lv-LV"/>
              </w:rPr>
              <w:t>irektīvā</w:t>
            </w:r>
            <w:r w:rsidR="00866AB0">
              <w:rPr>
                <w:rFonts w:ascii="Times New Roman" w:eastAsia="Times New Roman" w:hAnsi="Times New Roman" w:cs="Times New Roman"/>
                <w:sz w:val="24"/>
                <w:lang w:eastAsia="lv-LV"/>
              </w:rPr>
              <w:t> </w:t>
            </w:r>
            <w:r w:rsidRPr="00724E3E">
              <w:rPr>
                <w:rFonts w:ascii="Times New Roman" w:eastAsia="Times New Roman" w:hAnsi="Times New Roman" w:cs="Times New Roman"/>
                <w:sz w:val="24"/>
                <w:lang w:eastAsia="lv-LV"/>
              </w:rPr>
              <w:t xml:space="preserve">2006/48/EK un par </w:t>
            </w:r>
            <w:r w:rsidR="005717A7">
              <w:rPr>
                <w:rFonts w:ascii="Times New Roman" w:eastAsia="Times New Roman" w:hAnsi="Times New Roman" w:cs="Times New Roman"/>
                <w:sz w:val="24"/>
                <w:lang w:eastAsia="lv-LV"/>
              </w:rPr>
              <w:t>d</w:t>
            </w:r>
            <w:r w:rsidRPr="00724E3E">
              <w:rPr>
                <w:rFonts w:ascii="Times New Roman" w:eastAsia="Times New Roman" w:hAnsi="Times New Roman" w:cs="Times New Roman"/>
                <w:sz w:val="24"/>
                <w:lang w:eastAsia="lv-LV"/>
              </w:rPr>
              <w:t>irektīvas</w:t>
            </w:r>
            <w:r w:rsidR="00866AB0">
              <w:rPr>
                <w:rFonts w:ascii="Times New Roman" w:eastAsia="Times New Roman" w:hAnsi="Times New Roman" w:cs="Times New Roman"/>
                <w:sz w:val="24"/>
                <w:lang w:eastAsia="lv-LV"/>
              </w:rPr>
              <w:t> </w:t>
            </w:r>
            <w:r w:rsidRPr="00724E3E">
              <w:rPr>
                <w:rFonts w:ascii="Times New Roman" w:eastAsia="Times New Roman" w:hAnsi="Times New Roman" w:cs="Times New Roman"/>
                <w:sz w:val="24"/>
                <w:lang w:eastAsia="lv-LV"/>
              </w:rPr>
              <w:t xml:space="preserve">2000/46/EK </w:t>
            </w:r>
            <w:r w:rsidRPr="00053045">
              <w:rPr>
                <w:rFonts w:ascii="Times New Roman" w:eastAsia="Times New Roman" w:hAnsi="Times New Roman" w:cs="Times New Roman"/>
                <w:sz w:val="24"/>
                <w:lang w:eastAsia="lv-LV"/>
              </w:rPr>
              <w:t>atcelšanu 7.</w:t>
            </w:r>
            <w:r w:rsidR="005717A7">
              <w:rPr>
                <w:rFonts w:ascii="Times New Roman" w:eastAsia="Times New Roman" w:hAnsi="Times New Roman" w:cs="Times New Roman"/>
                <w:sz w:val="24"/>
                <w:lang w:eastAsia="lv-LV"/>
              </w:rPr>
              <w:t> </w:t>
            </w:r>
            <w:r w:rsidRPr="00053045">
              <w:rPr>
                <w:rFonts w:ascii="Times New Roman" w:eastAsia="Times New Roman" w:hAnsi="Times New Roman" w:cs="Times New Roman"/>
                <w:sz w:val="24"/>
                <w:lang w:eastAsia="lv-LV"/>
              </w:rPr>
              <w:t>panta 2.</w:t>
            </w:r>
            <w:r w:rsidR="005717A7">
              <w:rPr>
                <w:rFonts w:ascii="Times New Roman" w:eastAsia="Times New Roman" w:hAnsi="Times New Roman" w:cs="Times New Roman"/>
                <w:sz w:val="24"/>
                <w:lang w:eastAsia="lv-LV"/>
              </w:rPr>
              <w:t> </w:t>
            </w:r>
            <w:r w:rsidRPr="00053045">
              <w:rPr>
                <w:rFonts w:ascii="Times New Roman" w:eastAsia="Times New Roman" w:hAnsi="Times New Roman" w:cs="Times New Roman"/>
                <w:sz w:val="24"/>
                <w:lang w:eastAsia="lv-LV"/>
              </w:rPr>
              <w:t>punkt</w:t>
            </w:r>
            <w:r w:rsidR="00857843" w:rsidRPr="00053045">
              <w:rPr>
                <w:rFonts w:ascii="Times New Roman" w:eastAsia="Times New Roman" w:hAnsi="Times New Roman" w:cs="Times New Roman"/>
                <w:sz w:val="24"/>
                <w:lang w:eastAsia="lv-LV"/>
              </w:rPr>
              <w:t>ā noteikto</w:t>
            </w:r>
            <w:r w:rsidR="00857843">
              <w:rPr>
                <w:rFonts w:ascii="Times New Roman" w:eastAsia="Times New Roman" w:hAnsi="Times New Roman" w:cs="Times New Roman"/>
                <w:sz w:val="24"/>
                <w:lang w:eastAsia="lv-LV"/>
              </w:rPr>
              <w:t>.</w:t>
            </w:r>
          </w:p>
          <w:p w14:paraId="30491782" w14:textId="059A6C93" w:rsidR="00821405" w:rsidRDefault="0057360C" w:rsidP="0057360C">
            <w:pPr>
              <w:jc w:val="both"/>
              <w:rPr>
                <w:rFonts w:ascii="Times New Roman" w:hAnsi="Times New Roman" w:cs="Times New Roman"/>
                <w:sz w:val="24"/>
                <w:szCs w:val="24"/>
              </w:rPr>
            </w:pPr>
            <w:r w:rsidRPr="0057360C">
              <w:rPr>
                <w:rFonts w:ascii="Times New Roman" w:hAnsi="Times New Roman" w:cs="Times New Roman"/>
                <w:sz w:val="24"/>
                <w:szCs w:val="24"/>
              </w:rPr>
              <w:t>Noteikumu projekts pēc apstiprināšanas būs saistošs reģistrētajām un licencētajām maksājumu iestādēm un elektroniskās naudas iestādēm (</w:t>
            </w:r>
            <w:r w:rsidR="005717A7">
              <w:rPr>
                <w:rFonts w:ascii="Times New Roman" w:hAnsi="Times New Roman" w:cs="Times New Roman"/>
                <w:sz w:val="24"/>
                <w:szCs w:val="24"/>
              </w:rPr>
              <w:t>turpmāk </w:t>
            </w:r>
            <w:r w:rsidRPr="0057360C">
              <w:rPr>
                <w:rFonts w:ascii="Times New Roman" w:hAnsi="Times New Roman" w:cs="Times New Roman"/>
                <w:sz w:val="24"/>
                <w:szCs w:val="24"/>
              </w:rPr>
              <w:t xml:space="preserve">– iestādes), sagatavojot un iesniedzot pārskatus par to darbību Latvijas Bankai, licencētajām </w:t>
            </w:r>
            <w:r w:rsidRPr="008F3CCB">
              <w:rPr>
                <w:rFonts w:ascii="Times New Roman" w:hAnsi="Times New Roman" w:cs="Times New Roman"/>
                <w:sz w:val="24"/>
                <w:szCs w:val="24"/>
              </w:rPr>
              <w:t>maksājumu iestādēm, veicot pašu kapitāla prasību aprēķinu, kā arī iestādēm, veicot no maksājumu pakalpojumu izmantotājiem vai cita maksājumu</w:t>
            </w:r>
            <w:r w:rsidRPr="0057360C">
              <w:rPr>
                <w:rFonts w:ascii="Times New Roman" w:hAnsi="Times New Roman" w:cs="Times New Roman"/>
                <w:sz w:val="24"/>
                <w:szCs w:val="24"/>
              </w:rPr>
              <w:t xml:space="preserve"> pakalpojumu sniedzēja saņemtās naudas ieguldījumus</w:t>
            </w:r>
            <w:r w:rsidR="00A85FCE">
              <w:rPr>
                <w:rFonts w:ascii="Times New Roman" w:hAnsi="Times New Roman" w:cs="Times New Roman"/>
                <w:sz w:val="24"/>
                <w:szCs w:val="24"/>
              </w:rPr>
              <w:t xml:space="preserve"> un</w:t>
            </w:r>
            <w:r w:rsidRPr="0057360C">
              <w:rPr>
                <w:rFonts w:ascii="Times New Roman" w:hAnsi="Times New Roman" w:cs="Times New Roman"/>
                <w:sz w:val="24"/>
                <w:szCs w:val="24"/>
              </w:rPr>
              <w:t xml:space="preserve"> </w:t>
            </w:r>
            <w:r w:rsidR="00A85FCE">
              <w:rPr>
                <w:rFonts w:ascii="Times New Roman" w:hAnsi="Times New Roman" w:cs="Times New Roman"/>
                <w:sz w:val="24"/>
                <w:szCs w:val="24"/>
              </w:rPr>
              <w:t>darot</w:t>
            </w:r>
            <w:r w:rsidRPr="0057360C">
              <w:rPr>
                <w:rFonts w:ascii="Times New Roman" w:hAnsi="Times New Roman" w:cs="Times New Roman"/>
                <w:sz w:val="24"/>
                <w:szCs w:val="24"/>
              </w:rPr>
              <w:t xml:space="preserve"> to drošos, likvīdos, zema riska aktīvos.</w:t>
            </w:r>
          </w:p>
          <w:p w14:paraId="7650C3FC" w14:textId="1043FE39" w:rsidR="0099587C" w:rsidRDefault="0099587C" w:rsidP="005717A7">
            <w:pPr>
              <w:jc w:val="both"/>
              <w:rPr>
                <w:rFonts w:ascii="Times New Roman" w:hAnsi="Times New Roman" w:cs="Times New Roman"/>
                <w:sz w:val="24"/>
                <w:szCs w:val="24"/>
                <w:shd w:val="clear" w:color="auto" w:fill="FFFFFF"/>
              </w:rPr>
            </w:pPr>
            <w:r w:rsidRPr="005717A7">
              <w:rPr>
                <w:rFonts w:ascii="Times New Roman" w:hAnsi="Times New Roman" w:cs="Times New Roman"/>
                <w:sz w:val="24"/>
                <w:szCs w:val="24"/>
                <w:shd w:val="clear" w:color="auto" w:fill="FFFFFF"/>
              </w:rPr>
              <w:t>Atbilstoši Latvijas Bankas likuma 68.</w:t>
            </w:r>
            <w:r w:rsidR="005717A7" w:rsidRPr="005717A7">
              <w:rPr>
                <w:rFonts w:ascii="Times New Roman" w:hAnsi="Times New Roman" w:cs="Times New Roman"/>
                <w:sz w:val="24"/>
                <w:szCs w:val="24"/>
                <w:shd w:val="clear" w:color="auto" w:fill="FFFFFF"/>
              </w:rPr>
              <w:t> </w:t>
            </w:r>
            <w:r w:rsidRPr="005717A7">
              <w:rPr>
                <w:rFonts w:ascii="Times New Roman" w:hAnsi="Times New Roman" w:cs="Times New Roman"/>
                <w:sz w:val="24"/>
                <w:szCs w:val="24"/>
                <w:shd w:val="clear" w:color="auto" w:fill="FFFFFF"/>
              </w:rPr>
              <w:t>panta trešajā daļā noteikt</w:t>
            </w:r>
            <w:r w:rsidR="00E30339">
              <w:rPr>
                <w:rFonts w:ascii="Times New Roman" w:hAnsi="Times New Roman" w:cs="Times New Roman"/>
                <w:sz w:val="24"/>
                <w:szCs w:val="24"/>
                <w:shd w:val="clear" w:color="auto" w:fill="FFFFFF"/>
              </w:rPr>
              <w:t>ajam pilnvarojumam</w:t>
            </w:r>
            <w:r w:rsidRPr="005717A7">
              <w:rPr>
                <w:rFonts w:ascii="Times New Roman" w:hAnsi="Times New Roman" w:cs="Times New Roman"/>
                <w:sz w:val="24"/>
                <w:szCs w:val="24"/>
                <w:shd w:val="clear" w:color="auto" w:fill="FFFFFF"/>
              </w:rPr>
              <w:t xml:space="preserve"> noteikumu projektā iekļauts </w:t>
            </w:r>
            <w:r w:rsidR="00245BE9">
              <w:rPr>
                <w:rFonts w:ascii="Times New Roman" w:hAnsi="Times New Roman" w:cs="Times New Roman"/>
                <w:sz w:val="24"/>
                <w:szCs w:val="24"/>
                <w:shd w:val="clear" w:color="auto" w:fill="FFFFFF"/>
              </w:rPr>
              <w:t>4</w:t>
            </w:r>
            <w:r w:rsidRPr="005717A7">
              <w:rPr>
                <w:rFonts w:ascii="Times New Roman" w:hAnsi="Times New Roman" w:cs="Times New Roman"/>
                <w:sz w:val="24"/>
                <w:szCs w:val="24"/>
                <w:shd w:val="clear" w:color="auto" w:fill="FFFFFF"/>
              </w:rPr>
              <w:t>.</w:t>
            </w:r>
            <w:r w:rsidR="005717A7" w:rsidRPr="005717A7">
              <w:rPr>
                <w:rFonts w:ascii="Times New Roman" w:hAnsi="Times New Roman" w:cs="Times New Roman"/>
                <w:sz w:val="24"/>
                <w:szCs w:val="24"/>
                <w:shd w:val="clear" w:color="auto" w:fill="FFFFFF"/>
              </w:rPr>
              <w:t> </w:t>
            </w:r>
            <w:r w:rsidRPr="005717A7">
              <w:rPr>
                <w:rFonts w:ascii="Times New Roman" w:hAnsi="Times New Roman" w:cs="Times New Roman"/>
                <w:sz w:val="24"/>
                <w:szCs w:val="24"/>
                <w:shd w:val="clear" w:color="auto" w:fill="FFFFFF"/>
              </w:rPr>
              <w:t xml:space="preserve">punkts, kas nosaka, ka pārskatos iekļautie dati tiek glabāti pastāvīgi. </w:t>
            </w:r>
          </w:p>
          <w:p w14:paraId="28D32265" w14:textId="088826D4" w:rsidR="00BB1B0C" w:rsidRPr="007B1360" w:rsidRDefault="00BB1B0C" w:rsidP="005717A7">
            <w:pPr>
              <w:jc w:val="both"/>
              <w:rPr>
                <w:rFonts w:ascii="Times New Roman" w:hAnsi="Times New Roman" w:cs="Times New Roman"/>
                <w:color w:val="FF0000"/>
                <w:sz w:val="24"/>
                <w:szCs w:val="24"/>
                <w:highlight w:val="yellow"/>
                <w:shd w:val="clear" w:color="auto" w:fill="FFFFFF"/>
              </w:rPr>
            </w:pPr>
            <w:r>
              <w:rPr>
                <w:rFonts w:ascii="Times New Roman" w:eastAsia="Times New Roman" w:hAnsi="Times New Roman" w:cs="Times New Roman"/>
                <w:sz w:val="24"/>
                <w:szCs w:val="24"/>
                <w:lang w:eastAsia="lv-LV"/>
              </w:rPr>
              <w:t xml:space="preserve">Ņemot vērā, ka noteikumu projekta prasības jāpiemēro no 2024. gada 1. janvāra, </w:t>
            </w:r>
            <w:r w:rsidR="00D43BAD">
              <w:rPr>
                <w:rFonts w:ascii="Times New Roman" w:eastAsia="Times New Roman" w:hAnsi="Times New Roman" w:cs="Times New Roman"/>
                <w:sz w:val="24"/>
                <w:szCs w:val="24"/>
                <w:lang w:eastAsia="lv-LV"/>
              </w:rPr>
              <w:t xml:space="preserve">noteikumu projektā </w:t>
            </w:r>
            <w:r>
              <w:rPr>
                <w:rFonts w:ascii="Times New Roman" w:eastAsia="Times New Roman" w:hAnsi="Times New Roman" w:cs="Times New Roman"/>
                <w:sz w:val="24"/>
                <w:szCs w:val="24"/>
                <w:lang w:eastAsia="lv-LV"/>
              </w:rPr>
              <w:t xml:space="preserve">ir atrunāta kārtība, ka pārskatiem par </w:t>
            </w:r>
            <w:r w:rsidRPr="00FB6B83">
              <w:rPr>
                <w:rFonts w:ascii="Times New Roman" w:eastAsia="Times New Roman" w:hAnsi="Times New Roman" w:cs="Times New Roman"/>
                <w:sz w:val="24"/>
                <w:lang w:eastAsia="lv-LV"/>
              </w:rPr>
              <w:t>2023. gada 4. ceturksni un pārskatiem par 2023. gada 31. decembri piemēro</w:t>
            </w:r>
            <w:r>
              <w:rPr>
                <w:rFonts w:ascii="Times New Roman" w:eastAsia="Times New Roman" w:hAnsi="Times New Roman" w:cs="Times New Roman"/>
                <w:sz w:val="24"/>
                <w:lang w:eastAsia="lv-LV"/>
              </w:rPr>
              <w:t xml:space="preserve"> </w:t>
            </w:r>
            <w:r>
              <w:rPr>
                <w:rFonts w:ascii="Times New Roman" w:hAnsi="Times New Roman" w:cs="Times New Roman"/>
                <w:sz w:val="24"/>
                <w:szCs w:val="24"/>
              </w:rPr>
              <w:t>N</w:t>
            </w:r>
            <w:r w:rsidRPr="0057360C">
              <w:rPr>
                <w:rFonts w:ascii="Times New Roman" w:hAnsi="Times New Roman" w:cs="Times New Roman"/>
                <w:sz w:val="24"/>
                <w:szCs w:val="24"/>
              </w:rPr>
              <w:t>oteikum</w:t>
            </w:r>
            <w:r>
              <w:rPr>
                <w:rFonts w:ascii="Times New Roman" w:hAnsi="Times New Roman" w:cs="Times New Roman"/>
                <w:sz w:val="24"/>
                <w:szCs w:val="24"/>
              </w:rPr>
              <w:t>u</w:t>
            </w:r>
            <w:r w:rsidRPr="0057360C">
              <w:rPr>
                <w:rFonts w:ascii="Times New Roman" w:hAnsi="Times New Roman" w:cs="Times New Roman"/>
                <w:sz w:val="24"/>
                <w:szCs w:val="24"/>
              </w:rPr>
              <w:t xml:space="preserve"> Nr.</w:t>
            </w:r>
            <w:r>
              <w:rPr>
                <w:rFonts w:ascii="Times New Roman" w:hAnsi="Times New Roman" w:cs="Times New Roman"/>
                <w:sz w:val="24"/>
                <w:szCs w:val="24"/>
              </w:rPr>
              <w:t> </w:t>
            </w:r>
            <w:r w:rsidRPr="0057360C">
              <w:rPr>
                <w:rFonts w:ascii="Times New Roman" w:hAnsi="Times New Roman" w:cs="Times New Roman"/>
                <w:sz w:val="24"/>
                <w:szCs w:val="24"/>
              </w:rPr>
              <w:t>244</w:t>
            </w:r>
            <w:r>
              <w:rPr>
                <w:rFonts w:ascii="Times New Roman" w:hAnsi="Times New Roman" w:cs="Times New Roman"/>
                <w:sz w:val="24"/>
                <w:szCs w:val="24"/>
              </w:rPr>
              <w:t xml:space="preserve"> prasības.</w:t>
            </w:r>
          </w:p>
        </w:tc>
      </w:tr>
      <w:tr w:rsidR="00A61684" w:rsidRPr="007B1360" w14:paraId="7FF36E12" w14:textId="77777777" w:rsidTr="009B620B">
        <w:tc>
          <w:tcPr>
            <w:tcW w:w="1980" w:type="dxa"/>
          </w:tcPr>
          <w:p w14:paraId="1EC190F5" w14:textId="77777777" w:rsidR="001A2F7D" w:rsidRPr="007B1360" w:rsidRDefault="009E6A95" w:rsidP="00ED3376">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Leģitīmais mērķis</w:t>
            </w:r>
          </w:p>
          <w:p w14:paraId="486EBB70" w14:textId="319C36F1" w:rsidR="00851C5D" w:rsidRPr="007B1360" w:rsidRDefault="00851C5D" w:rsidP="00494F09">
            <w:pPr>
              <w:jc w:val="both"/>
              <w:rPr>
                <w:rFonts w:ascii="Times New Roman" w:hAnsi="Times New Roman" w:cs="Times New Roman"/>
                <w:sz w:val="24"/>
                <w:szCs w:val="24"/>
              </w:rPr>
            </w:pPr>
          </w:p>
        </w:tc>
        <w:tc>
          <w:tcPr>
            <w:tcW w:w="6379" w:type="dxa"/>
          </w:tcPr>
          <w:p w14:paraId="0E620B5F" w14:textId="77777777" w:rsidR="0057360C" w:rsidRPr="0057360C" w:rsidRDefault="0057360C" w:rsidP="0057360C">
            <w:pPr>
              <w:jc w:val="both"/>
              <w:rPr>
                <w:rFonts w:ascii="Times New Roman" w:eastAsia="Times New Roman" w:hAnsi="Times New Roman" w:cs="Times New Roman"/>
                <w:sz w:val="24"/>
                <w:szCs w:val="24"/>
                <w:lang w:eastAsia="lv-LV"/>
              </w:rPr>
            </w:pPr>
            <w:r w:rsidRPr="0057360C">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625AF534" w14:textId="1B7C9ABD" w:rsidR="0057360C" w:rsidRPr="0057360C" w:rsidRDefault="0057360C" w:rsidP="0057360C">
            <w:pPr>
              <w:jc w:val="both"/>
              <w:rPr>
                <w:rFonts w:ascii="Times New Roman" w:eastAsia="Times New Roman" w:hAnsi="Times New Roman" w:cs="Times New Roman"/>
                <w:sz w:val="24"/>
                <w:szCs w:val="24"/>
                <w:lang w:eastAsia="lv-LV"/>
              </w:rPr>
            </w:pPr>
            <w:r w:rsidRPr="0057360C">
              <w:rPr>
                <w:rFonts w:ascii="Times New Roman" w:eastAsia="Times New Roman" w:hAnsi="Times New Roman" w:cs="Times New Roman"/>
                <w:sz w:val="24"/>
                <w:szCs w:val="24"/>
                <w:lang w:eastAsia="lv-LV"/>
              </w:rPr>
              <w:t xml:space="preserve">Šo </w:t>
            </w:r>
            <w:proofErr w:type="spellStart"/>
            <w:r w:rsidRPr="0057360C">
              <w:rPr>
                <w:rFonts w:ascii="Times New Roman" w:eastAsia="Times New Roman" w:hAnsi="Times New Roman" w:cs="Times New Roman"/>
                <w:sz w:val="24"/>
                <w:szCs w:val="24"/>
                <w:lang w:eastAsia="lv-LV"/>
              </w:rPr>
              <w:t>pamattiesību</w:t>
            </w:r>
            <w:proofErr w:type="spellEnd"/>
            <w:r w:rsidRPr="0057360C">
              <w:rPr>
                <w:rFonts w:ascii="Times New Roman" w:eastAsia="Times New Roman" w:hAnsi="Times New Roman" w:cs="Times New Roman"/>
                <w:sz w:val="24"/>
                <w:szCs w:val="24"/>
                <w:lang w:eastAsia="lv-LV"/>
              </w:rPr>
              <w:t xml:space="preserve">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w:t>
            </w:r>
            <w:r w:rsidRPr="0057360C">
              <w:rPr>
                <w:rFonts w:ascii="Times New Roman" w:eastAsia="Times New Roman" w:hAnsi="Times New Roman" w:cs="Times New Roman"/>
                <w:sz w:val="24"/>
                <w:szCs w:val="24"/>
                <w:lang w:eastAsia="lv-LV"/>
              </w:rPr>
              <w:lastRenderedPageBreak/>
              <w:t>nodrošina konkrēt</w:t>
            </w:r>
            <w:r w:rsidR="00E56492">
              <w:rPr>
                <w:rFonts w:ascii="Times New Roman" w:eastAsia="Times New Roman" w:hAnsi="Times New Roman" w:cs="Times New Roman"/>
                <w:sz w:val="24"/>
                <w:szCs w:val="24"/>
                <w:lang w:eastAsia="lv-LV"/>
              </w:rPr>
              <w:t>o</w:t>
            </w:r>
            <w:r w:rsidRPr="0057360C">
              <w:rPr>
                <w:rFonts w:ascii="Times New Roman" w:eastAsia="Times New Roman" w:hAnsi="Times New Roman" w:cs="Times New Roman"/>
                <w:sz w:val="24"/>
                <w:szCs w:val="24"/>
                <w:lang w:eastAsia="lv-LV"/>
              </w:rPr>
              <w:t xml:space="preserve"> finanšu tirgus dalībnieku tiesisku un sabiedrības interesēm atbilstošu darbību.</w:t>
            </w:r>
          </w:p>
          <w:p w14:paraId="567DC6D9" w14:textId="32AD8643" w:rsidR="0057360C" w:rsidRPr="0057360C" w:rsidRDefault="0057360C" w:rsidP="0057360C">
            <w:pPr>
              <w:jc w:val="both"/>
              <w:rPr>
                <w:rFonts w:ascii="Times New Roman" w:eastAsia="Times New Roman" w:hAnsi="Times New Roman" w:cs="Times New Roman"/>
                <w:sz w:val="24"/>
                <w:szCs w:val="24"/>
                <w:lang w:eastAsia="lv-LV"/>
              </w:rPr>
            </w:pPr>
            <w:r w:rsidRPr="0057360C">
              <w:rPr>
                <w:rFonts w:ascii="Times New Roman" w:eastAsia="Times New Roman" w:hAnsi="Times New Roman" w:cs="Times New Roman"/>
                <w:sz w:val="24"/>
                <w:szCs w:val="24"/>
                <w:lang w:eastAsia="lv-LV"/>
              </w:rPr>
              <w:t xml:space="preserve">Indivīdam kā daļai no finanšu tirgus sistēmas ir būtiski apzināties un saņemt to aizsardzības līmeni, kuru tam nodrošina finanšu tirgus uzraugs jeb Latvijas Banka, un attiecīgi Latvijas Banka finanšu tirgus uzrauga lomā ir atbildīga par tādu pasākumu veikšanu, kas aizsargā indivīda </w:t>
            </w:r>
            <w:proofErr w:type="spellStart"/>
            <w:r w:rsidRPr="0057360C">
              <w:rPr>
                <w:rFonts w:ascii="Times New Roman" w:eastAsia="Times New Roman" w:hAnsi="Times New Roman" w:cs="Times New Roman"/>
                <w:sz w:val="24"/>
                <w:szCs w:val="24"/>
                <w:lang w:eastAsia="lv-LV"/>
              </w:rPr>
              <w:t>pamattiesības</w:t>
            </w:r>
            <w:proofErr w:type="spellEnd"/>
            <w:r w:rsidRPr="0057360C">
              <w:rPr>
                <w:rFonts w:ascii="Times New Roman" w:eastAsia="Times New Roman" w:hAnsi="Times New Roman" w:cs="Times New Roman"/>
                <w:sz w:val="24"/>
                <w:szCs w:val="24"/>
                <w:lang w:eastAsia="lv-LV"/>
              </w:rPr>
              <w:t xml:space="preserve">. Respektīvi, indivīds ir tiesīgs paļauties uz finanšu sistēmas taisnīgu uzraudzību, pretējā gadījumā indivīdam zūd uzticība finanšu sistēmai un motivācija būt </w:t>
            </w:r>
            <w:r w:rsidR="006A7880">
              <w:rPr>
                <w:rFonts w:ascii="Times New Roman" w:eastAsia="Times New Roman" w:hAnsi="Times New Roman" w:cs="Times New Roman"/>
                <w:sz w:val="24"/>
                <w:szCs w:val="24"/>
                <w:lang w:eastAsia="lv-LV"/>
              </w:rPr>
              <w:t xml:space="preserve">par </w:t>
            </w:r>
            <w:r w:rsidRPr="0057360C">
              <w:rPr>
                <w:rFonts w:ascii="Times New Roman" w:eastAsia="Times New Roman" w:hAnsi="Times New Roman" w:cs="Times New Roman"/>
                <w:sz w:val="24"/>
                <w:szCs w:val="24"/>
                <w:lang w:eastAsia="lv-LV"/>
              </w:rPr>
              <w:t>šīs sistēmas dalībnieku.</w:t>
            </w:r>
          </w:p>
          <w:p w14:paraId="32424F72" w14:textId="164909D2" w:rsidR="0057360C" w:rsidRDefault="0057360C" w:rsidP="0057360C">
            <w:pPr>
              <w:jc w:val="both"/>
              <w:rPr>
                <w:rFonts w:ascii="Times New Roman" w:eastAsia="Times New Roman" w:hAnsi="Times New Roman" w:cs="Times New Roman"/>
                <w:sz w:val="24"/>
                <w:szCs w:val="24"/>
                <w:lang w:eastAsia="lv-LV"/>
              </w:rPr>
            </w:pPr>
            <w:r w:rsidRPr="0057360C">
              <w:rPr>
                <w:rFonts w:ascii="Times New Roman" w:eastAsia="Times New Roman" w:hAnsi="Times New Roman" w:cs="Times New Roman"/>
                <w:sz w:val="24"/>
                <w:szCs w:val="24"/>
                <w:lang w:eastAsia="lv-LV"/>
              </w:rPr>
              <w:t>Nosakot tirgus dalībniekiem prasības un veicot prasību ievērošanas pārbaudes, Latvijas Banka nodrošina tai Latvijas Bankas likumā noteikto pienākumu</w:t>
            </w:r>
            <w:r w:rsidR="0039219C">
              <w:rPr>
                <w:rFonts w:ascii="Times New Roman" w:eastAsia="Times New Roman" w:hAnsi="Times New Roman" w:cs="Times New Roman"/>
                <w:sz w:val="24"/>
                <w:szCs w:val="24"/>
                <w:lang w:eastAsia="lv-LV"/>
              </w:rPr>
              <w:t xml:space="preserve"> – </w:t>
            </w:r>
            <w:r w:rsidRPr="0057360C">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39219C">
              <w:rPr>
                <w:rFonts w:ascii="Times New Roman" w:eastAsia="Times New Roman" w:hAnsi="Times New Roman" w:cs="Times New Roman"/>
                <w:sz w:val="24"/>
                <w:szCs w:val="24"/>
                <w:lang w:eastAsia="lv-LV"/>
              </w:rPr>
              <w:t> –</w:t>
            </w:r>
            <w:r w:rsidRPr="0057360C">
              <w:rPr>
                <w:rFonts w:ascii="Times New Roman" w:eastAsia="Times New Roman" w:hAnsi="Times New Roman" w:cs="Times New Roman"/>
                <w:sz w:val="24"/>
                <w:szCs w:val="24"/>
                <w:lang w:eastAsia="lv-LV"/>
              </w:rPr>
              <w:t xml:space="preserve"> izpildi.</w:t>
            </w:r>
          </w:p>
          <w:p w14:paraId="3CFC8C55" w14:textId="2E57D58D" w:rsidR="00D44481" w:rsidRPr="00D44481" w:rsidRDefault="00D44481" w:rsidP="0057360C">
            <w:pPr>
              <w:jc w:val="both"/>
              <w:rPr>
                <w:rFonts w:ascii="Times New Roman" w:eastAsia="Times New Roman" w:hAnsi="Times New Roman" w:cs="Times New Roman"/>
                <w:sz w:val="24"/>
                <w:szCs w:val="24"/>
                <w:lang w:eastAsia="lv-LV"/>
              </w:rPr>
            </w:pPr>
            <w:r w:rsidRPr="00D44481">
              <w:rPr>
                <w:rFonts w:ascii="Times New Roman" w:hAnsi="Times New Roman" w:cs="Times New Roman"/>
                <w:sz w:val="24"/>
                <w:szCs w:val="24"/>
              </w:rPr>
              <w:t>Savukārt leģitīmais mērķis</w:t>
            </w:r>
            <w:r>
              <w:rPr>
                <w:rFonts w:ascii="Times New Roman" w:hAnsi="Times New Roman" w:cs="Times New Roman"/>
                <w:sz w:val="24"/>
                <w:szCs w:val="24"/>
              </w:rPr>
              <w:t> </w:t>
            </w:r>
            <w:r w:rsidRPr="00D44481">
              <w:rPr>
                <w:rFonts w:ascii="Times New Roman" w:hAnsi="Times New Roman" w:cs="Times New Roman"/>
                <w:sz w:val="24"/>
                <w:szCs w:val="24"/>
              </w:rPr>
              <w:t>– citu personu tiesību aizsardzība – tiek sasniegts, datu apstrādi veicot tādā veidā, kas nodrošina to konfidencialitāti un attiecīgi aizsargā statistisko datu sniedzēju tiesības un tiesiskās intereses</w:t>
            </w:r>
            <w:r w:rsidR="002B53AD">
              <w:rPr>
                <w:rFonts w:ascii="Times New Roman" w:hAnsi="Times New Roman" w:cs="Times New Roman"/>
                <w:sz w:val="24"/>
                <w:szCs w:val="24"/>
              </w:rPr>
              <w:t xml:space="preserve"> a</w:t>
            </w:r>
            <w:r w:rsidRPr="00D44481">
              <w:rPr>
                <w:rFonts w:ascii="Times New Roman" w:hAnsi="Times New Roman" w:cs="Times New Roman"/>
                <w:sz w:val="24"/>
                <w:szCs w:val="24"/>
              </w:rPr>
              <w:t>tbilstoši Padomes 1998.</w:t>
            </w:r>
            <w:r>
              <w:rPr>
                <w:rFonts w:ascii="Times New Roman" w:hAnsi="Times New Roman" w:cs="Times New Roman"/>
                <w:sz w:val="24"/>
                <w:szCs w:val="24"/>
              </w:rPr>
              <w:t> </w:t>
            </w:r>
            <w:r w:rsidRPr="00D44481">
              <w:rPr>
                <w:rFonts w:ascii="Times New Roman" w:hAnsi="Times New Roman" w:cs="Times New Roman"/>
                <w:sz w:val="24"/>
                <w:szCs w:val="24"/>
              </w:rPr>
              <w:t>gada 23.</w:t>
            </w:r>
            <w:r>
              <w:rPr>
                <w:rFonts w:ascii="Times New Roman" w:hAnsi="Times New Roman" w:cs="Times New Roman"/>
                <w:sz w:val="24"/>
                <w:szCs w:val="24"/>
              </w:rPr>
              <w:t> </w:t>
            </w:r>
            <w:r w:rsidRPr="00D44481">
              <w:rPr>
                <w:rFonts w:ascii="Times New Roman" w:hAnsi="Times New Roman" w:cs="Times New Roman"/>
                <w:sz w:val="24"/>
                <w:szCs w:val="24"/>
              </w:rPr>
              <w:t xml:space="preserve">novembra </w:t>
            </w:r>
            <w:r w:rsidR="002B53AD">
              <w:rPr>
                <w:rFonts w:ascii="Times New Roman" w:hAnsi="Times New Roman" w:cs="Times New Roman"/>
                <w:sz w:val="24"/>
                <w:szCs w:val="24"/>
              </w:rPr>
              <w:t>r</w:t>
            </w:r>
            <w:r w:rsidRPr="00D44481">
              <w:rPr>
                <w:rFonts w:ascii="Times New Roman" w:hAnsi="Times New Roman" w:cs="Times New Roman"/>
                <w:sz w:val="24"/>
                <w:szCs w:val="24"/>
              </w:rPr>
              <w:t>egulas</w:t>
            </w:r>
            <w:r w:rsidR="002B53AD">
              <w:rPr>
                <w:rFonts w:ascii="Times New Roman" w:hAnsi="Times New Roman" w:cs="Times New Roman"/>
                <w:sz w:val="24"/>
                <w:szCs w:val="24"/>
              </w:rPr>
              <w:t xml:space="preserve"> (EK)</w:t>
            </w:r>
            <w:r w:rsidRPr="00D44481">
              <w:rPr>
                <w:rFonts w:ascii="Times New Roman" w:hAnsi="Times New Roman" w:cs="Times New Roman"/>
                <w:sz w:val="24"/>
                <w:szCs w:val="24"/>
              </w:rPr>
              <w:t xml:space="preserve"> Nr.</w:t>
            </w:r>
            <w:r>
              <w:rPr>
                <w:rFonts w:ascii="Times New Roman" w:hAnsi="Times New Roman" w:cs="Times New Roman"/>
                <w:sz w:val="24"/>
                <w:szCs w:val="24"/>
              </w:rPr>
              <w:t> </w:t>
            </w:r>
            <w:r w:rsidRPr="00D44481">
              <w:rPr>
                <w:rFonts w:ascii="Times New Roman" w:hAnsi="Times New Roman" w:cs="Times New Roman"/>
                <w:sz w:val="24"/>
                <w:szCs w:val="24"/>
              </w:rPr>
              <w:t>2533/98 par statistikas informācijas vākšanu, ko veic Eiropas Centrālā banka (turpmāk</w:t>
            </w:r>
            <w:r>
              <w:rPr>
                <w:rFonts w:ascii="Times New Roman" w:hAnsi="Times New Roman" w:cs="Times New Roman"/>
                <w:sz w:val="24"/>
                <w:szCs w:val="24"/>
              </w:rPr>
              <w:t> </w:t>
            </w:r>
            <w:r w:rsidRPr="00D44481">
              <w:rPr>
                <w:rFonts w:ascii="Times New Roman" w:hAnsi="Times New Roman" w:cs="Times New Roman"/>
                <w:sz w:val="24"/>
                <w:szCs w:val="24"/>
              </w:rPr>
              <w:t>– Regula Nr.</w:t>
            </w:r>
            <w:r>
              <w:rPr>
                <w:rFonts w:ascii="Times New Roman" w:hAnsi="Times New Roman" w:cs="Times New Roman"/>
                <w:sz w:val="24"/>
                <w:szCs w:val="24"/>
              </w:rPr>
              <w:t> </w:t>
            </w:r>
            <w:r w:rsidRPr="00D44481">
              <w:rPr>
                <w:rFonts w:ascii="Times New Roman" w:hAnsi="Times New Roman" w:cs="Times New Roman"/>
                <w:sz w:val="24"/>
                <w:szCs w:val="24"/>
              </w:rPr>
              <w:t>2533/98) 18.</w:t>
            </w:r>
            <w:r>
              <w:rPr>
                <w:rFonts w:ascii="Times New Roman" w:hAnsi="Times New Roman" w:cs="Times New Roman"/>
                <w:sz w:val="24"/>
                <w:szCs w:val="24"/>
              </w:rPr>
              <w:t> </w:t>
            </w:r>
            <w:r w:rsidRPr="00D44481">
              <w:rPr>
                <w:rFonts w:ascii="Times New Roman" w:hAnsi="Times New Roman" w:cs="Times New Roman"/>
                <w:sz w:val="24"/>
                <w:szCs w:val="24"/>
              </w:rPr>
              <w:t>apsvērumam</w:t>
            </w:r>
            <w:r w:rsidR="00246C08">
              <w:rPr>
                <w:rFonts w:ascii="Times New Roman" w:hAnsi="Times New Roman" w:cs="Times New Roman"/>
                <w:sz w:val="24"/>
                <w:szCs w:val="24"/>
              </w:rPr>
              <w:t>, kas nosaka, ka</w:t>
            </w:r>
            <w:r w:rsidRPr="00D44481">
              <w:rPr>
                <w:rFonts w:ascii="Times New Roman" w:hAnsi="Times New Roman" w:cs="Times New Roman"/>
                <w:sz w:val="24"/>
                <w:szCs w:val="24"/>
              </w:rPr>
              <w:t xml:space="preserve"> konfidenciāla statistikas informācija, kas Eiropas Centrālajai bankai un valstu centrālajām bankām jāiegūst, lai izpildītu Eiropas Centrālās bankas uzdevumus, ir jāaizsargā, lai iegūtu un saglabātu statistisko datu sniedzēju uzticēšanos. Ņemot vērā nepieciešamību nodrošināt statistisko datu sniedzēju uzticēšanos Latvijas Bankai, Latvijas Banka statistiskos datus izmanto tikai Latvijas Bankas likumā noteikto Latvijas Bankas uzdevumu izpildei, t.</w:t>
            </w:r>
            <w:r w:rsidR="00866AB0">
              <w:rPr>
                <w:rFonts w:ascii="Times New Roman" w:hAnsi="Times New Roman" w:cs="Times New Roman"/>
                <w:sz w:val="24"/>
                <w:szCs w:val="24"/>
              </w:rPr>
              <w:t> </w:t>
            </w:r>
            <w:r w:rsidRPr="00D44481">
              <w:rPr>
                <w:rFonts w:ascii="Times New Roman" w:hAnsi="Times New Roman" w:cs="Times New Roman"/>
                <w:sz w:val="24"/>
                <w:szCs w:val="24"/>
              </w:rPr>
              <w:t>sk. to uzdevumu</w:t>
            </w:r>
            <w:r w:rsidR="000E7A67" w:rsidRPr="00D44481">
              <w:rPr>
                <w:rFonts w:ascii="Times New Roman" w:hAnsi="Times New Roman" w:cs="Times New Roman"/>
                <w:sz w:val="24"/>
                <w:szCs w:val="24"/>
              </w:rPr>
              <w:t xml:space="preserve"> izpildei</w:t>
            </w:r>
            <w:r w:rsidRPr="00D44481">
              <w:rPr>
                <w:rFonts w:ascii="Times New Roman" w:hAnsi="Times New Roman" w:cs="Times New Roman"/>
                <w:sz w:val="24"/>
                <w:szCs w:val="24"/>
              </w:rPr>
              <w:t>, kas saistīti ar Latvijas Bankas darbību Eiropas Centrālo banku sistēmā. Saskaņā ar Regulas Nr.</w:t>
            </w:r>
            <w:r>
              <w:rPr>
                <w:rFonts w:ascii="Times New Roman" w:hAnsi="Times New Roman" w:cs="Times New Roman"/>
                <w:sz w:val="24"/>
                <w:szCs w:val="24"/>
              </w:rPr>
              <w:t> </w:t>
            </w:r>
            <w:r w:rsidRPr="00D44481">
              <w:rPr>
                <w:rFonts w:ascii="Times New Roman" w:hAnsi="Times New Roman" w:cs="Times New Roman"/>
                <w:sz w:val="24"/>
                <w:szCs w:val="24"/>
              </w:rPr>
              <w:t>2533/98 8.</w:t>
            </w:r>
            <w:r>
              <w:rPr>
                <w:rFonts w:ascii="Times New Roman" w:hAnsi="Times New Roman" w:cs="Times New Roman"/>
                <w:sz w:val="24"/>
                <w:szCs w:val="24"/>
              </w:rPr>
              <w:t> </w:t>
            </w:r>
            <w:r w:rsidRPr="00D44481">
              <w:rPr>
                <w:rFonts w:ascii="Times New Roman" w:hAnsi="Times New Roman" w:cs="Times New Roman"/>
                <w:sz w:val="24"/>
                <w:szCs w:val="24"/>
              </w:rPr>
              <w:t>panta 3.</w:t>
            </w:r>
            <w:r>
              <w:rPr>
                <w:rFonts w:ascii="Times New Roman" w:hAnsi="Times New Roman" w:cs="Times New Roman"/>
                <w:sz w:val="24"/>
                <w:szCs w:val="24"/>
              </w:rPr>
              <w:t> </w:t>
            </w:r>
            <w:r w:rsidRPr="00D44481">
              <w:rPr>
                <w:rFonts w:ascii="Times New Roman" w:hAnsi="Times New Roman" w:cs="Times New Roman"/>
                <w:sz w:val="24"/>
                <w:szCs w:val="24"/>
              </w:rPr>
              <w:t>punktā noteikto Eiropas Centrālo banku sistēmas dalībniecēm ir jāveic visi vajadzīgie normatīvie, administratīvie, tehniskie un organizatoriskie pasākumi, lai nodrošinātu konfidenciālas statistikas informācijas fizisko un loģisko aizsardzību.</w:t>
            </w:r>
          </w:p>
          <w:p w14:paraId="5B199845" w14:textId="224178C2" w:rsidR="009E6A95" w:rsidRPr="007B1360" w:rsidRDefault="0057360C" w:rsidP="0057360C">
            <w:pPr>
              <w:jc w:val="both"/>
              <w:rPr>
                <w:rFonts w:ascii="Times New Roman" w:hAnsi="Times New Roman" w:cs="Times New Roman"/>
                <w:color w:val="FF0000"/>
                <w:sz w:val="24"/>
                <w:szCs w:val="24"/>
              </w:rPr>
            </w:pPr>
            <w:r w:rsidRPr="0057360C">
              <w:rPr>
                <w:rFonts w:ascii="Times New Roman" w:eastAsia="Times New Roman" w:hAnsi="Times New Roman" w:cs="Times New Roman"/>
                <w:sz w:val="24"/>
                <w:szCs w:val="24"/>
                <w:lang w:eastAsia="lv-LV"/>
              </w:rPr>
              <w:t>Noteikumu projekts ir nepieciešams, lai veicinātu tirgus dalībnieku vienotu izpratni un pieeju Latvijas Bankai iesniedzamo pārskatu sagatavošanai un regulējošo prasību piemērošanai un Latvijas Banka varētu nodrošināt atbilstošu uzraudzības funkciju veikšanu un sekot līdzi regulējošo prasību ievērošanai.</w:t>
            </w:r>
            <w:r w:rsidR="00FB6B83">
              <w:rPr>
                <w:rFonts w:ascii="Times New Roman" w:eastAsia="Times New Roman" w:hAnsi="Times New Roman" w:cs="Times New Roman"/>
                <w:sz w:val="24"/>
                <w:szCs w:val="24"/>
                <w:lang w:eastAsia="lv-LV"/>
              </w:rPr>
              <w:t xml:space="preserve"> </w:t>
            </w:r>
          </w:p>
        </w:tc>
      </w:tr>
      <w:tr w:rsidR="00A61684" w:rsidRPr="007B1360" w14:paraId="1F6AF38A" w14:textId="77777777" w:rsidTr="009B620B">
        <w:trPr>
          <w:trHeight w:val="557"/>
        </w:trPr>
        <w:tc>
          <w:tcPr>
            <w:tcW w:w="1980" w:type="dxa"/>
          </w:tcPr>
          <w:p w14:paraId="4BE09150" w14:textId="77777777" w:rsidR="001A2F7D" w:rsidRPr="007B1360" w:rsidRDefault="009E6A95" w:rsidP="001A2F7D">
            <w:pPr>
              <w:jc w:val="both"/>
              <w:rPr>
                <w:rFonts w:ascii="Times New Roman" w:hAnsi="Times New Roman" w:cs="Times New Roman"/>
                <w:sz w:val="24"/>
                <w:szCs w:val="24"/>
              </w:rPr>
            </w:pPr>
            <w:r w:rsidRPr="007B1360">
              <w:rPr>
                <w:rFonts w:ascii="Times New Roman" w:hAnsi="Times New Roman" w:cs="Times New Roman"/>
                <w:b/>
                <w:bCs/>
                <w:sz w:val="24"/>
                <w:szCs w:val="24"/>
              </w:rPr>
              <w:lastRenderedPageBreak/>
              <w:t>Samērīgums</w:t>
            </w:r>
          </w:p>
          <w:p w14:paraId="5B2AC1B8" w14:textId="0CC4E8FB" w:rsidR="009B6162" w:rsidRPr="007B1360" w:rsidRDefault="009B6162" w:rsidP="009B6162">
            <w:pPr>
              <w:jc w:val="both"/>
              <w:rPr>
                <w:rFonts w:ascii="Times New Roman" w:hAnsi="Times New Roman" w:cs="Times New Roman"/>
                <w:color w:val="FF0000"/>
                <w:sz w:val="24"/>
                <w:szCs w:val="24"/>
              </w:rPr>
            </w:pPr>
          </w:p>
        </w:tc>
        <w:tc>
          <w:tcPr>
            <w:tcW w:w="6379" w:type="dxa"/>
          </w:tcPr>
          <w:p w14:paraId="5465D964" w14:textId="01F741CE" w:rsidR="0057360C" w:rsidRPr="0057360C" w:rsidRDefault="0057360C" w:rsidP="0057360C">
            <w:pPr>
              <w:jc w:val="both"/>
              <w:rPr>
                <w:rFonts w:ascii="Times New Roman" w:eastAsia="Times New Roman" w:hAnsi="Times New Roman" w:cs="Times New Roman"/>
                <w:sz w:val="24"/>
                <w:szCs w:val="24"/>
              </w:rPr>
            </w:pPr>
            <w:r w:rsidRPr="0057360C">
              <w:rPr>
                <w:rFonts w:ascii="Times New Roman" w:eastAsia="Times New Roman" w:hAnsi="Times New Roman" w:cs="Times New Roman"/>
                <w:sz w:val="24"/>
                <w:szCs w:val="24"/>
              </w:rPr>
              <w:t xml:space="preserve">Nosakot iestādēm vienotas prasības par Latvijas Bankai iesniedzamo pārskatu formu un saturu, kā arī par ieguldījumiem drošos, likvīdos un zema riska aktīvos, tiek nodrošināta vienota tirgus dalībnieku izpratne un pieeja regulējošo prasību interpretācijai un piemērošanai. </w:t>
            </w:r>
          </w:p>
          <w:p w14:paraId="6251B01C" w14:textId="7FB92904" w:rsidR="0057360C" w:rsidRPr="0057360C" w:rsidRDefault="0057360C" w:rsidP="0057360C">
            <w:pPr>
              <w:jc w:val="both"/>
              <w:rPr>
                <w:rFonts w:ascii="Times New Roman" w:eastAsia="Times New Roman" w:hAnsi="Times New Roman" w:cs="Times New Roman"/>
                <w:sz w:val="24"/>
                <w:szCs w:val="24"/>
              </w:rPr>
            </w:pPr>
            <w:r w:rsidRPr="0057360C">
              <w:rPr>
                <w:rFonts w:ascii="Times New Roman" w:eastAsia="Times New Roman" w:hAnsi="Times New Roman" w:cs="Times New Roman"/>
                <w:sz w:val="24"/>
                <w:szCs w:val="24"/>
              </w:rPr>
              <w:t>Līdz ar to atbilstošākais veids, kā noteikt iestādēm vienotas prasības</w:t>
            </w:r>
            <w:r w:rsidR="0039219C">
              <w:rPr>
                <w:rFonts w:ascii="Times New Roman" w:eastAsia="Times New Roman" w:hAnsi="Times New Roman" w:cs="Times New Roman"/>
                <w:sz w:val="24"/>
                <w:szCs w:val="24"/>
              </w:rPr>
              <w:t xml:space="preserve"> attiecībā uz</w:t>
            </w:r>
            <w:r w:rsidRPr="0057360C">
              <w:rPr>
                <w:rFonts w:ascii="Times New Roman" w:eastAsia="Times New Roman" w:hAnsi="Times New Roman" w:cs="Times New Roman"/>
                <w:sz w:val="24"/>
                <w:szCs w:val="24"/>
              </w:rPr>
              <w:t xml:space="preserve"> Latvijas Bankai iesniedzamajos pārskatos iekļaujam</w:t>
            </w:r>
            <w:r w:rsidR="0039219C">
              <w:rPr>
                <w:rFonts w:ascii="Times New Roman" w:eastAsia="Times New Roman" w:hAnsi="Times New Roman" w:cs="Times New Roman"/>
                <w:sz w:val="24"/>
                <w:szCs w:val="24"/>
              </w:rPr>
              <w:t>o</w:t>
            </w:r>
            <w:r w:rsidRPr="0057360C">
              <w:rPr>
                <w:rFonts w:ascii="Times New Roman" w:eastAsia="Times New Roman" w:hAnsi="Times New Roman" w:cs="Times New Roman"/>
                <w:sz w:val="24"/>
                <w:szCs w:val="24"/>
              </w:rPr>
              <w:t xml:space="preserve"> informācij</w:t>
            </w:r>
            <w:r w:rsidR="0039219C">
              <w:rPr>
                <w:rFonts w:ascii="Times New Roman" w:eastAsia="Times New Roman" w:hAnsi="Times New Roman" w:cs="Times New Roman"/>
                <w:sz w:val="24"/>
                <w:szCs w:val="24"/>
              </w:rPr>
              <w:t>u</w:t>
            </w:r>
            <w:r w:rsidRPr="0057360C">
              <w:rPr>
                <w:rFonts w:ascii="Times New Roman" w:eastAsia="Times New Roman" w:hAnsi="Times New Roman" w:cs="Times New Roman"/>
                <w:sz w:val="24"/>
                <w:szCs w:val="24"/>
              </w:rPr>
              <w:t xml:space="preserve"> un regulējošo prasību aprēķin</w:t>
            </w:r>
            <w:r w:rsidR="0039219C">
              <w:rPr>
                <w:rFonts w:ascii="Times New Roman" w:eastAsia="Times New Roman" w:hAnsi="Times New Roman" w:cs="Times New Roman"/>
                <w:sz w:val="24"/>
                <w:szCs w:val="24"/>
              </w:rPr>
              <w:t>u</w:t>
            </w:r>
            <w:r w:rsidRPr="0057360C">
              <w:rPr>
                <w:rFonts w:ascii="Times New Roman" w:eastAsia="Times New Roman" w:hAnsi="Times New Roman" w:cs="Times New Roman"/>
                <w:sz w:val="24"/>
                <w:szCs w:val="24"/>
              </w:rPr>
              <w:t xml:space="preserve">, ir izdot </w:t>
            </w:r>
            <w:r w:rsidR="000424A4">
              <w:rPr>
                <w:rFonts w:ascii="Times New Roman" w:eastAsia="Times New Roman" w:hAnsi="Times New Roman" w:cs="Times New Roman"/>
                <w:sz w:val="24"/>
                <w:szCs w:val="24"/>
              </w:rPr>
              <w:lastRenderedPageBreak/>
              <w:t>tām</w:t>
            </w:r>
            <w:r w:rsidRPr="0057360C">
              <w:rPr>
                <w:rFonts w:ascii="Times New Roman" w:eastAsia="Times New Roman" w:hAnsi="Times New Roman" w:cs="Times New Roman"/>
                <w:sz w:val="24"/>
                <w:szCs w:val="24"/>
              </w:rPr>
              <w:t xml:space="preserve"> saistošus normatīvos noteikumus. Citas alternatīvas jautājuma noregulēšanai un vienotu prasību noteikšanai nebūtu efektīvas un nesasniegtu izvirzīto mērķi, jo nenodrošinātu vienveidīgu regulējuma piemērošanu un noteikta apjoma un kvalitātes informācijas atklāšanu Latvijas Bankai iesniedzamajos pārskatos, lai Latvijas Banka nodrošinātu tai deleģēto uzraudzības funkciju veikšanu.</w:t>
            </w:r>
          </w:p>
          <w:p w14:paraId="72DE19C1" w14:textId="034AD1F0" w:rsidR="0057360C" w:rsidRPr="0057360C" w:rsidRDefault="0057360C" w:rsidP="0057360C">
            <w:pPr>
              <w:jc w:val="both"/>
              <w:rPr>
                <w:rFonts w:ascii="Times New Roman" w:eastAsia="Times New Roman" w:hAnsi="Times New Roman" w:cs="Times New Roman"/>
                <w:sz w:val="24"/>
                <w:szCs w:val="24"/>
              </w:rPr>
            </w:pPr>
            <w:r w:rsidRPr="0057360C">
              <w:rPr>
                <w:rFonts w:ascii="Times New Roman" w:eastAsia="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tirgus dalībniekam juridiski saistoši. Turklāt noteikumu </w:t>
            </w:r>
            <w:r w:rsidR="0039219C">
              <w:rPr>
                <w:rFonts w:ascii="Times New Roman" w:eastAsia="Times New Roman" w:hAnsi="Times New Roman" w:cs="Times New Roman"/>
                <w:sz w:val="24"/>
                <w:szCs w:val="24"/>
              </w:rPr>
              <w:t xml:space="preserve">projekta </w:t>
            </w:r>
            <w:r w:rsidRPr="0057360C">
              <w:rPr>
                <w:rFonts w:ascii="Times New Roman" w:eastAsia="Times New Roman" w:hAnsi="Times New Roman" w:cs="Times New Roman"/>
                <w:sz w:val="24"/>
                <w:szCs w:val="24"/>
              </w:rPr>
              <w:t>izstrādi pilnvarojošās normas skaidri norāda uz noteikumu izstrādi.</w:t>
            </w:r>
          </w:p>
          <w:p w14:paraId="12569A52" w14:textId="4D8EFD6B" w:rsidR="00851C5D" w:rsidRPr="007B1360" w:rsidRDefault="0057360C" w:rsidP="0057360C">
            <w:pPr>
              <w:jc w:val="both"/>
              <w:rPr>
                <w:rFonts w:ascii="Times New Roman" w:hAnsi="Times New Roman" w:cs="Times New Roman"/>
                <w:sz w:val="24"/>
                <w:szCs w:val="24"/>
              </w:rPr>
            </w:pPr>
            <w:r w:rsidRPr="0057360C">
              <w:rPr>
                <w:rFonts w:ascii="Times New Roman" w:eastAsia="Times New Roman" w:hAnsi="Times New Roman" w:cs="Times New Roman"/>
                <w:sz w:val="24"/>
                <w:szCs w:val="24"/>
              </w:rPr>
              <w:t>Respektīvi, normatīvais akts kopumā un tajā ietvertās tiesību normas atbilst samērīguma principam, jo, pirmkārt, ar noteikumu projekta ieviešanu tiek sasniegts leģitīmais mērķis (citu personu tiesību un sabiedrības labklājības aizsardzība). Otrkārt, nav iespējams pēc būtības īstenot citu personu tiesību un sabiedrības labklājības aizsardzību ar citiem līdzekļiem, kā arī nepastāv tādi alternatīvi līdzekļi, kas sasniegtu leģitīmo mērķi tādā pašā kvalitātē. Treškārt, sabiedrības labums no normatīvā akta prasību piemērošanas ir lielāks par nelielu papildu slogu un resursu ieguldījumu, kas konkrētajam tirgus dalībniekam varētu rasties ar uzliktajiem pienākumiem.</w:t>
            </w:r>
          </w:p>
        </w:tc>
      </w:tr>
      <w:tr w:rsidR="00A61684" w:rsidRPr="007B1360" w14:paraId="73006DC9" w14:textId="77777777" w:rsidTr="009B620B">
        <w:tc>
          <w:tcPr>
            <w:tcW w:w="1980" w:type="dxa"/>
          </w:tcPr>
          <w:p w14:paraId="57036A8D" w14:textId="75F5C14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Spēkā stāšanās</w:t>
            </w:r>
          </w:p>
        </w:tc>
        <w:tc>
          <w:tcPr>
            <w:tcW w:w="6379" w:type="dxa"/>
          </w:tcPr>
          <w:p w14:paraId="433575F7" w14:textId="7DA8A070" w:rsidR="00C935B1" w:rsidRPr="00C935B1" w:rsidRDefault="0057360C" w:rsidP="00CB2ED4">
            <w:pPr>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Noteikumi stā</w:t>
            </w:r>
            <w:r w:rsidR="005717A7">
              <w:rPr>
                <w:rFonts w:ascii="Times New Roman" w:eastAsia="Times New Roman" w:hAnsi="Times New Roman" w:cs="Times New Roman"/>
                <w:sz w:val="24"/>
                <w:szCs w:val="24"/>
                <w:lang w:eastAsia="lv-LV"/>
              </w:rPr>
              <w:t>sie</w:t>
            </w:r>
            <w:r w:rsidRPr="00E7052B">
              <w:rPr>
                <w:rFonts w:ascii="Times New Roman" w:eastAsia="Times New Roman" w:hAnsi="Times New Roman" w:cs="Times New Roman"/>
                <w:sz w:val="24"/>
                <w:szCs w:val="24"/>
                <w:lang w:eastAsia="lv-LV"/>
              </w:rPr>
              <w:t xml:space="preserve">s spēkā </w:t>
            </w:r>
            <w:r w:rsidR="00C935B1" w:rsidRPr="00C935B1">
              <w:rPr>
                <w:rFonts w:ascii="Times New Roman" w:eastAsia="Times New Roman" w:hAnsi="Times New Roman" w:cs="Times New Roman"/>
                <w:sz w:val="24"/>
                <w:szCs w:val="24"/>
                <w:lang w:eastAsia="lv-LV"/>
              </w:rPr>
              <w:t>2024. gada 1.</w:t>
            </w:r>
            <w:r w:rsidR="004E3E7D">
              <w:rPr>
                <w:rFonts w:ascii="Times New Roman" w:eastAsia="Times New Roman" w:hAnsi="Times New Roman" w:cs="Times New Roman"/>
                <w:sz w:val="24"/>
                <w:szCs w:val="24"/>
                <w:lang w:eastAsia="lv-LV"/>
              </w:rPr>
              <w:t> </w:t>
            </w:r>
            <w:r w:rsidR="00C935B1" w:rsidRPr="00C935B1">
              <w:rPr>
                <w:rFonts w:ascii="Times New Roman" w:eastAsia="Times New Roman" w:hAnsi="Times New Roman" w:cs="Times New Roman"/>
                <w:sz w:val="24"/>
                <w:szCs w:val="24"/>
                <w:lang w:eastAsia="lv-LV"/>
              </w:rPr>
              <w:t>janvārī</w:t>
            </w:r>
            <w:r w:rsidR="00C935B1">
              <w:rPr>
                <w:rFonts w:ascii="Times New Roman" w:eastAsia="Times New Roman" w:hAnsi="Times New Roman" w:cs="Times New Roman"/>
                <w:sz w:val="24"/>
                <w:szCs w:val="24"/>
                <w:lang w:eastAsia="lv-LV"/>
              </w:rPr>
              <w:t>.</w:t>
            </w:r>
          </w:p>
          <w:p w14:paraId="391B9A6F" w14:textId="09E5E38B" w:rsidR="00D34E4F" w:rsidRPr="007B1360" w:rsidRDefault="00D34E4F" w:rsidP="00CB2ED4">
            <w:pPr>
              <w:jc w:val="both"/>
              <w:rPr>
                <w:rFonts w:ascii="Times New Roman" w:hAnsi="Times New Roman" w:cs="Times New Roman"/>
                <w:sz w:val="24"/>
                <w:szCs w:val="24"/>
              </w:rPr>
            </w:pPr>
          </w:p>
        </w:tc>
      </w:tr>
      <w:tr w:rsidR="00A61684" w:rsidRPr="007B1360" w14:paraId="3E1DDE9F" w14:textId="77777777" w:rsidTr="009B620B">
        <w:tc>
          <w:tcPr>
            <w:tcW w:w="1980" w:type="dxa"/>
          </w:tcPr>
          <w:p w14:paraId="5FBEDEFD" w14:textId="3E1395CD"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Ietekme uz Latvijas Bankas budžetu</w:t>
            </w:r>
          </w:p>
        </w:tc>
        <w:tc>
          <w:tcPr>
            <w:tcW w:w="6379" w:type="dxa"/>
            <w:shd w:val="clear" w:color="auto" w:fill="auto"/>
          </w:tcPr>
          <w:p w14:paraId="387D687A" w14:textId="65537675" w:rsidR="009E6A95" w:rsidRPr="007B1360" w:rsidRDefault="00952874" w:rsidP="00CB2ED4">
            <w:pPr>
              <w:jc w:val="both"/>
              <w:rPr>
                <w:rFonts w:ascii="Times New Roman" w:hAnsi="Times New Roman" w:cs="Times New Roman"/>
                <w:sz w:val="24"/>
                <w:szCs w:val="24"/>
              </w:rPr>
            </w:pPr>
            <w:r w:rsidRPr="007B1360">
              <w:rPr>
                <w:rFonts w:ascii="Times New Roman" w:hAnsi="Times New Roman" w:cs="Times New Roman"/>
                <w:sz w:val="24"/>
                <w:szCs w:val="24"/>
              </w:rPr>
              <w:t>Noteikumu izdošana nerada ietekmi uz Latvijas Bankas budžetu.</w:t>
            </w:r>
          </w:p>
        </w:tc>
      </w:tr>
      <w:tr w:rsidR="00A61684" w:rsidRPr="007B1360" w14:paraId="4266A97A" w14:textId="77777777" w:rsidTr="009B620B">
        <w:tc>
          <w:tcPr>
            <w:tcW w:w="1980" w:type="dxa"/>
          </w:tcPr>
          <w:p w14:paraId="2C58F0AD" w14:textId="47E8C03B" w:rsidR="001A2F7D" w:rsidRPr="007B1360" w:rsidRDefault="0099611F" w:rsidP="00CB2ED4">
            <w:pPr>
              <w:jc w:val="both"/>
              <w:rPr>
                <w:rFonts w:ascii="Times New Roman" w:hAnsi="Times New Roman" w:cs="Times New Roman"/>
                <w:b/>
                <w:bCs/>
                <w:color w:val="FF0000"/>
                <w:sz w:val="24"/>
                <w:szCs w:val="24"/>
              </w:rPr>
            </w:pPr>
            <w:r w:rsidRPr="007B1360">
              <w:rPr>
                <w:rFonts w:ascii="Times New Roman" w:hAnsi="Times New Roman" w:cs="Times New Roman"/>
                <w:b/>
                <w:bCs/>
                <w:sz w:val="24"/>
                <w:szCs w:val="24"/>
              </w:rPr>
              <w:t>Administratīvā sloga un izmaksu novērtējums (tirgus dalībniekiem)</w:t>
            </w:r>
          </w:p>
        </w:tc>
        <w:tc>
          <w:tcPr>
            <w:tcW w:w="6379" w:type="dxa"/>
          </w:tcPr>
          <w:p w14:paraId="6B15E7B3" w14:textId="00FFC8ED" w:rsidR="009E6A95" w:rsidRPr="007B1360" w:rsidRDefault="0057360C" w:rsidP="00911FF5">
            <w:pPr>
              <w:jc w:val="both"/>
              <w:rPr>
                <w:rFonts w:ascii="Times New Roman" w:hAnsi="Times New Roman" w:cs="Times New Roman"/>
                <w:color w:val="FF0000"/>
                <w:sz w:val="24"/>
                <w:szCs w:val="24"/>
                <w:lang w:eastAsia="lv-LV"/>
              </w:rPr>
            </w:pPr>
            <w:r w:rsidRPr="00E7052B">
              <w:rPr>
                <w:rFonts w:ascii="Times New Roman" w:eastAsia="Times New Roman" w:hAnsi="Times New Roman" w:cs="Times New Roman"/>
                <w:sz w:val="24"/>
                <w:szCs w:val="24"/>
                <w:lang w:eastAsia="lv-LV"/>
              </w:rPr>
              <w:t>Noteikumu projektā ietverto prasību izdošana jaunā redakcijā</w:t>
            </w:r>
            <w:r w:rsidR="00911FF5">
              <w:rPr>
                <w:rFonts w:ascii="Times New Roman" w:eastAsia="Times New Roman" w:hAnsi="Times New Roman" w:cs="Times New Roman"/>
                <w:sz w:val="24"/>
                <w:szCs w:val="24"/>
                <w:lang w:eastAsia="lv-LV"/>
              </w:rPr>
              <w:t xml:space="preserve">, </w:t>
            </w:r>
            <w:r w:rsidR="00911FF5" w:rsidRPr="00911FF5">
              <w:rPr>
                <w:rFonts w:ascii="Times New Roman" w:eastAsia="Times New Roman" w:hAnsi="Times New Roman" w:cs="Times New Roman"/>
                <w:sz w:val="24"/>
                <w:szCs w:val="24"/>
                <w:lang w:eastAsia="lv-LV"/>
              </w:rPr>
              <w:t>jo ir mainījies šādu noteikumu izdošanas tiesiskais pamats,</w:t>
            </w:r>
            <w:r w:rsidRPr="00E7052B">
              <w:rPr>
                <w:rFonts w:ascii="Times New Roman" w:eastAsia="Times New Roman" w:hAnsi="Times New Roman" w:cs="Times New Roman"/>
                <w:sz w:val="24"/>
                <w:szCs w:val="24"/>
                <w:lang w:eastAsia="lv-LV"/>
              </w:rPr>
              <w:t xml:space="preserve"> nerada papildu administratīvo slogu tirgus dalībniekiem, uz kuriem ir attiecināmas noteikumu projekta prasības.</w:t>
            </w:r>
          </w:p>
        </w:tc>
      </w:tr>
      <w:tr w:rsidR="00A61684" w:rsidRPr="007B1360" w14:paraId="78453D7D" w14:textId="77777777" w:rsidTr="009B620B">
        <w:tc>
          <w:tcPr>
            <w:tcW w:w="1980" w:type="dxa"/>
          </w:tcPr>
          <w:p w14:paraId="5AF60CCD" w14:textId="23B3F531" w:rsidR="00ED3376" w:rsidRPr="007B1360" w:rsidRDefault="009E6A95" w:rsidP="00CB2ED4">
            <w:pPr>
              <w:jc w:val="both"/>
              <w:rPr>
                <w:rFonts w:ascii="Times New Roman" w:hAnsi="Times New Roman" w:cs="Times New Roman"/>
                <w:b/>
                <w:bCs/>
                <w:color w:val="FF0000"/>
                <w:sz w:val="24"/>
                <w:szCs w:val="24"/>
              </w:rPr>
            </w:pPr>
            <w:r w:rsidRPr="007B1360">
              <w:rPr>
                <w:rFonts w:ascii="Times New Roman" w:hAnsi="Times New Roman" w:cs="Times New Roman"/>
                <w:b/>
                <w:bCs/>
                <w:sz w:val="24"/>
                <w:szCs w:val="24"/>
              </w:rPr>
              <w:t>Saistītie dokumenti</w:t>
            </w:r>
          </w:p>
        </w:tc>
        <w:tc>
          <w:tcPr>
            <w:tcW w:w="6379" w:type="dxa"/>
          </w:tcPr>
          <w:p w14:paraId="49C78AD7" w14:textId="466E70F2" w:rsidR="0039219C" w:rsidRDefault="0039219C" w:rsidP="006A7880">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407082DB" w14:textId="15E9EA20" w:rsidR="006A7880" w:rsidRPr="006A7880" w:rsidRDefault="006A7880" w:rsidP="006A7880">
            <w:pPr>
              <w:jc w:val="both"/>
              <w:rPr>
                <w:rFonts w:ascii="Times New Roman" w:eastAsia="Times New Roman" w:hAnsi="Times New Roman" w:cs="Times New Roman"/>
                <w:sz w:val="24"/>
                <w:szCs w:val="24"/>
                <w:lang w:eastAsia="lv-LV"/>
              </w:rPr>
            </w:pPr>
            <w:r w:rsidRPr="006A7880">
              <w:rPr>
                <w:rFonts w:ascii="Times New Roman" w:eastAsia="Times New Roman" w:hAnsi="Times New Roman" w:cs="Times New Roman"/>
                <w:sz w:val="24"/>
                <w:szCs w:val="24"/>
                <w:lang w:eastAsia="lv-LV"/>
              </w:rPr>
              <w:t>1) Maksājumu pakalpojumu un elektroniskās naudas likums;</w:t>
            </w:r>
          </w:p>
          <w:p w14:paraId="3758E5EC" w14:textId="0D8FF7A6" w:rsidR="006A7880" w:rsidRPr="006A7880" w:rsidRDefault="006A7880" w:rsidP="006A7880">
            <w:pPr>
              <w:jc w:val="both"/>
              <w:rPr>
                <w:rFonts w:ascii="Times New Roman" w:eastAsia="Times New Roman" w:hAnsi="Times New Roman" w:cs="Times New Roman"/>
                <w:sz w:val="24"/>
                <w:szCs w:val="24"/>
                <w:lang w:eastAsia="lv-LV"/>
              </w:rPr>
            </w:pPr>
            <w:r w:rsidRPr="006A7880">
              <w:rPr>
                <w:rFonts w:ascii="Times New Roman" w:eastAsia="Times New Roman" w:hAnsi="Times New Roman" w:cs="Times New Roman"/>
                <w:sz w:val="24"/>
                <w:szCs w:val="24"/>
                <w:lang w:eastAsia="lv-LV"/>
              </w:rPr>
              <w:t>2) Noteikumi Nr.</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244;</w:t>
            </w:r>
          </w:p>
          <w:p w14:paraId="68796AD2" w14:textId="3B6099AF" w:rsidR="006A7880" w:rsidRPr="006A7880" w:rsidRDefault="006A7880" w:rsidP="006A7880">
            <w:pPr>
              <w:jc w:val="both"/>
              <w:rPr>
                <w:rFonts w:ascii="Times New Roman" w:eastAsia="Times New Roman" w:hAnsi="Times New Roman" w:cs="Times New Roman"/>
                <w:sz w:val="24"/>
                <w:szCs w:val="24"/>
                <w:lang w:eastAsia="lv-LV"/>
              </w:rPr>
            </w:pPr>
            <w:r w:rsidRPr="006A7880">
              <w:rPr>
                <w:rFonts w:ascii="Times New Roman" w:eastAsia="Times New Roman" w:hAnsi="Times New Roman" w:cs="Times New Roman"/>
                <w:sz w:val="24"/>
                <w:szCs w:val="24"/>
                <w:lang w:eastAsia="lv-LV"/>
              </w:rPr>
              <w:t>3) Latvijas Bankas 2022.</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gada 12.</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septembra noteikumi Nr.</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218 "Statistisko datu par kredītiestāžu un citu monetāro finanšu iestāžu finansiālo stāvokli (MBP) sagatavošanas un iesniegšanas noteikumi";</w:t>
            </w:r>
          </w:p>
          <w:p w14:paraId="1503DD33" w14:textId="57F42C54" w:rsidR="006A7880" w:rsidRPr="006A7880" w:rsidRDefault="006A7880" w:rsidP="006A7880">
            <w:pPr>
              <w:jc w:val="both"/>
              <w:rPr>
                <w:rFonts w:ascii="Times New Roman" w:eastAsia="Times New Roman" w:hAnsi="Times New Roman" w:cs="Times New Roman"/>
                <w:sz w:val="24"/>
                <w:szCs w:val="24"/>
                <w:lang w:eastAsia="lv-LV"/>
              </w:rPr>
            </w:pPr>
            <w:r w:rsidRPr="006A7880">
              <w:rPr>
                <w:rFonts w:ascii="Times New Roman" w:eastAsia="Times New Roman" w:hAnsi="Times New Roman" w:cs="Times New Roman"/>
                <w:sz w:val="24"/>
                <w:szCs w:val="24"/>
                <w:lang w:eastAsia="lv-LV"/>
              </w:rPr>
              <w:t>4) Latvijas Bankas 2022.</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gada 24.</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oktobra noteikumi Nr.</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226 "Noteikumi par elektronisko informācijas apmaiņu ar Latvijas Banku";</w:t>
            </w:r>
          </w:p>
          <w:p w14:paraId="50499803" w14:textId="75AE2863" w:rsidR="006A7880" w:rsidRPr="006A7880" w:rsidRDefault="006A7880" w:rsidP="006A7880">
            <w:pPr>
              <w:jc w:val="both"/>
              <w:rPr>
                <w:rFonts w:ascii="Times New Roman" w:eastAsia="Times New Roman" w:hAnsi="Times New Roman" w:cs="Times New Roman"/>
                <w:sz w:val="24"/>
                <w:szCs w:val="24"/>
                <w:lang w:eastAsia="lv-LV"/>
              </w:rPr>
            </w:pPr>
            <w:r w:rsidRPr="006A7880">
              <w:rPr>
                <w:rFonts w:ascii="Times New Roman" w:eastAsia="Times New Roman" w:hAnsi="Times New Roman" w:cs="Times New Roman"/>
                <w:sz w:val="24"/>
                <w:szCs w:val="24"/>
                <w:lang w:eastAsia="lv-LV"/>
              </w:rPr>
              <w:t>5) Direktīva (ES)</w:t>
            </w:r>
            <w:r w:rsidR="00866AB0">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2015/2366;</w:t>
            </w:r>
          </w:p>
          <w:p w14:paraId="3259848E" w14:textId="4E01CADA" w:rsidR="006A7880" w:rsidRPr="006A7880" w:rsidRDefault="006A7880" w:rsidP="006A7880">
            <w:pPr>
              <w:jc w:val="both"/>
              <w:rPr>
                <w:rFonts w:ascii="Times New Roman" w:eastAsia="Times New Roman" w:hAnsi="Times New Roman" w:cs="Times New Roman"/>
                <w:sz w:val="24"/>
                <w:szCs w:val="24"/>
                <w:lang w:eastAsia="lv-LV"/>
              </w:rPr>
            </w:pPr>
            <w:r w:rsidRPr="006A7880">
              <w:rPr>
                <w:rFonts w:ascii="Times New Roman" w:eastAsia="Times New Roman" w:hAnsi="Times New Roman" w:cs="Times New Roman"/>
                <w:sz w:val="24"/>
                <w:szCs w:val="24"/>
                <w:lang w:eastAsia="lv-LV"/>
              </w:rPr>
              <w:t>6) Eiropas Parlamenta un Padomes 2009.</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gada 16.</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septembra direktīva</w:t>
            </w:r>
            <w:r w:rsidR="00866AB0">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2009/110/EK par elektroniskās naudas iestāžu darbības sākšanu, veikšanu un konsultatīvu uzraudzību, par grozījumiem direktīvā</w:t>
            </w:r>
            <w:r w:rsidR="00866AB0">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2005/60/EK un direktīvā</w:t>
            </w:r>
            <w:r w:rsidR="00866AB0">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2006/48/EK un par direktīvas</w:t>
            </w:r>
            <w:r w:rsidR="00866AB0">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2000/46/EK atcelšanu;</w:t>
            </w:r>
          </w:p>
          <w:p w14:paraId="1A99F6E6" w14:textId="77777777" w:rsidR="00D44481" w:rsidRDefault="006A7880" w:rsidP="00EC77D2">
            <w:pPr>
              <w:tabs>
                <w:tab w:val="left" w:pos="310"/>
              </w:tabs>
              <w:jc w:val="both"/>
              <w:rPr>
                <w:rFonts w:ascii="Times New Roman" w:eastAsia="Times New Roman" w:hAnsi="Times New Roman" w:cs="Times New Roman"/>
                <w:sz w:val="24"/>
                <w:szCs w:val="24"/>
                <w:lang w:eastAsia="lv-LV"/>
              </w:rPr>
            </w:pPr>
            <w:r w:rsidRPr="006A7880">
              <w:rPr>
                <w:rFonts w:ascii="Times New Roman" w:eastAsia="Times New Roman" w:hAnsi="Times New Roman" w:cs="Times New Roman"/>
                <w:sz w:val="24"/>
                <w:szCs w:val="24"/>
                <w:lang w:eastAsia="lv-LV"/>
              </w:rPr>
              <w:lastRenderedPageBreak/>
              <w:t>7) Komisijas 2020.</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gada 17.</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decembra īstenošanas regula (ES) Nr.</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2021/451, ar ko nosaka īstenošanas tehniskos standartus Eiropas Parlamenta un Padomes regulas (ES) Nr.</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575/2013 piemērošanai attiecībā uz iestāžu sniegtajiem uzraudzības pārskatiem un atceļ īstenošanas regulu (ES) Nr.</w:t>
            </w:r>
            <w:r w:rsidR="00E007AB">
              <w:rPr>
                <w:rFonts w:ascii="Times New Roman" w:eastAsia="Times New Roman" w:hAnsi="Times New Roman" w:cs="Times New Roman"/>
                <w:sz w:val="24"/>
                <w:szCs w:val="24"/>
                <w:lang w:eastAsia="lv-LV"/>
              </w:rPr>
              <w:t> </w:t>
            </w:r>
            <w:r w:rsidRPr="006A7880">
              <w:rPr>
                <w:rFonts w:ascii="Times New Roman" w:eastAsia="Times New Roman" w:hAnsi="Times New Roman" w:cs="Times New Roman"/>
                <w:sz w:val="24"/>
                <w:szCs w:val="24"/>
                <w:lang w:eastAsia="lv-LV"/>
              </w:rPr>
              <w:t>680/2014</w:t>
            </w:r>
            <w:r w:rsidR="00D44481">
              <w:rPr>
                <w:rFonts w:ascii="Times New Roman" w:eastAsia="Times New Roman" w:hAnsi="Times New Roman" w:cs="Times New Roman"/>
                <w:sz w:val="24"/>
                <w:szCs w:val="24"/>
                <w:lang w:eastAsia="lv-LV"/>
              </w:rPr>
              <w:t>;</w:t>
            </w:r>
          </w:p>
          <w:p w14:paraId="2C55F282" w14:textId="2A42190E" w:rsidR="002E1327" w:rsidRPr="00EC77D2" w:rsidRDefault="00D44481" w:rsidP="00EC77D2">
            <w:pPr>
              <w:tabs>
                <w:tab w:val="left" w:pos="310"/>
              </w:tabs>
              <w:jc w:val="both"/>
              <w:rPr>
                <w:rFonts w:ascii="Times New Roman" w:hAnsi="Times New Roman" w:cs="Times New Roman"/>
                <w:sz w:val="24"/>
                <w:szCs w:val="24"/>
              </w:rPr>
            </w:pPr>
            <w:r>
              <w:rPr>
                <w:rFonts w:ascii="Times New Roman" w:eastAsia="Times New Roman" w:hAnsi="Times New Roman" w:cs="Times New Roman"/>
                <w:sz w:val="24"/>
                <w:szCs w:val="24"/>
                <w:lang w:eastAsia="lv-LV"/>
              </w:rPr>
              <w:t xml:space="preserve">8) </w:t>
            </w:r>
            <w:r w:rsidRPr="00D44481">
              <w:rPr>
                <w:rFonts w:ascii="Times New Roman" w:hAnsi="Times New Roman" w:cs="Times New Roman"/>
                <w:sz w:val="24"/>
                <w:szCs w:val="24"/>
              </w:rPr>
              <w:t>Regula Nr.</w:t>
            </w:r>
            <w:r>
              <w:rPr>
                <w:rFonts w:ascii="Times New Roman" w:hAnsi="Times New Roman" w:cs="Times New Roman"/>
                <w:sz w:val="24"/>
                <w:szCs w:val="24"/>
              </w:rPr>
              <w:t> </w:t>
            </w:r>
            <w:r w:rsidRPr="00D44481">
              <w:rPr>
                <w:rFonts w:ascii="Times New Roman" w:hAnsi="Times New Roman" w:cs="Times New Roman"/>
                <w:sz w:val="24"/>
                <w:szCs w:val="24"/>
              </w:rPr>
              <w:t>2533/98</w:t>
            </w:r>
            <w:r w:rsidR="006A7880" w:rsidRPr="006A7880">
              <w:rPr>
                <w:rFonts w:ascii="Times New Roman" w:eastAsia="Times New Roman" w:hAnsi="Times New Roman" w:cs="Times New Roman"/>
                <w:sz w:val="24"/>
                <w:szCs w:val="24"/>
                <w:lang w:eastAsia="lv-LV"/>
              </w:rPr>
              <w:t>.</w:t>
            </w:r>
          </w:p>
        </w:tc>
      </w:tr>
      <w:tr w:rsidR="00A61684" w:rsidRPr="007B1360" w14:paraId="6E8D0230" w14:textId="77777777" w:rsidTr="009B620B">
        <w:tc>
          <w:tcPr>
            <w:tcW w:w="1980" w:type="dxa"/>
          </w:tcPr>
          <w:p w14:paraId="36731D0A" w14:textId="167D4F7E"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lastRenderedPageBreak/>
              <w:t>Saskaņošana ar Eiropas Centrālo banku</w:t>
            </w:r>
          </w:p>
        </w:tc>
        <w:tc>
          <w:tcPr>
            <w:tcW w:w="6379" w:type="dxa"/>
          </w:tcPr>
          <w:p w14:paraId="792DD68E" w14:textId="610A1BA8" w:rsidR="009E6A95" w:rsidRPr="007B1360" w:rsidRDefault="0057360C" w:rsidP="00CB2ED4">
            <w:pPr>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Noteikumu projektu nav nepieciešams saskaņot ar Eiropas Centrālo banku.</w:t>
            </w:r>
          </w:p>
        </w:tc>
      </w:tr>
      <w:tr w:rsidR="00A61684" w:rsidRPr="007B1360" w14:paraId="48DDCC66" w14:textId="77777777" w:rsidTr="009B620B">
        <w:tc>
          <w:tcPr>
            <w:tcW w:w="1980" w:type="dxa"/>
          </w:tcPr>
          <w:p w14:paraId="58FC4ACD" w14:textId="4767453D" w:rsidR="00ED3376" w:rsidRPr="007B1360" w:rsidRDefault="009E6A95" w:rsidP="00CB2ED4">
            <w:pPr>
              <w:jc w:val="both"/>
              <w:rPr>
                <w:rFonts w:ascii="Times New Roman" w:hAnsi="Times New Roman" w:cs="Times New Roman"/>
                <w:b/>
                <w:bCs/>
                <w:sz w:val="24"/>
                <w:szCs w:val="24"/>
              </w:rPr>
            </w:pPr>
            <w:r w:rsidRPr="007B1360">
              <w:rPr>
                <w:rFonts w:ascii="Times New Roman" w:hAnsi="Times New Roman" w:cs="Times New Roman"/>
                <w:b/>
                <w:bCs/>
                <w:sz w:val="24"/>
                <w:szCs w:val="24"/>
              </w:rPr>
              <w:t>Saskaņošana ar citām publiskām un privātām personām</w:t>
            </w:r>
          </w:p>
        </w:tc>
        <w:tc>
          <w:tcPr>
            <w:tcW w:w="6379" w:type="dxa"/>
          </w:tcPr>
          <w:p w14:paraId="61CE77FB" w14:textId="60E0B0E3" w:rsidR="00C0271D" w:rsidRPr="007B1360" w:rsidRDefault="00957FA0" w:rsidP="0057360C">
            <w:pPr>
              <w:jc w:val="both"/>
              <w:rPr>
                <w:rFonts w:ascii="Times New Roman" w:hAnsi="Times New Roman" w:cs="Times New Roman"/>
                <w:sz w:val="24"/>
                <w:szCs w:val="24"/>
              </w:rPr>
            </w:pPr>
            <w:r w:rsidRPr="000420D5">
              <w:rPr>
                <w:rFonts w:ascii="Times New Roman" w:eastAsia="Calibri" w:hAnsi="Times New Roman" w:cs="Times New Roman"/>
                <w:sz w:val="24"/>
                <w:szCs w:val="24"/>
              </w:rPr>
              <w:t xml:space="preserve">Noteikumu projekts 2023. gada </w:t>
            </w:r>
            <w:r>
              <w:rPr>
                <w:rFonts w:ascii="Times New Roman" w:eastAsia="Calibri" w:hAnsi="Times New Roman" w:cs="Times New Roman"/>
                <w:sz w:val="24"/>
                <w:szCs w:val="24"/>
              </w:rPr>
              <w:t>13</w:t>
            </w:r>
            <w:r w:rsidRPr="000420D5">
              <w:rPr>
                <w:rFonts w:ascii="Times New Roman" w:eastAsia="Calibri" w:hAnsi="Times New Roman" w:cs="Times New Roman"/>
                <w:sz w:val="24"/>
                <w:szCs w:val="24"/>
              </w:rPr>
              <w:t>. </w:t>
            </w:r>
            <w:r>
              <w:rPr>
                <w:rFonts w:ascii="Times New Roman" w:eastAsia="Calibri" w:hAnsi="Times New Roman" w:cs="Times New Roman"/>
                <w:sz w:val="24"/>
                <w:szCs w:val="24"/>
              </w:rPr>
              <w:t>decembrī</w:t>
            </w:r>
            <w:r w:rsidRPr="000420D5">
              <w:rPr>
                <w:rFonts w:ascii="Times New Roman" w:eastAsia="Calibri" w:hAnsi="Times New Roman" w:cs="Times New Roman"/>
                <w:sz w:val="24"/>
                <w:szCs w:val="24"/>
              </w:rPr>
              <w:t xml:space="preserve"> tika publicēts Latvijas Bankas tīmekļvietnes </w:t>
            </w:r>
            <w:r w:rsidRPr="000420D5">
              <w:rPr>
                <w:rFonts w:ascii="Times New Roman" w:eastAsia="Calibri" w:hAnsi="Times New Roman" w:cs="Times New Roman"/>
                <w:color w:val="0563C1"/>
                <w:sz w:val="24"/>
                <w:szCs w:val="24"/>
                <w:u w:val="single"/>
              </w:rPr>
              <w:t>www.bank.lv</w:t>
            </w:r>
            <w:r w:rsidRPr="000420D5">
              <w:rPr>
                <w:rFonts w:ascii="Times New Roman" w:eastAsia="Calibri" w:hAnsi="Times New Roman" w:cs="Times New Roman"/>
                <w:sz w:val="24"/>
                <w:szCs w:val="24"/>
              </w:rPr>
              <w:t xml:space="preserve"> sadaļā "Sabiedrības līdzdalība", un par to bija iespējama sabiedrības līdzdalība līdz 2023. gada 2</w:t>
            </w:r>
            <w:r>
              <w:rPr>
                <w:rFonts w:ascii="Times New Roman" w:eastAsia="Calibri" w:hAnsi="Times New Roman" w:cs="Times New Roman"/>
                <w:sz w:val="24"/>
                <w:szCs w:val="24"/>
              </w:rPr>
              <w:t>7</w:t>
            </w:r>
            <w:r w:rsidRPr="000420D5">
              <w:rPr>
                <w:rFonts w:ascii="Times New Roman" w:eastAsia="Calibri" w:hAnsi="Times New Roman" w:cs="Times New Roman"/>
                <w:sz w:val="24"/>
                <w:szCs w:val="24"/>
              </w:rPr>
              <w:t>. </w:t>
            </w:r>
            <w:r>
              <w:rPr>
                <w:rFonts w:ascii="Times New Roman" w:eastAsia="Calibri" w:hAnsi="Times New Roman" w:cs="Times New Roman"/>
                <w:sz w:val="24"/>
                <w:szCs w:val="24"/>
              </w:rPr>
              <w:t>decembrim</w:t>
            </w:r>
            <w:r w:rsidRPr="000420D5">
              <w:rPr>
                <w:rFonts w:ascii="Times New Roman" w:eastAsia="Calibri" w:hAnsi="Times New Roman" w:cs="Times New Roman"/>
                <w:sz w:val="24"/>
                <w:szCs w:val="24"/>
              </w:rPr>
              <w:t xml:space="preserve">. Papildus tam </w:t>
            </w:r>
            <w:r>
              <w:rPr>
                <w:rFonts w:ascii="Times New Roman" w:eastAsia="Calibri" w:hAnsi="Times New Roman" w:cs="Times New Roman"/>
                <w:sz w:val="24"/>
                <w:szCs w:val="24"/>
              </w:rPr>
              <w:t>n</w:t>
            </w:r>
            <w:r w:rsidRPr="000420D5">
              <w:rPr>
                <w:rFonts w:ascii="Times New Roman" w:eastAsia="Calibri" w:hAnsi="Times New Roman" w:cs="Times New Roman"/>
                <w:sz w:val="24"/>
                <w:szCs w:val="24"/>
              </w:rPr>
              <w:t xml:space="preserve">oteikumu projekts tika nosūtīts </w:t>
            </w:r>
            <w:r w:rsidR="0057360C" w:rsidRPr="003537BC">
              <w:rPr>
                <w:rFonts w:ascii="Times New Roman" w:eastAsia="Times New Roman" w:hAnsi="Times New Roman" w:cs="Times New Roman"/>
                <w:sz w:val="24"/>
                <w:szCs w:val="24"/>
                <w:lang w:eastAsia="lv-LV"/>
              </w:rPr>
              <w:t xml:space="preserve">Latvijas </w:t>
            </w:r>
            <w:r w:rsidR="006A7880">
              <w:rPr>
                <w:rFonts w:ascii="Times New Roman" w:eastAsia="Times New Roman" w:hAnsi="Times New Roman" w:cs="Times New Roman"/>
                <w:sz w:val="24"/>
                <w:szCs w:val="24"/>
                <w:lang w:eastAsia="lv-LV"/>
              </w:rPr>
              <w:t>M</w:t>
            </w:r>
            <w:r w:rsidR="003537BC" w:rsidRPr="003537BC">
              <w:rPr>
                <w:rFonts w:ascii="Times New Roman" w:eastAsia="Times New Roman" w:hAnsi="Times New Roman" w:cs="Times New Roman"/>
                <w:sz w:val="24"/>
                <w:szCs w:val="24"/>
                <w:lang w:eastAsia="lv-LV"/>
              </w:rPr>
              <w:t>aksājumu un elektroniskās naudas</w:t>
            </w:r>
            <w:r w:rsidR="0057360C" w:rsidRPr="003537BC">
              <w:rPr>
                <w:rFonts w:ascii="Times New Roman" w:eastAsia="Times New Roman" w:hAnsi="Times New Roman" w:cs="Times New Roman"/>
                <w:sz w:val="24"/>
                <w:szCs w:val="24"/>
                <w:lang w:eastAsia="lv-LV"/>
              </w:rPr>
              <w:t xml:space="preserve"> </w:t>
            </w:r>
            <w:r w:rsidR="003537BC" w:rsidRPr="003537BC">
              <w:rPr>
                <w:rFonts w:ascii="Times New Roman" w:eastAsia="Times New Roman" w:hAnsi="Times New Roman" w:cs="Times New Roman"/>
                <w:sz w:val="24"/>
                <w:szCs w:val="24"/>
                <w:lang w:eastAsia="lv-LV"/>
              </w:rPr>
              <w:t xml:space="preserve">iestāžu </w:t>
            </w:r>
            <w:r w:rsidR="0057360C" w:rsidRPr="003537BC">
              <w:rPr>
                <w:rFonts w:ascii="Times New Roman" w:eastAsia="Times New Roman" w:hAnsi="Times New Roman" w:cs="Times New Roman"/>
                <w:sz w:val="24"/>
                <w:szCs w:val="24"/>
                <w:lang w:eastAsia="lv-LV"/>
              </w:rPr>
              <w:t>asociācija</w:t>
            </w:r>
            <w:r>
              <w:rPr>
                <w:rFonts w:ascii="Times New Roman" w:eastAsia="Times New Roman" w:hAnsi="Times New Roman" w:cs="Times New Roman"/>
                <w:sz w:val="24"/>
                <w:szCs w:val="24"/>
                <w:lang w:eastAsia="lv-LV"/>
              </w:rPr>
              <w:t>i</w:t>
            </w:r>
            <w:r w:rsidR="006A7880">
              <w:rPr>
                <w:rFonts w:ascii="Times New Roman" w:eastAsia="Times New Roman" w:hAnsi="Times New Roman" w:cs="Times New Roman"/>
                <w:sz w:val="24"/>
                <w:szCs w:val="24"/>
                <w:lang w:eastAsia="lv-LV"/>
              </w:rPr>
              <w:t xml:space="preserve"> un Centrāl</w:t>
            </w:r>
            <w:r>
              <w:rPr>
                <w:rFonts w:ascii="Times New Roman" w:eastAsia="Times New Roman" w:hAnsi="Times New Roman" w:cs="Times New Roman"/>
                <w:sz w:val="24"/>
                <w:szCs w:val="24"/>
                <w:lang w:eastAsia="lv-LV"/>
              </w:rPr>
              <w:t>ajai</w:t>
            </w:r>
            <w:r w:rsidR="006A7880">
              <w:rPr>
                <w:rFonts w:ascii="Times New Roman" w:eastAsia="Times New Roman" w:hAnsi="Times New Roman" w:cs="Times New Roman"/>
                <w:sz w:val="24"/>
                <w:szCs w:val="24"/>
                <w:lang w:eastAsia="lv-LV"/>
              </w:rPr>
              <w:t xml:space="preserve"> statistikas pārvalde</w:t>
            </w:r>
            <w:r>
              <w:rPr>
                <w:rFonts w:ascii="Times New Roman" w:eastAsia="Times New Roman" w:hAnsi="Times New Roman" w:cs="Times New Roman"/>
                <w:sz w:val="24"/>
                <w:szCs w:val="24"/>
                <w:lang w:eastAsia="lv-LV"/>
              </w:rPr>
              <w:t>i</w:t>
            </w:r>
            <w:r w:rsidR="0057360C" w:rsidRPr="003537BC">
              <w:rPr>
                <w:rFonts w:ascii="Times New Roman" w:eastAsia="Times New Roman" w:hAnsi="Times New Roman" w:cs="Times New Roman"/>
                <w:sz w:val="24"/>
                <w:szCs w:val="24"/>
                <w:lang w:eastAsia="lv-LV"/>
              </w:rPr>
              <w:t>.</w:t>
            </w:r>
          </w:p>
        </w:tc>
      </w:tr>
      <w:tr w:rsidR="00FC38CB" w:rsidRPr="007B1360" w14:paraId="69C6D010" w14:textId="77777777" w:rsidTr="009B620B">
        <w:tc>
          <w:tcPr>
            <w:tcW w:w="1980" w:type="dxa"/>
          </w:tcPr>
          <w:p w14:paraId="19ED627F" w14:textId="0049A799" w:rsidR="00ED3376" w:rsidRPr="007B1360" w:rsidRDefault="00FC38CB" w:rsidP="00FC38CB">
            <w:pPr>
              <w:jc w:val="both"/>
              <w:rPr>
                <w:rFonts w:ascii="Times New Roman" w:hAnsi="Times New Roman" w:cs="Times New Roman"/>
                <w:sz w:val="24"/>
                <w:szCs w:val="24"/>
              </w:rPr>
            </w:pPr>
            <w:r w:rsidRPr="007B1360">
              <w:rPr>
                <w:rFonts w:ascii="Times New Roman" w:eastAsia="Times New Roman" w:hAnsi="Times New Roman" w:cs="Times New Roman"/>
                <w:b/>
                <w:bCs/>
                <w:sz w:val="24"/>
                <w:szCs w:val="24"/>
                <w:lang w:eastAsia="lv-LV"/>
              </w:rPr>
              <w:t>Saskaņošanas</w:t>
            </w:r>
            <w:r w:rsidRPr="007B1360">
              <w:rPr>
                <w:rFonts w:ascii="Times New Roman" w:eastAsia="Times New Roman" w:hAnsi="Times New Roman" w:cs="Times New Roman"/>
                <w:sz w:val="24"/>
                <w:szCs w:val="24"/>
                <w:lang w:eastAsia="lv-LV"/>
              </w:rPr>
              <w:t xml:space="preserve"> </w:t>
            </w:r>
            <w:r w:rsidRPr="007B1360">
              <w:rPr>
                <w:rFonts w:ascii="Times New Roman" w:eastAsia="Times New Roman" w:hAnsi="Times New Roman" w:cs="Times New Roman"/>
                <w:b/>
                <w:bCs/>
                <w:sz w:val="24"/>
                <w:szCs w:val="24"/>
                <w:lang w:eastAsia="lv-LV"/>
              </w:rPr>
              <w:t>rezultāti</w:t>
            </w:r>
          </w:p>
        </w:tc>
        <w:tc>
          <w:tcPr>
            <w:tcW w:w="6379" w:type="dxa"/>
          </w:tcPr>
          <w:p w14:paraId="42E86DBD" w14:textId="5B9911F1" w:rsidR="0057360C" w:rsidRPr="007B1360" w:rsidRDefault="0057360C" w:rsidP="00957FA0">
            <w:pPr>
              <w:jc w:val="both"/>
              <w:rPr>
                <w:rFonts w:ascii="Times New Roman" w:hAnsi="Times New Roman" w:cs="Times New Roman"/>
                <w:sz w:val="24"/>
                <w:szCs w:val="24"/>
              </w:rPr>
            </w:pPr>
            <w:r w:rsidRPr="00E7052B">
              <w:rPr>
                <w:rFonts w:ascii="Times New Roman" w:eastAsia="Times New Roman" w:hAnsi="Times New Roman" w:cs="Times New Roman"/>
                <w:sz w:val="24"/>
                <w:szCs w:val="24"/>
                <w:lang w:eastAsia="lv-LV"/>
              </w:rPr>
              <w:t xml:space="preserve">Saskaņošanas procesā un sabiedrības līdzdalības gaitā par </w:t>
            </w:r>
            <w:r>
              <w:rPr>
                <w:rFonts w:ascii="Times New Roman" w:eastAsia="Times New Roman" w:hAnsi="Times New Roman" w:cs="Times New Roman"/>
                <w:sz w:val="24"/>
                <w:szCs w:val="24"/>
                <w:lang w:eastAsia="lv-LV"/>
              </w:rPr>
              <w:t>n</w:t>
            </w:r>
            <w:r w:rsidRPr="00E7052B">
              <w:rPr>
                <w:rFonts w:ascii="Times New Roman" w:eastAsia="Times New Roman" w:hAnsi="Times New Roman" w:cs="Times New Roman"/>
                <w:sz w:val="24"/>
                <w:szCs w:val="24"/>
                <w:lang w:eastAsia="lv-LV"/>
              </w:rPr>
              <w:t xml:space="preserve">oteikumu projektu </w:t>
            </w:r>
            <w:r w:rsidR="00957FA0">
              <w:rPr>
                <w:rFonts w:ascii="Times New Roman" w:eastAsia="Times New Roman" w:hAnsi="Times New Roman" w:cs="Times New Roman"/>
                <w:sz w:val="24"/>
                <w:szCs w:val="24"/>
                <w:lang w:eastAsia="lv-LV"/>
              </w:rPr>
              <w:t>netika saņemti</w:t>
            </w:r>
            <w:r w:rsidRPr="00E7052B">
              <w:rPr>
                <w:rFonts w:ascii="Times New Roman" w:eastAsia="Times New Roman" w:hAnsi="Times New Roman" w:cs="Times New Roman"/>
                <w:sz w:val="24"/>
                <w:szCs w:val="24"/>
                <w:lang w:eastAsia="lv-LV"/>
              </w:rPr>
              <w:t xml:space="preserve"> priekšlikum</w:t>
            </w:r>
            <w:r>
              <w:rPr>
                <w:rFonts w:ascii="Times New Roman" w:eastAsia="Times New Roman" w:hAnsi="Times New Roman" w:cs="Times New Roman"/>
                <w:sz w:val="24"/>
                <w:szCs w:val="24"/>
                <w:lang w:eastAsia="lv-LV"/>
              </w:rPr>
              <w:t>i</w:t>
            </w:r>
            <w:r w:rsidRPr="00E7052B">
              <w:rPr>
                <w:rFonts w:ascii="Times New Roman" w:eastAsia="Times New Roman" w:hAnsi="Times New Roman" w:cs="Times New Roman"/>
                <w:sz w:val="24"/>
                <w:szCs w:val="24"/>
                <w:lang w:eastAsia="lv-LV"/>
              </w:rPr>
              <w:t>, iebildum</w:t>
            </w:r>
            <w:r>
              <w:rPr>
                <w:rFonts w:ascii="Times New Roman" w:eastAsia="Times New Roman" w:hAnsi="Times New Roman" w:cs="Times New Roman"/>
                <w:sz w:val="24"/>
                <w:szCs w:val="24"/>
                <w:lang w:eastAsia="lv-LV"/>
              </w:rPr>
              <w:t>i</w:t>
            </w:r>
            <w:r w:rsidRPr="00E7052B">
              <w:rPr>
                <w:rFonts w:ascii="Times New Roman" w:eastAsia="Times New Roman" w:hAnsi="Times New Roman" w:cs="Times New Roman"/>
                <w:sz w:val="24"/>
                <w:szCs w:val="24"/>
                <w:lang w:eastAsia="lv-LV"/>
              </w:rPr>
              <w:t xml:space="preserve"> vai komentār</w:t>
            </w:r>
            <w:r>
              <w:rPr>
                <w:rFonts w:ascii="Times New Roman" w:eastAsia="Times New Roman" w:hAnsi="Times New Roman" w:cs="Times New Roman"/>
                <w:sz w:val="24"/>
                <w:szCs w:val="24"/>
                <w:lang w:eastAsia="lv-LV"/>
              </w:rPr>
              <w:t>i</w:t>
            </w:r>
            <w:r w:rsidR="00957FA0">
              <w:rPr>
                <w:rFonts w:ascii="Times New Roman" w:eastAsia="Times New Roman" w:hAnsi="Times New Roman" w:cs="Times New Roman"/>
                <w:sz w:val="24"/>
                <w:szCs w:val="24"/>
                <w:lang w:eastAsia="lv-LV"/>
              </w:rPr>
              <w:t>.</w:t>
            </w:r>
          </w:p>
        </w:tc>
      </w:tr>
    </w:tbl>
    <w:p w14:paraId="441298EF" w14:textId="77777777" w:rsidR="007B1360" w:rsidRPr="007B1360" w:rsidRDefault="007B1360" w:rsidP="00CB2ED4">
      <w:pPr>
        <w:jc w:val="both"/>
        <w:rPr>
          <w:rFonts w:ascii="Times New Roman" w:hAnsi="Times New Roman" w:cs="Times New Roman"/>
          <w:color w:val="FF0000"/>
          <w:sz w:val="24"/>
          <w:szCs w:val="24"/>
        </w:rPr>
        <w:sectPr w:rsidR="007B1360" w:rsidRPr="007B1360" w:rsidSect="00F55EC3">
          <w:headerReference w:type="default" r:id="rId11"/>
          <w:pgSz w:w="11906" w:h="16838"/>
          <w:pgMar w:top="1440" w:right="1800" w:bottom="1440" w:left="1800" w:header="708" w:footer="708" w:gutter="0"/>
          <w:cols w:space="708"/>
          <w:titlePg/>
          <w:docGrid w:linePitch="360"/>
        </w:sectPr>
      </w:pPr>
    </w:p>
    <w:p w14:paraId="38E4F515"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lastRenderedPageBreak/>
        <w:t>Pielikums</w:t>
      </w:r>
    </w:p>
    <w:p w14:paraId="429AE5C2"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Latvijas Bankas noteikumu projekta anotācijai</w:t>
      </w:r>
    </w:p>
    <w:p w14:paraId="4B6D0B68" w14:textId="77777777" w:rsidR="006952E1" w:rsidRPr="006952E1" w:rsidRDefault="006952E1" w:rsidP="006952E1">
      <w:pPr>
        <w:spacing w:after="0" w:line="240" w:lineRule="auto"/>
        <w:jc w:val="right"/>
        <w:rPr>
          <w:rFonts w:ascii="Times New Roman" w:hAnsi="Times New Roman" w:cs="Times New Roman"/>
          <w:color w:val="000000" w:themeColor="text1"/>
          <w:sz w:val="24"/>
          <w:szCs w:val="24"/>
        </w:rPr>
      </w:pPr>
    </w:p>
    <w:p w14:paraId="1DD7829B" w14:textId="77777777" w:rsidR="006952E1" w:rsidRPr="006952E1" w:rsidRDefault="006952E1" w:rsidP="006952E1">
      <w:pPr>
        <w:spacing w:after="0" w:line="240" w:lineRule="auto"/>
        <w:jc w:val="center"/>
        <w:rPr>
          <w:rFonts w:ascii="Times New Roman" w:hAnsi="Times New Roman" w:cs="Times New Roman"/>
          <w:b/>
          <w:color w:val="000000" w:themeColor="text1"/>
          <w:sz w:val="24"/>
          <w:szCs w:val="24"/>
        </w:rPr>
      </w:pPr>
      <w:r w:rsidRPr="006952E1">
        <w:rPr>
          <w:rFonts w:ascii="Times New Roman" w:hAnsi="Times New Roman" w:cs="Times New Roman"/>
          <w:b/>
          <w:color w:val="000000" w:themeColor="text1"/>
          <w:sz w:val="24"/>
          <w:szCs w:val="24"/>
        </w:rPr>
        <w:t>Eiropas Savienības tiesību aktu pārņemšanas/ieviešanas tabula</w:t>
      </w:r>
    </w:p>
    <w:p w14:paraId="61158E4F" w14:textId="77777777" w:rsidR="006952E1" w:rsidRPr="006952E1" w:rsidRDefault="006952E1" w:rsidP="006952E1">
      <w:pPr>
        <w:spacing w:after="0" w:line="240" w:lineRule="auto"/>
        <w:jc w:val="center"/>
        <w:rPr>
          <w:rFonts w:ascii="Times New Roman" w:hAnsi="Times New Roman" w:cs="Times New Roman"/>
          <w:b/>
          <w:color w:val="000000" w:themeColor="text1"/>
          <w:sz w:val="24"/>
          <w:szCs w:val="24"/>
        </w:rPr>
      </w:pPr>
    </w:p>
    <w:p w14:paraId="55ABC3A3" w14:textId="454973BA" w:rsidR="006952E1" w:rsidRPr="006952E1" w:rsidRDefault="006952E1" w:rsidP="006952E1">
      <w:pPr>
        <w:spacing w:after="0" w:line="240" w:lineRule="auto"/>
        <w:rPr>
          <w:rFonts w:ascii="Times New Roman" w:hAnsi="Times New Roman" w:cs="Times New Roman"/>
          <w:bCs/>
          <w:color w:val="000000" w:themeColor="text1"/>
          <w:sz w:val="24"/>
          <w:szCs w:val="24"/>
        </w:rPr>
      </w:pPr>
      <w:r w:rsidRPr="006952E1">
        <w:rPr>
          <w:rFonts w:ascii="Times New Roman" w:hAnsi="Times New Roman" w:cs="Times New Roman"/>
          <w:b/>
          <w:color w:val="000000" w:themeColor="text1"/>
          <w:sz w:val="24"/>
          <w:szCs w:val="24"/>
        </w:rPr>
        <w:t>Latvijas Bankas noteikumu projekta nosaukums:</w:t>
      </w:r>
      <w:r w:rsidRPr="006952E1">
        <w:rPr>
          <w:rFonts w:ascii="Times New Roman" w:hAnsi="Times New Roman" w:cs="Times New Roman"/>
          <w:bCs/>
          <w:color w:val="000000" w:themeColor="text1"/>
          <w:sz w:val="24"/>
          <w:szCs w:val="24"/>
        </w:rPr>
        <w:t xml:space="preserve"> "</w:t>
      </w:r>
      <w:r w:rsidR="00665096">
        <w:rPr>
          <w:rFonts w:ascii="Times New Roman" w:eastAsia="Times New Roman" w:hAnsi="Times New Roman" w:cs="Times New Roman"/>
          <w:sz w:val="24"/>
          <w:szCs w:val="24"/>
          <w:lang w:eastAsia="lv-LV"/>
        </w:rPr>
        <w:t>Maksājumu iestādes un elektroniskās naudas iestādes darbību reg</w:t>
      </w:r>
      <w:r w:rsidR="00E007AB">
        <w:rPr>
          <w:rFonts w:ascii="Times New Roman" w:eastAsia="Times New Roman" w:hAnsi="Times New Roman" w:cs="Times New Roman"/>
          <w:sz w:val="24"/>
          <w:szCs w:val="24"/>
          <w:lang w:eastAsia="lv-LV"/>
        </w:rPr>
        <w:t>ulējošo</w:t>
      </w:r>
      <w:r w:rsidR="00665096">
        <w:rPr>
          <w:rFonts w:ascii="Times New Roman" w:eastAsia="Times New Roman" w:hAnsi="Times New Roman" w:cs="Times New Roman"/>
          <w:sz w:val="24"/>
          <w:szCs w:val="24"/>
          <w:lang w:eastAsia="lv-LV"/>
        </w:rPr>
        <w:t xml:space="preserve"> prasību un pārskatu sagatavošanas noteikumi</w:t>
      </w:r>
      <w:r w:rsidRPr="006952E1">
        <w:rPr>
          <w:rFonts w:ascii="Times New Roman" w:hAnsi="Times New Roman" w:cs="Times New Roman"/>
          <w:bCs/>
          <w:color w:val="000000" w:themeColor="text1"/>
          <w:sz w:val="24"/>
          <w:szCs w:val="24"/>
        </w:rPr>
        <w:t>" (turpmāk</w:t>
      </w:r>
      <w:r w:rsidR="004F756C">
        <w:rPr>
          <w:rFonts w:ascii="Times New Roman" w:hAnsi="Times New Roman" w:cs="Times New Roman"/>
          <w:bCs/>
          <w:color w:val="000000" w:themeColor="text1"/>
          <w:sz w:val="24"/>
          <w:szCs w:val="24"/>
        </w:rPr>
        <w:t> </w:t>
      </w:r>
      <w:r w:rsidRPr="006952E1">
        <w:rPr>
          <w:rFonts w:ascii="Times New Roman" w:hAnsi="Times New Roman" w:cs="Times New Roman"/>
          <w:bCs/>
          <w:color w:val="000000" w:themeColor="text1"/>
          <w:sz w:val="24"/>
          <w:szCs w:val="24"/>
        </w:rPr>
        <w:t>– projekts)</w:t>
      </w:r>
    </w:p>
    <w:p w14:paraId="01C9352D"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p>
    <w:p w14:paraId="115F7F62" w14:textId="77777777" w:rsidR="000F752E" w:rsidRDefault="006952E1" w:rsidP="006952E1">
      <w:pPr>
        <w:spacing w:after="0" w:line="240" w:lineRule="auto"/>
        <w:rPr>
          <w:rFonts w:ascii="Times New Roman" w:hAnsi="Times New Roman" w:cs="Times New Roman"/>
          <w:b/>
          <w:color w:val="000000" w:themeColor="text1"/>
          <w:sz w:val="24"/>
          <w:szCs w:val="24"/>
        </w:rPr>
      </w:pPr>
      <w:r w:rsidRPr="006952E1">
        <w:rPr>
          <w:rFonts w:ascii="Times New Roman" w:hAnsi="Times New Roman" w:cs="Times New Roman"/>
          <w:b/>
          <w:color w:val="000000" w:themeColor="text1"/>
          <w:sz w:val="24"/>
          <w:szCs w:val="24"/>
        </w:rPr>
        <w:t xml:space="preserve">Eiropas Savienības tiesību akta nosaukums: </w:t>
      </w:r>
    </w:p>
    <w:p w14:paraId="1002503E" w14:textId="71439593" w:rsidR="006952E1" w:rsidRPr="000F752E" w:rsidRDefault="00665096" w:rsidP="000F752E">
      <w:pPr>
        <w:pStyle w:val="Sarakstarindkopa"/>
        <w:numPr>
          <w:ilvl w:val="0"/>
          <w:numId w:val="5"/>
        </w:numPr>
        <w:spacing w:after="0" w:line="240" w:lineRule="auto"/>
        <w:rPr>
          <w:rFonts w:ascii="Times New Roman" w:eastAsia="Times New Roman" w:hAnsi="Times New Roman" w:cs="Times New Roman"/>
          <w:sz w:val="24"/>
          <w:szCs w:val="24"/>
        </w:rPr>
      </w:pPr>
      <w:r w:rsidRPr="000F752E">
        <w:rPr>
          <w:rFonts w:ascii="Times New Roman" w:eastAsia="Times New Roman" w:hAnsi="Times New Roman" w:cs="Times New Roman"/>
          <w:sz w:val="24"/>
          <w:szCs w:val="24"/>
        </w:rPr>
        <w:t xml:space="preserve">Eiropas Parlamenta un Padomes 2015. gada 25. novembra </w:t>
      </w:r>
      <w:r w:rsidR="005717A7">
        <w:rPr>
          <w:rFonts w:ascii="Times New Roman" w:eastAsia="Times New Roman" w:hAnsi="Times New Roman" w:cs="Times New Roman"/>
          <w:sz w:val="24"/>
          <w:szCs w:val="24"/>
        </w:rPr>
        <w:t>d</w:t>
      </w:r>
      <w:r w:rsidRPr="000F752E">
        <w:rPr>
          <w:rFonts w:ascii="Times New Roman" w:eastAsia="Times New Roman" w:hAnsi="Times New Roman" w:cs="Times New Roman"/>
          <w:sz w:val="24"/>
          <w:szCs w:val="24"/>
        </w:rPr>
        <w:t xml:space="preserve">irektīva (ES) 2015/2366 par maksājumu pakalpojumiem iekšējā tirgū, ar ko groza </w:t>
      </w:r>
      <w:r w:rsidR="005717A7">
        <w:rPr>
          <w:rFonts w:ascii="Times New Roman" w:eastAsia="Times New Roman" w:hAnsi="Times New Roman" w:cs="Times New Roman"/>
          <w:sz w:val="24"/>
          <w:szCs w:val="24"/>
        </w:rPr>
        <w:t>d</w:t>
      </w:r>
      <w:r w:rsidRPr="000F752E">
        <w:rPr>
          <w:rFonts w:ascii="Times New Roman" w:eastAsia="Times New Roman" w:hAnsi="Times New Roman" w:cs="Times New Roman"/>
          <w:sz w:val="24"/>
          <w:szCs w:val="24"/>
        </w:rPr>
        <w:t xml:space="preserve">irektīvas 2002/65/EK, 2009/110/EK un 2013/36/EK un </w:t>
      </w:r>
      <w:r w:rsidR="005717A7">
        <w:rPr>
          <w:rFonts w:ascii="Times New Roman" w:eastAsia="Times New Roman" w:hAnsi="Times New Roman" w:cs="Times New Roman"/>
          <w:sz w:val="24"/>
          <w:szCs w:val="24"/>
        </w:rPr>
        <w:t>r</w:t>
      </w:r>
      <w:r w:rsidRPr="000F752E">
        <w:rPr>
          <w:rFonts w:ascii="Times New Roman" w:eastAsia="Times New Roman" w:hAnsi="Times New Roman" w:cs="Times New Roman"/>
          <w:sz w:val="24"/>
          <w:szCs w:val="24"/>
        </w:rPr>
        <w:t xml:space="preserve">egulu (ES) Nr. 1093/2010 un atceļ </w:t>
      </w:r>
      <w:r w:rsidR="005717A7">
        <w:rPr>
          <w:rFonts w:ascii="Times New Roman" w:eastAsia="Times New Roman" w:hAnsi="Times New Roman" w:cs="Times New Roman"/>
          <w:sz w:val="24"/>
          <w:szCs w:val="24"/>
        </w:rPr>
        <w:t>d</w:t>
      </w:r>
      <w:r w:rsidRPr="000F752E">
        <w:rPr>
          <w:rFonts w:ascii="Times New Roman" w:eastAsia="Times New Roman" w:hAnsi="Times New Roman" w:cs="Times New Roman"/>
          <w:sz w:val="24"/>
          <w:szCs w:val="24"/>
        </w:rPr>
        <w:t>irektīvu 2007/64/EK (turpmāk</w:t>
      </w:r>
      <w:r w:rsidR="004F756C">
        <w:rPr>
          <w:rFonts w:ascii="Times New Roman" w:eastAsia="Times New Roman" w:hAnsi="Times New Roman" w:cs="Times New Roman"/>
          <w:sz w:val="24"/>
          <w:szCs w:val="24"/>
        </w:rPr>
        <w:t> </w:t>
      </w:r>
      <w:r w:rsidRPr="000F752E">
        <w:rPr>
          <w:rFonts w:ascii="Times New Roman" w:eastAsia="Times New Roman" w:hAnsi="Times New Roman" w:cs="Times New Roman"/>
          <w:sz w:val="24"/>
          <w:szCs w:val="24"/>
        </w:rPr>
        <w:t>– Direktīva (ES) 2015/2366)</w:t>
      </w:r>
    </w:p>
    <w:p w14:paraId="6548F768" w14:textId="77777777" w:rsidR="000F752E" w:rsidRDefault="000F752E" w:rsidP="006952E1">
      <w:pPr>
        <w:spacing w:after="0" w:line="240" w:lineRule="auto"/>
        <w:rPr>
          <w:rFonts w:ascii="Times New Roman" w:eastAsia="Times New Roman" w:hAnsi="Times New Roman" w:cs="Times New Roman"/>
          <w:sz w:val="24"/>
          <w:szCs w:val="24"/>
        </w:rPr>
      </w:pPr>
    </w:p>
    <w:p w14:paraId="5C63D2BD" w14:textId="74FEED3C" w:rsidR="000F752E" w:rsidRPr="000F752E" w:rsidRDefault="000F752E" w:rsidP="000F752E">
      <w:pPr>
        <w:pStyle w:val="Sarakstarindkopa"/>
        <w:numPr>
          <w:ilvl w:val="0"/>
          <w:numId w:val="5"/>
        </w:numPr>
        <w:spacing w:after="0" w:line="240" w:lineRule="auto"/>
        <w:rPr>
          <w:rFonts w:ascii="Times New Roman" w:hAnsi="Times New Roman" w:cs="Times New Roman"/>
          <w:bCs/>
          <w:color w:val="000000" w:themeColor="text1"/>
          <w:sz w:val="24"/>
          <w:szCs w:val="24"/>
        </w:rPr>
      </w:pPr>
      <w:r w:rsidRPr="000F752E">
        <w:rPr>
          <w:rFonts w:ascii="Times New Roman" w:eastAsia="Times New Roman" w:hAnsi="Times New Roman" w:cs="Times New Roman"/>
          <w:sz w:val="24"/>
          <w:lang w:eastAsia="lv-LV"/>
        </w:rPr>
        <w:t xml:space="preserve">Eiropas Parlamenta un Padomes 2009. gada 16. septembra </w:t>
      </w:r>
      <w:r w:rsidR="005717A7">
        <w:rPr>
          <w:rFonts w:ascii="Times New Roman" w:eastAsia="Times New Roman" w:hAnsi="Times New Roman" w:cs="Times New Roman"/>
          <w:sz w:val="24"/>
          <w:lang w:eastAsia="lv-LV"/>
        </w:rPr>
        <w:t>d</w:t>
      </w:r>
      <w:r w:rsidRPr="000F752E">
        <w:rPr>
          <w:rFonts w:ascii="Times New Roman" w:eastAsia="Times New Roman" w:hAnsi="Times New Roman" w:cs="Times New Roman"/>
          <w:sz w:val="24"/>
          <w:lang w:eastAsia="lv-LV"/>
        </w:rPr>
        <w:t xml:space="preserve">irektīva 2009/110/EK par elektroniskās naudas iestāžu darbības sākšanu, veikšanu un konsultatīvu uzraudzību, par grozījumiem </w:t>
      </w:r>
      <w:r w:rsidR="005717A7">
        <w:rPr>
          <w:rFonts w:ascii="Times New Roman" w:eastAsia="Times New Roman" w:hAnsi="Times New Roman" w:cs="Times New Roman"/>
          <w:sz w:val="24"/>
          <w:lang w:eastAsia="lv-LV"/>
        </w:rPr>
        <w:t>d</w:t>
      </w:r>
      <w:r w:rsidRPr="000F752E">
        <w:rPr>
          <w:rFonts w:ascii="Times New Roman" w:eastAsia="Times New Roman" w:hAnsi="Times New Roman" w:cs="Times New Roman"/>
          <w:sz w:val="24"/>
          <w:lang w:eastAsia="lv-LV"/>
        </w:rPr>
        <w:t xml:space="preserve">irektīvā 2005/60/EK un </w:t>
      </w:r>
      <w:r w:rsidR="005717A7">
        <w:rPr>
          <w:rFonts w:ascii="Times New Roman" w:eastAsia="Times New Roman" w:hAnsi="Times New Roman" w:cs="Times New Roman"/>
          <w:sz w:val="24"/>
          <w:lang w:eastAsia="lv-LV"/>
        </w:rPr>
        <w:t>d</w:t>
      </w:r>
      <w:r w:rsidRPr="000F752E">
        <w:rPr>
          <w:rFonts w:ascii="Times New Roman" w:eastAsia="Times New Roman" w:hAnsi="Times New Roman" w:cs="Times New Roman"/>
          <w:sz w:val="24"/>
          <w:lang w:eastAsia="lv-LV"/>
        </w:rPr>
        <w:t xml:space="preserve">irektīvā 2006/48/EK un par </w:t>
      </w:r>
      <w:r w:rsidR="005717A7">
        <w:rPr>
          <w:rFonts w:ascii="Times New Roman" w:eastAsia="Times New Roman" w:hAnsi="Times New Roman" w:cs="Times New Roman"/>
          <w:sz w:val="24"/>
          <w:lang w:eastAsia="lv-LV"/>
        </w:rPr>
        <w:t>d</w:t>
      </w:r>
      <w:r w:rsidRPr="000F752E">
        <w:rPr>
          <w:rFonts w:ascii="Times New Roman" w:eastAsia="Times New Roman" w:hAnsi="Times New Roman" w:cs="Times New Roman"/>
          <w:sz w:val="24"/>
          <w:lang w:eastAsia="lv-LV"/>
        </w:rPr>
        <w:t>irektīvas 2000/46/EK atcelšanu</w:t>
      </w:r>
      <w:r>
        <w:rPr>
          <w:rFonts w:ascii="Times New Roman" w:eastAsia="Times New Roman" w:hAnsi="Times New Roman" w:cs="Times New Roman"/>
          <w:sz w:val="24"/>
          <w:lang w:eastAsia="lv-LV"/>
        </w:rPr>
        <w:t xml:space="preserve"> (turpmāk – </w:t>
      </w:r>
      <w:r w:rsidR="00F31EE6">
        <w:rPr>
          <w:rFonts w:ascii="Times New Roman" w:eastAsia="Times New Roman" w:hAnsi="Times New Roman" w:cs="Times New Roman"/>
          <w:sz w:val="24"/>
          <w:lang w:eastAsia="lv-LV"/>
        </w:rPr>
        <w:t>D</w:t>
      </w:r>
      <w:r>
        <w:rPr>
          <w:rFonts w:ascii="Times New Roman" w:eastAsia="Times New Roman" w:hAnsi="Times New Roman" w:cs="Times New Roman"/>
          <w:sz w:val="24"/>
          <w:lang w:eastAsia="lv-LV"/>
        </w:rPr>
        <w:t>irektīva 2009/110)</w:t>
      </w:r>
    </w:p>
    <w:p w14:paraId="0A548DFD" w14:textId="77777777" w:rsidR="006952E1" w:rsidRPr="006952E1" w:rsidRDefault="006952E1" w:rsidP="006952E1">
      <w:pPr>
        <w:spacing w:after="0" w:line="240" w:lineRule="auto"/>
        <w:rPr>
          <w:rFonts w:ascii="Times New Roman" w:hAnsi="Times New Roman" w:cs="Times New Roman"/>
          <w:bCs/>
          <w:color w:val="000000" w:themeColor="text1"/>
          <w:sz w:val="24"/>
          <w:szCs w:val="24"/>
        </w:rPr>
      </w:pPr>
    </w:p>
    <w:tbl>
      <w:tblPr>
        <w:tblStyle w:val="Reatabula"/>
        <w:tblW w:w="14879" w:type="dxa"/>
        <w:tblLook w:val="04A0" w:firstRow="1" w:lastRow="0" w:firstColumn="1" w:lastColumn="0" w:noHBand="0" w:noVBand="1"/>
      </w:tblPr>
      <w:tblGrid>
        <w:gridCol w:w="2665"/>
        <w:gridCol w:w="2150"/>
        <w:gridCol w:w="2551"/>
        <w:gridCol w:w="2268"/>
        <w:gridCol w:w="2127"/>
        <w:gridCol w:w="3118"/>
      </w:tblGrid>
      <w:tr w:rsidR="006952E1" w:rsidRPr="006952E1" w14:paraId="5202C1D1" w14:textId="77777777" w:rsidTr="001D1F57">
        <w:tc>
          <w:tcPr>
            <w:tcW w:w="2665" w:type="dxa"/>
          </w:tcPr>
          <w:p w14:paraId="2FD502B0" w14:textId="77777777" w:rsidR="006952E1" w:rsidRPr="006952E1" w:rsidRDefault="006952E1" w:rsidP="006952E1">
            <w:pPr>
              <w:rPr>
                <w:rFonts w:ascii="Times New Roman" w:hAnsi="Times New Roman" w:cs="Times New Roman"/>
                <w:color w:val="000000" w:themeColor="text1"/>
                <w:sz w:val="24"/>
                <w:szCs w:val="24"/>
              </w:rPr>
            </w:pPr>
            <w:r w:rsidRPr="006952E1">
              <w:rPr>
                <w:rFonts w:ascii="Times New Roman" w:hAnsi="Times New Roman" w:cs="Times New Roman"/>
                <w:b/>
                <w:bCs/>
                <w:color w:val="000000" w:themeColor="text1"/>
                <w:sz w:val="24"/>
                <w:szCs w:val="24"/>
              </w:rPr>
              <w:t xml:space="preserve">Eiropas Savienības tiesību akta pants, punkts vai apakšpunkts, kurā paredzētās prasības Latvijā jāizpilda </w:t>
            </w:r>
            <w:r w:rsidRPr="006952E1">
              <w:rPr>
                <w:rFonts w:ascii="Times New Roman" w:hAnsi="Times New Roman" w:cs="Times New Roman"/>
                <w:i/>
                <w:iCs/>
                <w:color w:val="000000" w:themeColor="text1"/>
                <w:sz w:val="24"/>
                <w:szCs w:val="24"/>
              </w:rPr>
              <w:t>(Norāda pēc iespējas konkrētāku teksta vienību)</w:t>
            </w:r>
          </w:p>
        </w:tc>
        <w:tc>
          <w:tcPr>
            <w:tcW w:w="2150" w:type="dxa"/>
          </w:tcPr>
          <w:p w14:paraId="19D4D79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Projekta punkts vai apakšpunkts, kas izpilda A ailē minēto prasību </w:t>
            </w:r>
          </w:p>
          <w:p w14:paraId="15601B98"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(Norāda pēc iespējas konkrētāku teksta vienību)</w:t>
            </w:r>
          </w:p>
        </w:tc>
        <w:tc>
          <w:tcPr>
            <w:tcW w:w="2551" w:type="dxa"/>
          </w:tcPr>
          <w:p w14:paraId="230F583C"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A ailē minētā prasība ar B ailē minēto projekta punktu vai apakšpunktu tiek izpildīta pilnībā vai daļēji? </w:t>
            </w:r>
          </w:p>
          <w:p w14:paraId="1EB8AA40"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(Ja daļēji, norāda, kur un kā ir vai tiks nodrošināta prasības pilnīga izpilde)</w:t>
            </w:r>
          </w:p>
        </w:tc>
        <w:tc>
          <w:tcPr>
            <w:tcW w:w="2268" w:type="dxa"/>
          </w:tcPr>
          <w:p w14:paraId="2D68126C"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t xml:space="preserve">Vai B ailē norādītais projekta punkts vai apakšpunkts paredz stingrākas prasības, nekā A ailē minētā prasība </w:t>
            </w:r>
          </w:p>
          <w:p w14:paraId="0C97836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i/>
                <w:iCs/>
                <w:color w:val="000000" w:themeColor="text1"/>
                <w:sz w:val="24"/>
                <w:szCs w:val="24"/>
              </w:rPr>
              <w:t xml:space="preserve">(Ja paredz stingrākas prasības, norāda pamatojumu šādu stingrāku </w:t>
            </w:r>
            <w:r w:rsidRPr="006952E1">
              <w:rPr>
                <w:rFonts w:ascii="Times New Roman" w:hAnsi="Times New Roman" w:cs="Times New Roman"/>
                <w:i/>
                <w:iCs/>
                <w:color w:val="000000" w:themeColor="text1"/>
                <w:sz w:val="24"/>
                <w:szCs w:val="24"/>
              </w:rPr>
              <w:lastRenderedPageBreak/>
              <w:t>prasību nepieciešamībai)</w:t>
            </w:r>
          </w:p>
        </w:tc>
        <w:tc>
          <w:tcPr>
            <w:tcW w:w="2127" w:type="dxa"/>
          </w:tcPr>
          <w:p w14:paraId="2B994C9B" w14:textId="77777777" w:rsidR="006952E1" w:rsidRPr="006952E1" w:rsidRDefault="006952E1" w:rsidP="006952E1">
            <w:pPr>
              <w:rPr>
                <w:rFonts w:ascii="Times New Roman" w:hAnsi="Times New Roman" w:cs="Times New Roman"/>
                <w:b/>
                <w:bCs/>
                <w:color w:val="000000" w:themeColor="text1"/>
                <w:sz w:val="24"/>
                <w:szCs w:val="24"/>
              </w:rPr>
            </w:pPr>
            <w:r w:rsidRPr="006952E1">
              <w:rPr>
                <w:rFonts w:ascii="Times New Roman" w:hAnsi="Times New Roman" w:cs="Times New Roman"/>
                <w:b/>
                <w:bCs/>
                <w:color w:val="000000" w:themeColor="text1"/>
                <w:sz w:val="24"/>
                <w:szCs w:val="24"/>
              </w:rPr>
              <w:lastRenderedPageBreak/>
              <w:t xml:space="preserve">Vai A ailē minētā prasība ir jāizpilda obligāti? </w:t>
            </w:r>
          </w:p>
          <w:p w14:paraId="331C9AA5" w14:textId="77777777" w:rsidR="006952E1" w:rsidRPr="006952E1" w:rsidRDefault="006952E1" w:rsidP="006952E1">
            <w:pPr>
              <w:rPr>
                <w:rFonts w:ascii="Times New Roman" w:hAnsi="Times New Roman" w:cs="Times New Roman"/>
                <w:i/>
                <w:iCs/>
                <w:color w:val="000000" w:themeColor="text1"/>
                <w:sz w:val="24"/>
                <w:szCs w:val="24"/>
              </w:rPr>
            </w:pPr>
            <w:r w:rsidRPr="006952E1">
              <w:rPr>
                <w:rFonts w:ascii="Times New Roman" w:hAnsi="Times New Roman" w:cs="Times New Roman"/>
                <w:i/>
                <w:iCs/>
                <w:color w:val="000000" w:themeColor="text1"/>
                <w:sz w:val="24"/>
                <w:szCs w:val="24"/>
              </w:rPr>
              <w:t>(Ja Eiropas Savienības tiesību akts paredz izvēles iespēju, norāda, vai un kādēļ šī rīcības brīvība Latvijā ir vai nav jāizmanto)</w:t>
            </w:r>
          </w:p>
          <w:p w14:paraId="6B657897" w14:textId="77777777" w:rsidR="006952E1" w:rsidRPr="006952E1" w:rsidRDefault="006952E1" w:rsidP="006952E1">
            <w:pPr>
              <w:rPr>
                <w:rFonts w:ascii="Times New Roman" w:hAnsi="Times New Roman" w:cs="Times New Roman"/>
                <w:b/>
                <w:bCs/>
                <w:color w:val="000000" w:themeColor="text1"/>
                <w:sz w:val="24"/>
                <w:szCs w:val="24"/>
              </w:rPr>
            </w:pPr>
          </w:p>
          <w:p w14:paraId="2ED03217" w14:textId="77777777" w:rsidR="006952E1" w:rsidRPr="006952E1" w:rsidRDefault="006952E1" w:rsidP="006952E1">
            <w:pPr>
              <w:rPr>
                <w:rFonts w:ascii="Times New Roman" w:hAnsi="Times New Roman" w:cs="Times New Roman"/>
                <w:b/>
                <w:bCs/>
                <w:color w:val="000000" w:themeColor="text1"/>
                <w:sz w:val="24"/>
                <w:szCs w:val="24"/>
              </w:rPr>
            </w:pPr>
          </w:p>
        </w:tc>
        <w:tc>
          <w:tcPr>
            <w:tcW w:w="3118" w:type="dxa"/>
          </w:tcPr>
          <w:p w14:paraId="041E724D" w14:textId="77777777" w:rsidR="006952E1" w:rsidRPr="006952E1" w:rsidRDefault="006952E1" w:rsidP="006952E1">
            <w:pPr>
              <w:rPr>
                <w:rStyle w:val="cf01"/>
                <w:rFonts w:ascii="Times New Roman" w:hAnsi="Times New Roman" w:cs="Times New Roman"/>
                <w:b/>
                <w:bCs/>
                <w:sz w:val="24"/>
                <w:szCs w:val="24"/>
              </w:rPr>
            </w:pPr>
            <w:r w:rsidRPr="006952E1">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1F13B490" w14:textId="77777777" w:rsidR="006952E1" w:rsidRPr="006952E1" w:rsidRDefault="006952E1" w:rsidP="006952E1">
            <w:pPr>
              <w:rPr>
                <w:rFonts w:ascii="Times New Roman" w:hAnsi="Times New Roman" w:cs="Times New Roman"/>
                <w:b/>
                <w:bCs/>
                <w:color w:val="000000" w:themeColor="text1"/>
                <w:sz w:val="24"/>
                <w:szCs w:val="24"/>
              </w:rPr>
            </w:pPr>
            <w:r w:rsidRPr="006952E1">
              <w:rPr>
                <w:rStyle w:val="cf01"/>
                <w:rFonts w:ascii="Times New Roman" w:hAnsi="Times New Roman" w:cs="Times New Roman"/>
                <w:i/>
                <w:iCs/>
                <w:sz w:val="24"/>
                <w:szCs w:val="24"/>
              </w:rPr>
              <w:t>(Ja paredz, norāda, kas un kādā termiņā šo paziņošanas pienākumu izpildīs)</w:t>
            </w:r>
          </w:p>
        </w:tc>
      </w:tr>
      <w:tr w:rsidR="006952E1" w:rsidRPr="006952E1" w14:paraId="60C4D2D9" w14:textId="77777777" w:rsidTr="001D1F57">
        <w:tc>
          <w:tcPr>
            <w:tcW w:w="2665" w:type="dxa"/>
          </w:tcPr>
          <w:p w14:paraId="4ED25008"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A</w:t>
            </w:r>
          </w:p>
        </w:tc>
        <w:tc>
          <w:tcPr>
            <w:tcW w:w="2150" w:type="dxa"/>
          </w:tcPr>
          <w:p w14:paraId="75552C54"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B</w:t>
            </w:r>
          </w:p>
        </w:tc>
        <w:tc>
          <w:tcPr>
            <w:tcW w:w="2551" w:type="dxa"/>
          </w:tcPr>
          <w:p w14:paraId="5F928228"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C</w:t>
            </w:r>
          </w:p>
        </w:tc>
        <w:tc>
          <w:tcPr>
            <w:tcW w:w="2268" w:type="dxa"/>
          </w:tcPr>
          <w:p w14:paraId="12982B40"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D</w:t>
            </w:r>
          </w:p>
        </w:tc>
        <w:tc>
          <w:tcPr>
            <w:tcW w:w="2127" w:type="dxa"/>
            <w:tcBorders>
              <w:bottom w:val="single" w:sz="4" w:space="0" w:color="auto"/>
            </w:tcBorders>
          </w:tcPr>
          <w:p w14:paraId="72BFED3F"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E</w:t>
            </w:r>
          </w:p>
        </w:tc>
        <w:tc>
          <w:tcPr>
            <w:tcW w:w="3118" w:type="dxa"/>
            <w:tcBorders>
              <w:bottom w:val="single" w:sz="4" w:space="0" w:color="auto"/>
            </w:tcBorders>
          </w:tcPr>
          <w:p w14:paraId="47FD702A" w14:textId="77777777" w:rsidR="006952E1" w:rsidRPr="006952E1" w:rsidRDefault="006952E1" w:rsidP="00CA5C85">
            <w:pPr>
              <w:jc w:val="center"/>
              <w:rPr>
                <w:rFonts w:ascii="Times New Roman" w:hAnsi="Times New Roman" w:cs="Times New Roman"/>
                <w:color w:val="000000" w:themeColor="text1"/>
                <w:sz w:val="24"/>
                <w:szCs w:val="24"/>
              </w:rPr>
            </w:pPr>
            <w:r w:rsidRPr="006952E1">
              <w:rPr>
                <w:rFonts w:ascii="Times New Roman" w:hAnsi="Times New Roman" w:cs="Times New Roman"/>
                <w:color w:val="000000" w:themeColor="text1"/>
                <w:sz w:val="24"/>
                <w:szCs w:val="24"/>
              </w:rPr>
              <w:t>F</w:t>
            </w:r>
          </w:p>
        </w:tc>
      </w:tr>
      <w:tr w:rsidR="006952E1" w:rsidRPr="006952E1" w14:paraId="3CA24801" w14:textId="77777777" w:rsidTr="001D1F57">
        <w:tc>
          <w:tcPr>
            <w:tcW w:w="2665" w:type="dxa"/>
            <w:tcBorders>
              <w:bottom w:val="nil"/>
            </w:tcBorders>
          </w:tcPr>
          <w:p w14:paraId="79D9B5A1" w14:textId="72C17BAE" w:rsidR="006952E1" w:rsidRPr="001D1F57" w:rsidRDefault="006952E1" w:rsidP="00CA5C85">
            <w:pPr>
              <w:rPr>
                <w:rStyle w:val="ui-provider"/>
                <w:rFonts w:ascii="Times New Roman" w:hAnsi="Times New Roman" w:cs="Times New Roman"/>
                <w:sz w:val="24"/>
                <w:szCs w:val="24"/>
              </w:rPr>
            </w:pPr>
            <w:r w:rsidRPr="001D1F57">
              <w:rPr>
                <w:rStyle w:val="cf01"/>
                <w:rFonts w:ascii="Times New Roman" w:hAnsi="Times New Roman" w:cs="Times New Roman"/>
                <w:sz w:val="24"/>
                <w:szCs w:val="24"/>
              </w:rPr>
              <w:t xml:space="preserve">Direktīvas </w:t>
            </w:r>
            <w:r w:rsidR="00C33A7E" w:rsidRPr="001D1F57">
              <w:rPr>
                <w:rStyle w:val="cf01"/>
                <w:rFonts w:ascii="Times New Roman" w:hAnsi="Times New Roman" w:cs="Times New Roman"/>
                <w:sz w:val="24"/>
                <w:szCs w:val="24"/>
              </w:rPr>
              <w:t xml:space="preserve">(ES) </w:t>
            </w:r>
            <w:r w:rsidRPr="001D1F57">
              <w:rPr>
                <w:rStyle w:val="cf11"/>
                <w:rFonts w:ascii="Times New Roman" w:hAnsi="Times New Roman" w:cs="Times New Roman"/>
                <w:sz w:val="24"/>
                <w:szCs w:val="24"/>
              </w:rPr>
              <w:t>20</w:t>
            </w:r>
            <w:r w:rsidR="001D1F57" w:rsidRPr="001D1F57">
              <w:rPr>
                <w:rStyle w:val="cf11"/>
                <w:rFonts w:ascii="Times New Roman" w:hAnsi="Times New Roman" w:cs="Times New Roman"/>
                <w:sz w:val="24"/>
                <w:szCs w:val="24"/>
              </w:rPr>
              <w:t>15</w:t>
            </w:r>
            <w:r w:rsidRPr="001D1F57">
              <w:rPr>
                <w:rStyle w:val="cf11"/>
                <w:rFonts w:ascii="Times New Roman" w:hAnsi="Times New Roman" w:cs="Times New Roman"/>
                <w:sz w:val="24"/>
                <w:szCs w:val="24"/>
              </w:rPr>
              <w:t>/</w:t>
            </w:r>
            <w:r w:rsidR="001D1F57" w:rsidRPr="001D1F57">
              <w:rPr>
                <w:rStyle w:val="cf11"/>
                <w:rFonts w:ascii="Times New Roman" w:hAnsi="Times New Roman" w:cs="Times New Roman"/>
                <w:sz w:val="24"/>
                <w:szCs w:val="24"/>
              </w:rPr>
              <w:t>2366</w:t>
            </w:r>
            <w:r w:rsidRPr="001D1F57">
              <w:rPr>
                <w:rStyle w:val="cf11"/>
                <w:rFonts w:ascii="Times New Roman" w:hAnsi="Times New Roman" w:cs="Times New Roman"/>
                <w:sz w:val="24"/>
                <w:szCs w:val="24"/>
              </w:rPr>
              <w:t xml:space="preserve"> </w:t>
            </w:r>
          </w:p>
          <w:p w14:paraId="3019E9C9" w14:textId="69F4E957" w:rsidR="00665096" w:rsidRPr="006952E1" w:rsidRDefault="001D1F57" w:rsidP="00665096">
            <w:pPr>
              <w:rPr>
                <w:rStyle w:val="cf01"/>
                <w:rFonts w:ascii="Times New Roman" w:hAnsi="Times New Roman" w:cs="Times New Roman"/>
                <w:sz w:val="24"/>
                <w:szCs w:val="24"/>
              </w:rPr>
            </w:pPr>
            <w:r w:rsidRPr="001D1F57">
              <w:rPr>
                <w:rStyle w:val="ui-provider"/>
                <w:rFonts w:ascii="Times New Roman" w:hAnsi="Times New Roman" w:cs="Times New Roman"/>
                <w:sz w:val="24"/>
                <w:szCs w:val="24"/>
              </w:rPr>
              <w:t>9</w:t>
            </w:r>
            <w:r w:rsidR="006952E1" w:rsidRPr="001D1F57">
              <w:rPr>
                <w:rStyle w:val="ui-provider"/>
                <w:rFonts w:ascii="Times New Roman" w:hAnsi="Times New Roman" w:cs="Times New Roman"/>
                <w:sz w:val="24"/>
                <w:szCs w:val="24"/>
              </w:rPr>
              <w:t>.</w:t>
            </w:r>
            <w:r w:rsidR="00D82979" w:rsidRPr="001D1F57">
              <w:rPr>
                <w:rStyle w:val="ui-provider"/>
                <w:rFonts w:ascii="Times New Roman" w:hAnsi="Times New Roman" w:cs="Times New Roman"/>
                <w:sz w:val="24"/>
                <w:szCs w:val="24"/>
              </w:rPr>
              <w:t> </w:t>
            </w:r>
            <w:r w:rsidR="006952E1" w:rsidRPr="001D1F57">
              <w:rPr>
                <w:rStyle w:val="ui-provider"/>
                <w:rFonts w:ascii="Times New Roman" w:hAnsi="Times New Roman" w:cs="Times New Roman"/>
                <w:sz w:val="24"/>
                <w:szCs w:val="24"/>
              </w:rPr>
              <w:t>panta 1.</w:t>
            </w:r>
            <w:r w:rsidR="00D82979" w:rsidRPr="001D1F57">
              <w:rPr>
                <w:rStyle w:val="ui-provider"/>
                <w:rFonts w:ascii="Times New Roman" w:hAnsi="Times New Roman" w:cs="Times New Roman"/>
                <w:sz w:val="24"/>
                <w:szCs w:val="24"/>
              </w:rPr>
              <w:t> </w:t>
            </w:r>
            <w:r>
              <w:rPr>
                <w:rStyle w:val="ui-provider"/>
                <w:rFonts w:ascii="Times New Roman" w:hAnsi="Times New Roman" w:cs="Times New Roman"/>
                <w:sz w:val="24"/>
                <w:szCs w:val="24"/>
              </w:rPr>
              <w:t>un 2.</w:t>
            </w:r>
            <w:r w:rsidR="00053045">
              <w:rPr>
                <w:rStyle w:val="ui-provider"/>
                <w:rFonts w:ascii="Times New Roman" w:hAnsi="Times New Roman" w:cs="Times New Roman"/>
                <w:sz w:val="24"/>
                <w:szCs w:val="24"/>
              </w:rPr>
              <w:t> </w:t>
            </w:r>
            <w:r>
              <w:rPr>
                <w:rStyle w:val="ui-provider"/>
                <w:rFonts w:ascii="Times New Roman" w:hAnsi="Times New Roman" w:cs="Times New Roman"/>
                <w:sz w:val="24"/>
                <w:szCs w:val="24"/>
              </w:rPr>
              <w:t>punkts</w:t>
            </w:r>
            <w:r w:rsidR="006952E1" w:rsidRPr="006952E1">
              <w:rPr>
                <w:rStyle w:val="ui-provider"/>
                <w:rFonts w:ascii="Times New Roman" w:hAnsi="Times New Roman" w:cs="Times New Roman"/>
                <w:sz w:val="24"/>
                <w:szCs w:val="24"/>
              </w:rPr>
              <w:t xml:space="preserve"> </w:t>
            </w:r>
          </w:p>
          <w:p w14:paraId="6D2A8714" w14:textId="1D3EBDCB" w:rsidR="006952E1" w:rsidRPr="006952E1" w:rsidRDefault="006952E1" w:rsidP="00CA5C85">
            <w:pPr>
              <w:rPr>
                <w:rStyle w:val="cf01"/>
                <w:rFonts w:ascii="Times New Roman" w:hAnsi="Times New Roman" w:cs="Times New Roman"/>
                <w:sz w:val="24"/>
                <w:szCs w:val="24"/>
              </w:rPr>
            </w:pPr>
          </w:p>
        </w:tc>
        <w:tc>
          <w:tcPr>
            <w:tcW w:w="2150" w:type="dxa"/>
            <w:tcBorders>
              <w:bottom w:val="nil"/>
            </w:tcBorders>
          </w:tcPr>
          <w:p w14:paraId="138CF9E9" w14:textId="07169D56"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 xml:space="preserve">Projekta </w:t>
            </w:r>
            <w:r w:rsidR="004F756C" w:rsidRPr="004F756C">
              <w:rPr>
                <w:rFonts w:ascii="Times New Roman" w:hAnsi="Times New Roman" w:cs="Times New Roman"/>
                <w:sz w:val="24"/>
                <w:szCs w:val="24"/>
              </w:rPr>
              <w:t>4</w:t>
            </w:r>
            <w:r w:rsidR="00245BE9">
              <w:rPr>
                <w:rFonts w:ascii="Times New Roman" w:hAnsi="Times New Roman" w:cs="Times New Roman"/>
                <w:sz w:val="24"/>
                <w:szCs w:val="24"/>
              </w:rPr>
              <w:t>4</w:t>
            </w:r>
            <w:r w:rsidRPr="004F756C">
              <w:rPr>
                <w:rFonts w:ascii="Times New Roman" w:hAnsi="Times New Roman" w:cs="Times New Roman"/>
                <w:sz w:val="24"/>
                <w:szCs w:val="24"/>
              </w:rPr>
              <w:t>.</w:t>
            </w:r>
            <w:r w:rsidR="00D82979" w:rsidRPr="004F756C">
              <w:rPr>
                <w:rFonts w:ascii="Times New Roman" w:hAnsi="Times New Roman" w:cs="Times New Roman"/>
                <w:sz w:val="24"/>
                <w:szCs w:val="24"/>
              </w:rPr>
              <w:t> </w:t>
            </w:r>
            <w:r w:rsidRPr="004F756C">
              <w:rPr>
                <w:rFonts w:ascii="Times New Roman" w:hAnsi="Times New Roman" w:cs="Times New Roman"/>
                <w:sz w:val="24"/>
                <w:szCs w:val="24"/>
              </w:rPr>
              <w:t>punkts</w:t>
            </w:r>
            <w:r w:rsidRPr="001D1F57">
              <w:rPr>
                <w:rFonts w:ascii="Times New Roman" w:hAnsi="Times New Roman" w:cs="Times New Roman"/>
                <w:sz w:val="24"/>
                <w:szCs w:val="24"/>
              </w:rPr>
              <w:t xml:space="preserve"> </w:t>
            </w:r>
          </w:p>
        </w:tc>
        <w:tc>
          <w:tcPr>
            <w:tcW w:w="2551" w:type="dxa"/>
            <w:tcBorders>
              <w:bottom w:val="nil"/>
            </w:tcBorders>
          </w:tcPr>
          <w:p w14:paraId="225C2C00" w14:textId="099E9AA0"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Izpilda pilnībā</w:t>
            </w:r>
            <w:r w:rsidR="001D1F57">
              <w:rPr>
                <w:rFonts w:ascii="Times New Roman" w:hAnsi="Times New Roman" w:cs="Times New Roman"/>
                <w:sz w:val="24"/>
                <w:szCs w:val="24"/>
              </w:rPr>
              <w:t xml:space="preserve"> </w:t>
            </w:r>
          </w:p>
        </w:tc>
        <w:tc>
          <w:tcPr>
            <w:tcW w:w="2268" w:type="dxa"/>
            <w:tcBorders>
              <w:bottom w:val="nil"/>
              <w:right w:val="single" w:sz="4" w:space="0" w:color="auto"/>
            </w:tcBorders>
          </w:tcPr>
          <w:p w14:paraId="4510B2FF" w14:textId="77777777" w:rsidR="006952E1" w:rsidRPr="006952E1" w:rsidRDefault="006952E1" w:rsidP="00CA5C85">
            <w:pPr>
              <w:rPr>
                <w:rFonts w:ascii="Times New Roman" w:hAnsi="Times New Roman" w:cs="Times New Roman"/>
                <w:color w:val="000000" w:themeColor="text1"/>
                <w:sz w:val="24"/>
                <w:szCs w:val="24"/>
              </w:rPr>
            </w:pPr>
            <w:r w:rsidRPr="006952E1">
              <w:rPr>
                <w:rFonts w:ascii="Times New Roman" w:hAnsi="Times New Roman" w:cs="Times New Roman"/>
                <w:sz w:val="24"/>
                <w:szCs w:val="24"/>
              </w:rPr>
              <w:t>Nē</w:t>
            </w:r>
          </w:p>
        </w:tc>
        <w:tc>
          <w:tcPr>
            <w:tcW w:w="2127" w:type="dxa"/>
            <w:tcBorders>
              <w:left w:val="single" w:sz="4" w:space="0" w:color="auto"/>
              <w:bottom w:val="nil"/>
              <w:right w:val="single" w:sz="4" w:space="0" w:color="auto"/>
            </w:tcBorders>
          </w:tcPr>
          <w:p w14:paraId="2CAFC6EA" w14:textId="76DEABC6"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Jā</w:t>
            </w:r>
            <w:r w:rsidR="00F31EE6">
              <w:rPr>
                <w:rStyle w:val="cf01"/>
                <w:rFonts w:ascii="Times New Roman" w:hAnsi="Times New Roman" w:cs="Times New Roman"/>
                <w:sz w:val="24"/>
                <w:szCs w:val="24"/>
              </w:rPr>
              <w:t xml:space="preserve">. </w:t>
            </w:r>
            <w:r w:rsidR="009004C9">
              <w:rPr>
                <w:rStyle w:val="cf01"/>
                <w:rFonts w:ascii="Times New Roman" w:hAnsi="Times New Roman" w:cs="Times New Roman"/>
                <w:sz w:val="24"/>
                <w:szCs w:val="24"/>
              </w:rPr>
              <w:t>Jāi</w:t>
            </w:r>
            <w:r w:rsidR="00F31EE6">
              <w:rPr>
                <w:rStyle w:val="cf01"/>
                <w:rFonts w:ascii="Times New Roman" w:hAnsi="Times New Roman" w:cs="Times New Roman"/>
                <w:sz w:val="24"/>
                <w:szCs w:val="24"/>
              </w:rPr>
              <w:t>zvēlas vien</w:t>
            </w:r>
            <w:r w:rsidR="0039219C">
              <w:rPr>
                <w:rStyle w:val="cf01"/>
                <w:rFonts w:ascii="Times New Roman" w:hAnsi="Times New Roman" w:cs="Times New Roman"/>
                <w:sz w:val="24"/>
                <w:szCs w:val="24"/>
              </w:rPr>
              <w:t>a</w:t>
            </w:r>
            <w:r w:rsidR="00F31EE6">
              <w:rPr>
                <w:rStyle w:val="cf01"/>
                <w:rFonts w:ascii="Times New Roman" w:hAnsi="Times New Roman" w:cs="Times New Roman"/>
                <w:sz w:val="24"/>
                <w:szCs w:val="24"/>
              </w:rPr>
              <w:t xml:space="preserve"> no trim metodēm, kuru nosaka kompetentā iestāde.</w:t>
            </w:r>
            <w:r w:rsidR="004F756C">
              <w:rPr>
                <w:rStyle w:val="cf01"/>
                <w:rFonts w:ascii="Times New Roman" w:hAnsi="Times New Roman" w:cs="Times New Roman"/>
                <w:sz w:val="24"/>
                <w:szCs w:val="24"/>
              </w:rPr>
              <w:t xml:space="preserve"> </w:t>
            </w:r>
            <w:r w:rsidR="004F756C" w:rsidRPr="00C935B1">
              <w:rPr>
                <w:rStyle w:val="cf01"/>
                <w:rFonts w:ascii="Times New Roman" w:hAnsi="Times New Roman" w:cs="Times New Roman"/>
                <w:sz w:val="24"/>
                <w:szCs w:val="24"/>
              </w:rPr>
              <w:t>Izvēlēta B metode</w:t>
            </w:r>
            <w:r w:rsidR="00C935B1">
              <w:rPr>
                <w:rStyle w:val="cf01"/>
                <w:rFonts w:ascii="Times New Roman" w:hAnsi="Times New Roman" w:cs="Times New Roman"/>
                <w:sz w:val="24"/>
                <w:szCs w:val="24"/>
              </w:rPr>
              <w:t xml:space="preserve">, jo šis aprēķins ņem vērā maksājumu iestādes darbības </w:t>
            </w:r>
            <w:r w:rsidR="00C935B1" w:rsidRPr="0039219C">
              <w:rPr>
                <w:rStyle w:val="cf01"/>
                <w:rFonts w:ascii="Times New Roman" w:hAnsi="Times New Roman" w:cs="Times New Roman"/>
                <w:sz w:val="24"/>
                <w:szCs w:val="24"/>
              </w:rPr>
              <w:t>apm</w:t>
            </w:r>
            <w:r w:rsidR="0039219C" w:rsidRPr="0039219C">
              <w:rPr>
                <w:rStyle w:val="cf01"/>
                <w:rFonts w:ascii="Times New Roman" w:hAnsi="Times New Roman" w:cs="Times New Roman"/>
                <w:sz w:val="24"/>
                <w:szCs w:val="24"/>
              </w:rPr>
              <w:t>ē</w:t>
            </w:r>
            <w:r w:rsidR="0039219C" w:rsidRPr="005E4E66">
              <w:rPr>
                <w:rStyle w:val="cf01"/>
                <w:rFonts w:ascii="Times New Roman" w:hAnsi="Times New Roman" w:cs="Times New Roman"/>
                <w:sz w:val="24"/>
                <w:szCs w:val="24"/>
              </w:rPr>
              <w:t>r</w:t>
            </w:r>
            <w:r w:rsidR="00C935B1" w:rsidRPr="0039219C">
              <w:rPr>
                <w:rStyle w:val="cf01"/>
                <w:rFonts w:ascii="Times New Roman" w:hAnsi="Times New Roman" w:cs="Times New Roman"/>
                <w:sz w:val="24"/>
                <w:szCs w:val="24"/>
              </w:rPr>
              <w:t>us,</w:t>
            </w:r>
            <w:r w:rsidR="00C935B1">
              <w:rPr>
                <w:rStyle w:val="cf01"/>
                <w:rFonts w:ascii="Times New Roman" w:hAnsi="Times New Roman" w:cs="Times New Roman"/>
                <w:sz w:val="24"/>
                <w:szCs w:val="24"/>
              </w:rPr>
              <w:t xml:space="preserve"> kas tika uzskatīts par objektīvu kritēriju</w:t>
            </w:r>
            <w:r w:rsidR="004F756C" w:rsidRPr="004F756C">
              <w:rPr>
                <w:rStyle w:val="cf01"/>
                <w:rFonts w:ascii="Times New Roman" w:hAnsi="Times New Roman" w:cs="Times New Roman"/>
                <w:sz w:val="24"/>
                <w:szCs w:val="24"/>
              </w:rPr>
              <w:t>.</w:t>
            </w:r>
          </w:p>
        </w:tc>
        <w:tc>
          <w:tcPr>
            <w:tcW w:w="3118" w:type="dxa"/>
            <w:vMerge w:val="restart"/>
            <w:tcBorders>
              <w:top w:val="single" w:sz="4" w:space="0" w:color="auto"/>
              <w:left w:val="single" w:sz="4" w:space="0" w:color="auto"/>
              <w:bottom w:val="single" w:sz="4" w:space="0" w:color="auto"/>
              <w:right w:val="single" w:sz="4" w:space="0" w:color="auto"/>
            </w:tcBorders>
          </w:tcPr>
          <w:p w14:paraId="6E6ED686" w14:textId="217288F6" w:rsidR="006952E1" w:rsidRPr="006952E1" w:rsidRDefault="006952E1" w:rsidP="00CA5C85">
            <w:pPr>
              <w:rPr>
                <w:rStyle w:val="cf01"/>
                <w:rFonts w:ascii="Times New Roman" w:hAnsi="Times New Roman" w:cs="Times New Roman"/>
                <w:sz w:val="24"/>
                <w:szCs w:val="24"/>
                <w:highlight w:val="yellow"/>
              </w:rPr>
            </w:pPr>
            <w:r w:rsidRPr="001D1F57">
              <w:rPr>
                <w:rStyle w:val="cf01"/>
                <w:rFonts w:ascii="Times New Roman" w:hAnsi="Times New Roman" w:cs="Times New Roman"/>
                <w:sz w:val="24"/>
                <w:szCs w:val="24"/>
              </w:rPr>
              <w:t>Direktīvas</w:t>
            </w:r>
            <w:r w:rsidR="00C33A7E" w:rsidRPr="001D1F57">
              <w:rPr>
                <w:rStyle w:val="cf01"/>
                <w:rFonts w:ascii="Times New Roman" w:hAnsi="Times New Roman" w:cs="Times New Roman"/>
                <w:sz w:val="24"/>
                <w:szCs w:val="24"/>
              </w:rPr>
              <w:t xml:space="preserve"> (ES)</w:t>
            </w:r>
            <w:r w:rsidRPr="001D1F57">
              <w:rPr>
                <w:rStyle w:val="cf01"/>
                <w:rFonts w:ascii="Times New Roman" w:hAnsi="Times New Roman" w:cs="Times New Roman"/>
                <w:sz w:val="24"/>
                <w:szCs w:val="24"/>
              </w:rPr>
              <w:t xml:space="preserve"> </w:t>
            </w:r>
            <w:r w:rsidRPr="001D1F57">
              <w:rPr>
                <w:rStyle w:val="cf11"/>
                <w:rFonts w:ascii="Times New Roman" w:hAnsi="Times New Roman" w:cs="Times New Roman"/>
                <w:sz w:val="24"/>
                <w:szCs w:val="24"/>
              </w:rPr>
              <w:t>20</w:t>
            </w:r>
            <w:r w:rsidR="001D1F57" w:rsidRPr="001D1F57">
              <w:rPr>
                <w:rStyle w:val="cf11"/>
                <w:rFonts w:ascii="Times New Roman" w:hAnsi="Times New Roman" w:cs="Times New Roman"/>
                <w:sz w:val="24"/>
                <w:szCs w:val="24"/>
              </w:rPr>
              <w:t>15</w:t>
            </w:r>
            <w:r w:rsidRPr="001D1F57">
              <w:rPr>
                <w:rStyle w:val="cf11"/>
                <w:rFonts w:ascii="Times New Roman" w:hAnsi="Times New Roman" w:cs="Times New Roman"/>
                <w:sz w:val="24"/>
                <w:szCs w:val="24"/>
              </w:rPr>
              <w:t>/</w:t>
            </w:r>
            <w:r w:rsidR="001D1F57" w:rsidRPr="001D1F57">
              <w:rPr>
                <w:rStyle w:val="cf11"/>
                <w:rFonts w:ascii="Times New Roman" w:hAnsi="Times New Roman" w:cs="Times New Roman"/>
                <w:sz w:val="24"/>
                <w:szCs w:val="24"/>
              </w:rPr>
              <w:t>2366</w:t>
            </w:r>
            <w:r w:rsidRPr="001D1F57">
              <w:rPr>
                <w:rStyle w:val="cf11"/>
                <w:rFonts w:ascii="Times New Roman" w:hAnsi="Times New Roman" w:cs="Times New Roman"/>
                <w:sz w:val="24"/>
                <w:szCs w:val="24"/>
              </w:rPr>
              <w:t xml:space="preserve"> </w:t>
            </w:r>
            <w:r w:rsidR="001D1F57" w:rsidRPr="001D1F57">
              <w:rPr>
                <w:rStyle w:val="cf11"/>
                <w:rFonts w:ascii="Times New Roman" w:hAnsi="Times New Roman" w:cs="Times New Roman"/>
                <w:sz w:val="24"/>
                <w:szCs w:val="24"/>
              </w:rPr>
              <w:t>115</w:t>
            </w:r>
            <w:r w:rsidRPr="001D1F57">
              <w:rPr>
                <w:rStyle w:val="cf01"/>
                <w:rFonts w:ascii="Times New Roman" w:hAnsi="Times New Roman" w:cs="Times New Roman"/>
                <w:sz w:val="24"/>
                <w:szCs w:val="24"/>
              </w:rPr>
              <w:t>. panta 1. punkts paredz,</w:t>
            </w:r>
            <w:r w:rsidRPr="006952E1">
              <w:rPr>
                <w:rStyle w:val="cf01"/>
                <w:rFonts w:ascii="Times New Roman" w:hAnsi="Times New Roman" w:cs="Times New Roman"/>
                <w:sz w:val="24"/>
                <w:szCs w:val="24"/>
              </w:rPr>
              <w:t xml:space="preserve"> ka dalībvalstis paziņo Eiropas Komisijai par šīs direktīvas prasību izpildi. </w:t>
            </w:r>
          </w:p>
          <w:p w14:paraId="2D28B284" w14:textId="77777777" w:rsidR="006952E1" w:rsidRPr="006952E1" w:rsidRDefault="006952E1" w:rsidP="00CA5C85">
            <w:pPr>
              <w:rPr>
                <w:rStyle w:val="cf01"/>
                <w:rFonts w:ascii="Times New Roman" w:hAnsi="Times New Roman" w:cs="Times New Roman"/>
                <w:sz w:val="24"/>
                <w:szCs w:val="24"/>
              </w:rPr>
            </w:pPr>
          </w:p>
          <w:p w14:paraId="1861296D" w14:textId="79E65BBF" w:rsidR="006952E1" w:rsidRPr="006952E1" w:rsidRDefault="006952E1" w:rsidP="00CA5C85">
            <w:pPr>
              <w:rPr>
                <w:rStyle w:val="cf01"/>
                <w:rFonts w:ascii="Times New Roman" w:hAnsi="Times New Roman" w:cs="Times New Roman"/>
                <w:sz w:val="24"/>
                <w:szCs w:val="24"/>
              </w:rPr>
            </w:pPr>
            <w:r w:rsidRPr="006952E1">
              <w:rPr>
                <w:rStyle w:val="cf01"/>
                <w:rFonts w:ascii="Times New Roman" w:hAnsi="Times New Roman" w:cs="Times New Roman"/>
                <w:sz w:val="24"/>
                <w:szCs w:val="24"/>
              </w:rPr>
              <w:t>Minēto paziņošanas pienākumu izpildīs Finanšu ministrija, sniedzot paziņojumu Eiropas Komisijai pēc projekta apstiprināšanas Latvijas Bankas padomē.</w:t>
            </w:r>
          </w:p>
          <w:p w14:paraId="627EFC4F" w14:textId="5D7F5B81" w:rsidR="006952E1" w:rsidRPr="006952E1" w:rsidRDefault="006952E1" w:rsidP="00CA5C85">
            <w:pPr>
              <w:rPr>
                <w:rStyle w:val="cf01"/>
                <w:rFonts w:ascii="Times New Roman" w:hAnsi="Times New Roman" w:cs="Times New Roman"/>
                <w:sz w:val="24"/>
                <w:szCs w:val="24"/>
                <w:highlight w:val="yellow"/>
              </w:rPr>
            </w:pPr>
          </w:p>
        </w:tc>
      </w:tr>
      <w:tr w:rsidR="000F752E" w:rsidRPr="006952E1" w14:paraId="4B4775A6" w14:textId="77777777" w:rsidTr="00F31EE6">
        <w:trPr>
          <w:trHeight w:val="562"/>
        </w:trPr>
        <w:tc>
          <w:tcPr>
            <w:tcW w:w="2665" w:type="dxa"/>
            <w:tcBorders>
              <w:top w:val="nil"/>
              <w:left w:val="single" w:sz="4" w:space="0" w:color="auto"/>
              <w:bottom w:val="single" w:sz="4" w:space="0" w:color="auto"/>
              <w:right w:val="single" w:sz="4" w:space="0" w:color="auto"/>
            </w:tcBorders>
          </w:tcPr>
          <w:p w14:paraId="693D24DD" w14:textId="77777777" w:rsidR="000F752E" w:rsidRPr="006952E1" w:rsidRDefault="000F752E" w:rsidP="00CA5C85">
            <w:pPr>
              <w:rPr>
                <w:rStyle w:val="cf01"/>
                <w:rFonts w:ascii="Times New Roman" w:hAnsi="Times New Roman" w:cs="Times New Roman"/>
                <w:sz w:val="24"/>
                <w:szCs w:val="24"/>
                <w:highlight w:val="yellow"/>
              </w:rPr>
            </w:pPr>
          </w:p>
        </w:tc>
        <w:tc>
          <w:tcPr>
            <w:tcW w:w="2150" w:type="dxa"/>
            <w:tcBorders>
              <w:top w:val="nil"/>
              <w:left w:val="single" w:sz="4" w:space="0" w:color="auto"/>
              <w:bottom w:val="single" w:sz="4" w:space="0" w:color="auto"/>
              <w:right w:val="single" w:sz="4" w:space="0" w:color="auto"/>
            </w:tcBorders>
          </w:tcPr>
          <w:p w14:paraId="69BC1736" w14:textId="77777777" w:rsidR="000F752E" w:rsidRPr="006952E1" w:rsidRDefault="000F752E" w:rsidP="00CA5C85">
            <w:pPr>
              <w:rPr>
                <w:rStyle w:val="cf01"/>
                <w:rFonts w:ascii="Times New Roman" w:hAnsi="Times New Roman" w:cs="Times New Roman"/>
                <w:sz w:val="24"/>
                <w:szCs w:val="24"/>
                <w:highlight w:val="yellow"/>
              </w:rPr>
            </w:pPr>
          </w:p>
        </w:tc>
        <w:tc>
          <w:tcPr>
            <w:tcW w:w="2551" w:type="dxa"/>
            <w:tcBorders>
              <w:top w:val="nil"/>
              <w:left w:val="single" w:sz="4" w:space="0" w:color="auto"/>
              <w:bottom w:val="single" w:sz="4" w:space="0" w:color="auto"/>
              <w:right w:val="single" w:sz="4" w:space="0" w:color="auto"/>
            </w:tcBorders>
          </w:tcPr>
          <w:p w14:paraId="6FD36627" w14:textId="77777777" w:rsidR="000F752E" w:rsidRPr="006952E1" w:rsidRDefault="000F752E" w:rsidP="00CA5C85">
            <w:pPr>
              <w:rPr>
                <w:rStyle w:val="cf01"/>
                <w:rFonts w:ascii="Times New Roman" w:hAnsi="Times New Roman" w:cs="Times New Roman"/>
                <w:sz w:val="24"/>
                <w:szCs w:val="24"/>
                <w:highlight w:val="yellow"/>
              </w:rPr>
            </w:pPr>
          </w:p>
        </w:tc>
        <w:tc>
          <w:tcPr>
            <w:tcW w:w="2268" w:type="dxa"/>
            <w:tcBorders>
              <w:top w:val="nil"/>
              <w:left w:val="single" w:sz="4" w:space="0" w:color="auto"/>
              <w:bottom w:val="single" w:sz="4" w:space="0" w:color="auto"/>
              <w:right w:val="single" w:sz="4" w:space="0" w:color="auto"/>
            </w:tcBorders>
          </w:tcPr>
          <w:p w14:paraId="1C02E9D2" w14:textId="77777777" w:rsidR="000F752E" w:rsidRPr="006952E1" w:rsidRDefault="000F752E" w:rsidP="00CA5C85">
            <w:pPr>
              <w:rPr>
                <w:rStyle w:val="cf01"/>
                <w:rFonts w:ascii="Times New Roman" w:hAnsi="Times New Roman" w:cs="Times New Roman"/>
                <w:sz w:val="24"/>
                <w:szCs w:val="24"/>
                <w:highlight w:val="yellow"/>
              </w:rPr>
            </w:pPr>
          </w:p>
        </w:tc>
        <w:tc>
          <w:tcPr>
            <w:tcW w:w="2127" w:type="dxa"/>
            <w:tcBorders>
              <w:top w:val="nil"/>
              <w:left w:val="single" w:sz="4" w:space="0" w:color="auto"/>
              <w:bottom w:val="single" w:sz="4" w:space="0" w:color="auto"/>
              <w:right w:val="single" w:sz="4" w:space="0" w:color="auto"/>
            </w:tcBorders>
          </w:tcPr>
          <w:p w14:paraId="523A533E" w14:textId="52310F53" w:rsidR="000F752E" w:rsidRPr="006952E1" w:rsidRDefault="000F752E" w:rsidP="00CA5C85">
            <w:pPr>
              <w:rPr>
                <w:rStyle w:val="cf01"/>
                <w:rFonts w:ascii="Times New Roman" w:hAnsi="Times New Roman" w:cs="Times New Roman"/>
                <w:sz w:val="24"/>
                <w:szCs w:val="24"/>
                <w:highlight w:val="yellow"/>
              </w:rPr>
            </w:pPr>
          </w:p>
        </w:tc>
        <w:tc>
          <w:tcPr>
            <w:tcW w:w="3118" w:type="dxa"/>
            <w:vMerge/>
            <w:tcBorders>
              <w:top w:val="nil"/>
              <w:left w:val="single" w:sz="4" w:space="0" w:color="auto"/>
              <w:bottom w:val="single" w:sz="4" w:space="0" w:color="auto"/>
              <w:right w:val="single" w:sz="4" w:space="0" w:color="auto"/>
            </w:tcBorders>
          </w:tcPr>
          <w:p w14:paraId="2298642A" w14:textId="77777777" w:rsidR="000F752E" w:rsidRPr="006952E1" w:rsidRDefault="000F752E" w:rsidP="00CA5C85">
            <w:pPr>
              <w:rPr>
                <w:rStyle w:val="cf01"/>
                <w:rFonts w:ascii="Times New Roman" w:hAnsi="Times New Roman" w:cs="Times New Roman"/>
                <w:sz w:val="24"/>
                <w:szCs w:val="24"/>
                <w:highlight w:val="yellow"/>
              </w:rPr>
            </w:pPr>
          </w:p>
        </w:tc>
      </w:tr>
      <w:tr w:rsidR="000F752E" w:rsidRPr="006952E1" w14:paraId="111A3F51" w14:textId="77777777" w:rsidTr="00F31EE6">
        <w:trPr>
          <w:trHeight w:val="562"/>
        </w:trPr>
        <w:tc>
          <w:tcPr>
            <w:tcW w:w="2665" w:type="dxa"/>
            <w:tcBorders>
              <w:top w:val="single" w:sz="4" w:space="0" w:color="auto"/>
              <w:left w:val="single" w:sz="4" w:space="0" w:color="auto"/>
              <w:bottom w:val="single" w:sz="4" w:space="0" w:color="auto"/>
              <w:right w:val="single" w:sz="4" w:space="0" w:color="auto"/>
            </w:tcBorders>
          </w:tcPr>
          <w:p w14:paraId="1A6DD810" w14:textId="67A6A286" w:rsidR="000F752E" w:rsidRPr="00053045" w:rsidRDefault="00F31EE6" w:rsidP="00CA5C85">
            <w:pPr>
              <w:rPr>
                <w:rStyle w:val="cf01"/>
                <w:rFonts w:ascii="Times New Roman" w:hAnsi="Times New Roman" w:cs="Times New Roman"/>
                <w:sz w:val="24"/>
                <w:szCs w:val="24"/>
                <w:highlight w:val="yellow"/>
              </w:rPr>
            </w:pPr>
            <w:r w:rsidRPr="009004C9">
              <w:rPr>
                <w:rFonts w:ascii="Times New Roman" w:eastAsia="Times New Roman" w:hAnsi="Times New Roman" w:cs="Times New Roman"/>
                <w:sz w:val="24"/>
                <w:szCs w:val="24"/>
                <w:lang w:eastAsia="lv-LV"/>
              </w:rPr>
              <w:t>Direktīvas 2009/110</w:t>
            </w:r>
            <w:r w:rsidRPr="009004C9">
              <w:rPr>
                <w:rStyle w:val="cf01"/>
                <w:rFonts w:ascii="Times New Roman" w:hAnsi="Times New Roman" w:cs="Times New Roman"/>
                <w:sz w:val="24"/>
                <w:szCs w:val="24"/>
              </w:rPr>
              <w:t xml:space="preserve"> </w:t>
            </w:r>
            <w:r w:rsidR="00053045" w:rsidRPr="009004C9">
              <w:rPr>
                <w:rStyle w:val="cf01"/>
                <w:rFonts w:ascii="Times New Roman" w:hAnsi="Times New Roman" w:cs="Times New Roman"/>
                <w:sz w:val="24"/>
                <w:szCs w:val="24"/>
              </w:rPr>
              <w:t>7.</w:t>
            </w:r>
            <w:r w:rsidR="009004C9" w:rsidRPr="009004C9">
              <w:rPr>
                <w:rStyle w:val="cf01"/>
                <w:rFonts w:ascii="Times New Roman" w:hAnsi="Times New Roman" w:cs="Times New Roman"/>
                <w:sz w:val="24"/>
                <w:szCs w:val="24"/>
              </w:rPr>
              <w:t> </w:t>
            </w:r>
            <w:r w:rsidR="00053045" w:rsidRPr="009004C9">
              <w:rPr>
                <w:rStyle w:val="cf01"/>
                <w:rFonts w:ascii="Times New Roman" w:hAnsi="Times New Roman" w:cs="Times New Roman"/>
                <w:sz w:val="24"/>
                <w:szCs w:val="24"/>
              </w:rPr>
              <w:t>panta 2.</w:t>
            </w:r>
            <w:r w:rsidR="009004C9" w:rsidRPr="009004C9">
              <w:rPr>
                <w:rStyle w:val="cf01"/>
                <w:rFonts w:ascii="Times New Roman" w:hAnsi="Times New Roman" w:cs="Times New Roman"/>
                <w:sz w:val="24"/>
                <w:szCs w:val="24"/>
              </w:rPr>
              <w:t> </w:t>
            </w:r>
            <w:r w:rsidR="00053045" w:rsidRPr="009004C9">
              <w:rPr>
                <w:rStyle w:val="cf01"/>
                <w:rFonts w:ascii="Times New Roman" w:hAnsi="Times New Roman" w:cs="Times New Roman"/>
                <w:sz w:val="24"/>
                <w:szCs w:val="24"/>
              </w:rPr>
              <w:t>punkts</w:t>
            </w:r>
          </w:p>
        </w:tc>
        <w:tc>
          <w:tcPr>
            <w:tcW w:w="2150" w:type="dxa"/>
            <w:tcBorders>
              <w:top w:val="single" w:sz="4" w:space="0" w:color="auto"/>
              <w:left w:val="single" w:sz="4" w:space="0" w:color="auto"/>
              <w:bottom w:val="single" w:sz="4" w:space="0" w:color="auto"/>
              <w:right w:val="single" w:sz="4" w:space="0" w:color="auto"/>
            </w:tcBorders>
          </w:tcPr>
          <w:p w14:paraId="03068D65" w14:textId="5770CC68" w:rsidR="000F752E" w:rsidRPr="009004C9" w:rsidRDefault="00053045" w:rsidP="00CA5C85">
            <w:pPr>
              <w:rPr>
                <w:rStyle w:val="cf01"/>
                <w:rFonts w:ascii="Times New Roman" w:hAnsi="Times New Roman" w:cs="Times New Roman"/>
                <w:sz w:val="24"/>
                <w:szCs w:val="24"/>
              </w:rPr>
            </w:pPr>
            <w:r w:rsidRPr="009004C9">
              <w:rPr>
                <w:rStyle w:val="cf01"/>
                <w:rFonts w:ascii="Times New Roman" w:hAnsi="Times New Roman" w:cs="Times New Roman"/>
                <w:sz w:val="24"/>
                <w:szCs w:val="24"/>
              </w:rPr>
              <w:t xml:space="preserve">Projekta </w:t>
            </w:r>
            <w:r w:rsidR="004F756C" w:rsidRPr="004F756C">
              <w:rPr>
                <w:rStyle w:val="cf01"/>
                <w:rFonts w:ascii="Times New Roman" w:hAnsi="Times New Roman" w:cs="Times New Roman"/>
                <w:sz w:val="24"/>
                <w:szCs w:val="24"/>
              </w:rPr>
              <w:t>4</w:t>
            </w:r>
            <w:r w:rsidR="00245BE9">
              <w:rPr>
                <w:rStyle w:val="cf01"/>
                <w:rFonts w:ascii="Times New Roman" w:hAnsi="Times New Roman" w:cs="Times New Roman"/>
                <w:sz w:val="24"/>
                <w:szCs w:val="24"/>
              </w:rPr>
              <w:t>6</w:t>
            </w:r>
            <w:r w:rsidRPr="004F756C">
              <w:rPr>
                <w:rStyle w:val="cf01"/>
                <w:rFonts w:ascii="Times New Roman" w:hAnsi="Times New Roman" w:cs="Times New Roman"/>
                <w:sz w:val="24"/>
                <w:szCs w:val="24"/>
              </w:rPr>
              <w:t>.</w:t>
            </w:r>
            <w:r w:rsidR="009004C9" w:rsidRPr="004F756C">
              <w:rPr>
                <w:rStyle w:val="cf01"/>
                <w:rFonts w:ascii="Times New Roman" w:hAnsi="Times New Roman" w:cs="Times New Roman"/>
                <w:sz w:val="24"/>
                <w:szCs w:val="24"/>
              </w:rPr>
              <w:t> </w:t>
            </w:r>
            <w:r w:rsidRPr="004F756C">
              <w:rPr>
                <w:rStyle w:val="cf01"/>
                <w:rFonts w:ascii="Times New Roman" w:hAnsi="Times New Roman" w:cs="Times New Roman"/>
                <w:sz w:val="24"/>
                <w:szCs w:val="24"/>
              </w:rPr>
              <w:t>punkts</w:t>
            </w:r>
          </w:p>
        </w:tc>
        <w:tc>
          <w:tcPr>
            <w:tcW w:w="2551" w:type="dxa"/>
            <w:tcBorders>
              <w:top w:val="single" w:sz="4" w:space="0" w:color="auto"/>
              <w:left w:val="single" w:sz="4" w:space="0" w:color="auto"/>
              <w:bottom w:val="single" w:sz="4" w:space="0" w:color="auto"/>
              <w:right w:val="single" w:sz="4" w:space="0" w:color="auto"/>
            </w:tcBorders>
          </w:tcPr>
          <w:p w14:paraId="2D6B1C48" w14:textId="3193FF86" w:rsidR="000F752E" w:rsidRPr="009004C9" w:rsidRDefault="009004C9" w:rsidP="00CA5C85">
            <w:pPr>
              <w:rPr>
                <w:rStyle w:val="cf01"/>
                <w:rFonts w:ascii="Times New Roman" w:hAnsi="Times New Roman" w:cs="Times New Roman"/>
                <w:sz w:val="24"/>
                <w:szCs w:val="24"/>
              </w:rPr>
            </w:pPr>
            <w:r w:rsidRPr="009004C9">
              <w:rPr>
                <w:rStyle w:val="cf01"/>
                <w:rFonts w:ascii="Times New Roman" w:hAnsi="Times New Roman" w:cs="Times New Roman"/>
                <w:sz w:val="24"/>
                <w:szCs w:val="24"/>
              </w:rPr>
              <w:t>Izpilda pilnībā</w:t>
            </w:r>
          </w:p>
        </w:tc>
        <w:tc>
          <w:tcPr>
            <w:tcW w:w="2268" w:type="dxa"/>
            <w:tcBorders>
              <w:top w:val="single" w:sz="4" w:space="0" w:color="auto"/>
              <w:left w:val="single" w:sz="4" w:space="0" w:color="auto"/>
              <w:bottom w:val="single" w:sz="4" w:space="0" w:color="auto"/>
              <w:right w:val="single" w:sz="4" w:space="0" w:color="auto"/>
            </w:tcBorders>
          </w:tcPr>
          <w:p w14:paraId="0128BFAB" w14:textId="4BA20453" w:rsidR="000F752E" w:rsidRPr="009004C9" w:rsidRDefault="009004C9" w:rsidP="00CA5C85">
            <w:pPr>
              <w:rPr>
                <w:rStyle w:val="cf01"/>
                <w:rFonts w:ascii="Times New Roman" w:hAnsi="Times New Roman" w:cs="Times New Roman"/>
                <w:sz w:val="24"/>
                <w:szCs w:val="24"/>
              </w:rPr>
            </w:pPr>
            <w:r w:rsidRPr="009004C9">
              <w:rPr>
                <w:rStyle w:val="cf01"/>
                <w:rFonts w:ascii="Times New Roman" w:hAnsi="Times New Roman" w:cs="Times New Roman"/>
                <w:sz w:val="24"/>
                <w:szCs w:val="24"/>
              </w:rPr>
              <w:t>Nē</w:t>
            </w:r>
          </w:p>
        </w:tc>
        <w:tc>
          <w:tcPr>
            <w:tcW w:w="2127" w:type="dxa"/>
            <w:tcBorders>
              <w:top w:val="single" w:sz="4" w:space="0" w:color="auto"/>
              <w:left w:val="single" w:sz="4" w:space="0" w:color="auto"/>
              <w:bottom w:val="single" w:sz="4" w:space="0" w:color="auto"/>
              <w:right w:val="single" w:sz="4" w:space="0" w:color="auto"/>
            </w:tcBorders>
          </w:tcPr>
          <w:p w14:paraId="134DAE82" w14:textId="2E2DF8C9" w:rsidR="000F752E" w:rsidRPr="009004C9" w:rsidRDefault="009004C9" w:rsidP="00CA5C85">
            <w:pPr>
              <w:rPr>
                <w:rStyle w:val="cf01"/>
                <w:rFonts w:ascii="Times New Roman" w:hAnsi="Times New Roman" w:cs="Times New Roman"/>
                <w:sz w:val="24"/>
                <w:szCs w:val="24"/>
              </w:rPr>
            </w:pPr>
            <w:r w:rsidRPr="009004C9">
              <w:rPr>
                <w:rStyle w:val="cf01"/>
                <w:rFonts w:ascii="Times New Roman" w:hAnsi="Times New Roman" w:cs="Times New Roman"/>
                <w:sz w:val="24"/>
                <w:szCs w:val="24"/>
              </w:rPr>
              <w:t>Jā</w:t>
            </w:r>
          </w:p>
        </w:tc>
        <w:tc>
          <w:tcPr>
            <w:tcW w:w="3118" w:type="dxa"/>
            <w:tcBorders>
              <w:top w:val="single" w:sz="4" w:space="0" w:color="auto"/>
              <w:left w:val="single" w:sz="4" w:space="0" w:color="auto"/>
              <w:bottom w:val="single" w:sz="4" w:space="0" w:color="auto"/>
              <w:right w:val="single" w:sz="4" w:space="0" w:color="auto"/>
            </w:tcBorders>
          </w:tcPr>
          <w:p w14:paraId="569CEED7" w14:textId="73F91583" w:rsidR="009004C9" w:rsidRPr="006952E1" w:rsidRDefault="009004C9" w:rsidP="009004C9">
            <w:pPr>
              <w:rPr>
                <w:rStyle w:val="cf01"/>
                <w:rFonts w:ascii="Times New Roman" w:hAnsi="Times New Roman" w:cs="Times New Roman"/>
                <w:sz w:val="24"/>
                <w:szCs w:val="24"/>
                <w:highlight w:val="yellow"/>
              </w:rPr>
            </w:pPr>
            <w:r w:rsidRPr="001D1F57">
              <w:rPr>
                <w:rStyle w:val="cf01"/>
                <w:rFonts w:ascii="Times New Roman" w:hAnsi="Times New Roman" w:cs="Times New Roman"/>
                <w:sz w:val="24"/>
                <w:szCs w:val="24"/>
              </w:rPr>
              <w:t xml:space="preserve">Direktīvas </w:t>
            </w:r>
            <w:r w:rsidRPr="001D1F57">
              <w:rPr>
                <w:rStyle w:val="cf11"/>
                <w:rFonts w:ascii="Times New Roman" w:hAnsi="Times New Roman" w:cs="Times New Roman"/>
                <w:sz w:val="24"/>
                <w:szCs w:val="24"/>
              </w:rPr>
              <w:t>20</w:t>
            </w:r>
            <w:r>
              <w:rPr>
                <w:rStyle w:val="cf11"/>
                <w:rFonts w:ascii="Times New Roman" w:hAnsi="Times New Roman" w:cs="Times New Roman"/>
                <w:sz w:val="24"/>
                <w:szCs w:val="24"/>
              </w:rPr>
              <w:t>09</w:t>
            </w:r>
            <w:r w:rsidRPr="001D1F57">
              <w:rPr>
                <w:rStyle w:val="cf11"/>
                <w:rFonts w:ascii="Times New Roman" w:hAnsi="Times New Roman" w:cs="Times New Roman"/>
                <w:sz w:val="24"/>
                <w:szCs w:val="24"/>
              </w:rPr>
              <w:t>/</w:t>
            </w:r>
            <w:r>
              <w:rPr>
                <w:rStyle w:val="cf11"/>
                <w:rFonts w:ascii="Times New Roman" w:hAnsi="Times New Roman" w:cs="Times New Roman"/>
                <w:sz w:val="24"/>
                <w:szCs w:val="24"/>
              </w:rPr>
              <w:t>110</w:t>
            </w:r>
            <w:r w:rsidRPr="001D1F57">
              <w:rPr>
                <w:rStyle w:val="cf11"/>
                <w:rFonts w:ascii="Times New Roman" w:hAnsi="Times New Roman" w:cs="Times New Roman"/>
                <w:sz w:val="24"/>
                <w:szCs w:val="24"/>
              </w:rPr>
              <w:t xml:space="preserve"> </w:t>
            </w:r>
            <w:r>
              <w:rPr>
                <w:rStyle w:val="cf11"/>
                <w:rFonts w:ascii="Times New Roman" w:hAnsi="Times New Roman" w:cs="Times New Roman"/>
                <w:sz w:val="24"/>
                <w:szCs w:val="24"/>
              </w:rPr>
              <w:t>22</w:t>
            </w:r>
            <w:r w:rsidRPr="001D1F57">
              <w:rPr>
                <w:rStyle w:val="cf01"/>
                <w:rFonts w:ascii="Times New Roman" w:hAnsi="Times New Roman" w:cs="Times New Roman"/>
                <w:sz w:val="24"/>
                <w:szCs w:val="24"/>
              </w:rPr>
              <w:t>. panta 1. punkts paredz,</w:t>
            </w:r>
            <w:r w:rsidRPr="006952E1">
              <w:rPr>
                <w:rStyle w:val="cf01"/>
                <w:rFonts w:ascii="Times New Roman" w:hAnsi="Times New Roman" w:cs="Times New Roman"/>
                <w:sz w:val="24"/>
                <w:szCs w:val="24"/>
              </w:rPr>
              <w:t xml:space="preserve"> ka dalībvalstis paziņo Eiropas Komisijai par šīs direktīvas prasību izpildi. </w:t>
            </w:r>
          </w:p>
          <w:p w14:paraId="5D8382C6" w14:textId="77777777" w:rsidR="009004C9" w:rsidRPr="006952E1" w:rsidRDefault="009004C9" w:rsidP="009004C9">
            <w:pPr>
              <w:rPr>
                <w:rStyle w:val="cf01"/>
                <w:rFonts w:ascii="Times New Roman" w:hAnsi="Times New Roman" w:cs="Times New Roman"/>
                <w:sz w:val="24"/>
                <w:szCs w:val="24"/>
              </w:rPr>
            </w:pPr>
          </w:p>
          <w:p w14:paraId="193CC983" w14:textId="77777777" w:rsidR="009004C9" w:rsidRPr="006952E1" w:rsidRDefault="009004C9" w:rsidP="009004C9">
            <w:pPr>
              <w:rPr>
                <w:rStyle w:val="cf01"/>
                <w:rFonts w:ascii="Times New Roman" w:hAnsi="Times New Roman" w:cs="Times New Roman"/>
                <w:sz w:val="24"/>
                <w:szCs w:val="24"/>
              </w:rPr>
            </w:pPr>
            <w:r w:rsidRPr="006952E1">
              <w:rPr>
                <w:rStyle w:val="cf01"/>
                <w:rFonts w:ascii="Times New Roman" w:hAnsi="Times New Roman" w:cs="Times New Roman"/>
                <w:sz w:val="24"/>
                <w:szCs w:val="24"/>
              </w:rPr>
              <w:t xml:space="preserve">Minēto paziņošanas pienākumu izpildīs Finanšu ministrija, sniedzot paziņojumu Eiropas Komisijai pēc projekta </w:t>
            </w:r>
            <w:r w:rsidRPr="006952E1">
              <w:rPr>
                <w:rStyle w:val="cf01"/>
                <w:rFonts w:ascii="Times New Roman" w:hAnsi="Times New Roman" w:cs="Times New Roman"/>
                <w:sz w:val="24"/>
                <w:szCs w:val="24"/>
              </w:rPr>
              <w:lastRenderedPageBreak/>
              <w:t>apstiprināšanas Latvijas Bankas padomē.</w:t>
            </w:r>
          </w:p>
          <w:p w14:paraId="262C6B39" w14:textId="37E91080" w:rsidR="000F752E" w:rsidRPr="006952E1" w:rsidRDefault="000F752E" w:rsidP="009004C9">
            <w:pPr>
              <w:rPr>
                <w:rStyle w:val="cf01"/>
                <w:rFonts w:ascii="Times New Roman" w:hAnsi="Times New Roman" w:cs="Times New Roman"/>
                <w:sz w:val="24"/>
                <w:szCs w:val="24"/>
                <w:highlight w:val="yellow"/>
              </w:rPr>
            </w:pPr>
          </w:p>
        </w:tc>
      </w:tr>
    </w:tbl>
    <w:p w14:paraId="70BC86BD" w14:textId="77777777" w:rsidR="006952E1" w:rsidRPr="006952E1" w:rsidRDefault="006952E1" w:rsidP="006952E1">
      <w:pPr>
        <w:rPr>
          <w:rFonts w:ascii="Times New Roman" w:hAnsi="Times New Roman" w:cs="Times New Roman"/>
          <w:color w:val="000000" w:themeColor="text1"/>
          <w:sz w:val="24"/>
          <w:szCs w:val="24"/>
        </w:rPr>
      </w:pPr>
    </w:p>
    <w:sectPr w:rsidR="006952E1" w:rsidRPr="006952E1" w:rsidSect="007B1360">
      <w:pgSz w:w="16838" w:h="11906" w:orient="landscape"/>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AED6D" w14:textId="77777777" w:rsidR="009070B0" w:rsidRDefault="009070B0" w:rsidP="004D7D20">
      <w:pPr>
        <w:spacing w:after="0" w:line="240" w:lineRule="auto"/>
      </w:pPr>
      <w:r>
        <w:separator/>
      </w:r>
    </w:p>
  </w:endnote>
  <w:endnote w:type="continuationSeparator" w:id="0">
    <w:p w14:paraId="2BD9A45B" w14:textId="77777777" w:rsidR="009070B0" w:rsidRDefault="009070B0" w:rsidP="004D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E6F3A" w14:textId="77777777" w:rsidR="009070B0" w:rsidRDefault="009070B0" w:rsidP="004D7D20">
      <w:pPr>
        <w:spacing w:after="0" w:line="240" w:lineRule="auto"/>
      </w:pPr>
      <w:r>
        <w:separator/>
      </w:r>
    </w:p>
  </w:footnote>
  <w:footnote w:type="continuationSeparator" w:id="0">
    <w:p w14:paraId="5F867862" w14:textId="77777777" w:rsidR="009070B0" w:rsidRDefault="009070B0" w:rsidP="004D7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450493"/>
      <w:docPartObj>
        <w:docPartGallery w:val="Page Numbers (Top of Page)"/>
        <w:docPartUnique/>
      </w:docPartObj>
    </w:sdtPr>
    <w:sdtEndPr>
      <w:rPr>
        <w:rFonts w:ascii="Times New Roman" w:hAnsi="Times New Roman" w:cs="Times New Roman"/>
        <w:sz w:val="24"/>
        <w:szCs w:val="24"/>
      </w:rPr>
    </w:sdtEndPr>
    <w:sdtContent>
      <w:p w14:paraId="6AB3F191" w14:textId="6907065D" w:rsidR="001F4EF1" w:rsidRPr="0018184F" w:rsidRDefault="001F4EF1">
        <w:pPr>
          <w:pStyle w:val="Galvene"/>
          <w:jc w:val="center"/>
          <w:rPr>
            <w:rFonts w:ascii="Times New Roman" w:hAnsi="Times New Roman" w:cs="Times New Roman"/>
            <w:sz w:val="24"/>
            <w:szCs w:val="24"/>
          </w:rPr>
        </w:pPr>
        <w:r w:rsidRPr="0018184F">
          <w:rPr>
            <w:rFonts w:ascii="Times New Roman" w:hAnsi="Times New Roman" w:cs="Times New Roman"/>
            <w:sz w:val="24"/>
            <w:szCs w:val="24"/>
          </w:rPr>
          <w:fldChar w:fldCharType="begin"/>
        </w:r>
        <w:r w:rsidRPr="0018184F">
          <w:rPr>
            <w:rFonts w:ascii="Times New Roman" w:hAnsi="Times New Roman" w:cs="Times New Roman"/>
            <w:sz w:val="24"/>
            <w:szCs w:val="24"/>
          </w:rPr>
          <w:instrText>PAGE   \* MERGEFORMAT</w:instrText>
        </w:r>
        <w:r w:rsidRPr="0018184F">
          <w:rPr>
            <w:rFonts w:ascii="Times New Roman" w:hAnsi="Times New Roman" w:cs="Times New Roman"/>
            <w:sz w:val="24"/>
            <w:szCs w:val="24"/>
          </w:rPr>
          <w:fldChar w:fldCharType="separate"/>
        </w:r>
        <w:r w:rsidRPr="0018184F">
          <w:rPr>
            <w:rFonts w:ascii="Times New Roman" w:hAnsi="Times New Roman" w:cs="Times New Roman"/>
            <w:sz w:val="24"/>
            <w:szCs w:val="24"/>
          </w:rPr>
          <w:t>2</w:t>
        </w:r>
        <w:r w:rsidRPr="0018184F">
          <w:rPr>
            <w:rFonts w:ascii="Times New Roman" w:hAnsi="Times New Roman" w:cs="Times New Roman"/>
            <w:sz w:val="24"/>
            <w:szCs w:val="24"/>
          </w:rPr>
          <w:fldChar w:fldCharType="end"/>
        </w:r>
      </w:p>
    </w:sdtContent>
  </w:sdt>
  <w:p w14:paraId="4713B36F" w14:textId="77777777" w:rsidR="00914B51" w:rsidRDefault="00914B51">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943EE"/>
    <w:multiLevelType w:val="hybridMultilevel"/>
    <w:tmpl w:val="0F548D9E"/>
    <w:lvl w:ilvl="0" w:tplc="6AF48CB0">
      <w:start w:val="1"/>
      <w:numFmt w:val="decimal"/>
      <w:lvlText w:val="%1)"/>
      <w:lvlJc w:val="left"/>
      <w:pPr>
        <w:ind w:left="720" w:hanging="360"/>
      </w:pPr>
      <w:rPr>
        <w:rFonts w:eastAsiaTheme="minorHAnsi" w:hint="default"/>
        <w:b w:val="0"/>
        <w:bCs/>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A503F61"/>
    <w:multiLevelType w:val="hybridMultilevel"/>
    <w:tmpl w:val="5F0AA1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E462498"/>
    <w:multiLevelType w:val="hybridMultilevel"/>
    <w:tmpl w:val="427E457E"/>
    <w:lvl w:ilvl="0" w:tplc="ED0EDB0E">
      <w:start w:val="2023"/>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58F611BD"/>
    <w:multiLevelType w:val="hybridMultilevel"/>
    <w:tmpl w:val="B336C4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D1651A"/>
    <w:multiLevelType w:val="hybridMultilevel"/>
    <w:tmpl w:val="BE7A03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20741383">
    <w:abstractNumId w:val="2"/>
  </w:num>
  <w:num w:numId="2" w16cid:durableId="219558385">
    <w:abstractNumId w:val="1"/>
  </w:num>
  <w:num w:numId="3" w16cid:durableId="253784293">
    <w:abstractNumId w:val="4"/>
  </w:num>
  <w:num w:numId="4" w16cid:durableId="1561595583">
    <w:abstractNumId w:val="3"/>
  </w:num>
  <w:num w:numId="5" w16cid:durableId="249589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20"/>
    <w:rsid w:val="00005D3B"/>
    <w:rsid w:val="00013443"/>
    <w:rsid w:val="000151B7"/>
    <w:rsid w:val="0003590D"/>
    <w:rsid w:val="000424A4"/>
    <w:rsid w:val="000434F8"/>
    <w:rsid w:val="000435A0"/>
    <w:rsid w:val="00052B8F"/>
    <w:rsid w:val="00053045"/>
    <w:rsid w:val="000620CA"/>
    <w:rsid w:val="00070518"/>
    <w:rsid w:val="000711B5"/>
    <w:rsid w:val="000754BB"/>
    <w:rsid w:val="00083B07"/>
    <w:rsid w:val="00084683"/>
    <w:rsid w:val="00093104"/>
    <w:rsid w:val="00094025"/>
    <w:rsid w:val="000A0EE9"/>
    <w:rsid w:val="000A360D"/>
    <w:rsid w:val="000A49BC"/>
    <w:rsid w:val="000B0418"/>
    <w:rsid w:val="000B0F0C"/>
    <w:rsid w:val="000B18AB"/>
    <w:rsid w:val="000B1C7D"/>
    <w:rsid w:val="000B491E"/>
    <w:rsid w:val="000B4A2E"/>
    <w:rsid w:val="000B4B85"/>
    <w:rsid w:val="000C4902"/>
    <w:rsid w:val="000C76AC"/>
    <w:rsid w:val="000D6E98"/>
    <w:rsid w:val="000D7B1E"/>
    <w:rsid w:val="000E1D27"/>
    <w:rsid w:val="000E5859"/>
    <w:rsid w:val="000E6700"/>
    <w:rsid w:val="000E7A67"/>
    <w:rsid w:val="000F752E"/>
    <w:rsid w:val="00100A93"/>
    <w:rsid w:val="0010496E"/>
    <w:rsid w:val="0011303F"/>
    <w:rsid w:val="001133A1"/>
    <w:rsid w:val="00123692"/>
    <w:rsid w:val="00147132"/>
    <w:rsid w:val="00147622"/>
    <w:rsid w:val="0015367A"/>
    <w:rsid w:val="00170221"/>
    <w:rsid w:val="00171022"/>
    <w:rsid w:val="0018184F"/>
    <w:rsid w:val="001827C1"/>
    <w:rsid w:val="0018395C"/>
    <w:rsid w:val="00184704"/>
    <w:rsid w:val="00190DDF"/>
    <w:rsid w:val="001A2F7D"/>
    <w:rsid w:val="001A77AD"/>
    <w:rsid w:val="001C03E8"/>
    <w:rsid w:val="001D0779"/>
    <w:rsid w:val="001D1F57"/>
    <w:rsid w:val="001E045D"/>
    <w:rsid w:val="001E0BB0"/>
    <w:rsid w:val="001E34F2"/>
    <w:rsid w:val="001E42C3"/>
    <w:rsid w:val="001E701B"/>
    <w:rsid w:val="001F4EF1"/>
    <w:rsid w:val="001F60BD"/>
    <w:rsid w:val="001F61C1"/>
    <w:rsid w:val="001F6CE3"/>
    <w:rsid w:val="0020468E"/>
    <w:rsid w:val="00210B1F"/>
    <w:rsid w:val="002113FD"/>
    <w:rsid w:val="00211D34"/>
    <w:rsid w:val="002126D1"/>
    <w:rsid w:val="00212A26"/>
    <w:rsid w:val="00213E69"/>
    <w:rsid w:val="002155A8"/>
    <w:rsid w:val="0021670E"/>
    <w:rsid w:val="00220B6E"/>
    <w:rsid w:val="00220EB4"/>
    <w:rsid w:val="0022165C"/>
    <w:rsid w:val="0022614E"/>
    <w:rsid w:val="002408A7"/>
    <w:rsid w:val="00242E4C"/>
    <w:rsid w:val="00245BE9"/>
    <w:rsid w:val="00246C08"/>
    <w:rsid w:val="00251046"/>
    <w:rsid w:val="00253CC3"/>
    <w:rsid w:val="00255F29"/>
    <w:rsid w:val="002621A4"/>
    <w:rsid w:val="00262A34"/>
    <w:rsid w:val="00267DB0"/>
    <w:rsid w:val="0027276E"/>
    <w:rsid w:val="00283B21"/>
    <w:rsid w:val="00283D41"/>
    <w:rsid w:val="002A6CA2"/>
    <w:rsid w:val="002B53AD"/>
    <w:rsid w:val="002C4E0D"/>
    <w:rsid w:val="002C6295"/>
    <w:rsid w:val="002D3FFE"/>
    <w:rsid w:val="002D4A37"/>
    <w:rsid w:val="002E1327"/>
    <w:rsid w:val="002E5FC9"/>
    <w:rsid w:val="002E635F"/>
    <w:rsid w:val="002F10D7"/>
    <w:rsid w:val="002F1C0C"/>
    <w:rsid w:val="00300178"/>
    <w:rsid w:val="00304AD5"/>
    <w:rsid w:val="0030749C"/>
    <w:rsid w:val="00312CED"/>
    <w:rsid w:val="00313DCA"/>
    <w:rsid w:val="00316B11"/>
    <w:rsid w:val="00317F16"/>
    <w:rsid w:val="00321062"/>
    <w:rsid w:val="00324765"/>
    <w:rsid w:val="003260EC"/>
    <w:rsid w:val="00326F2F"/>
    <w:rsid w:val="003311CD"/>
    <w:rsid w:val="0033120C"/>
    <w:rsid w:val="00331694"/>
    <w:rsid w:val="003340A7"/>
    <w:rsid w:val="00343634"/>
    <w:rsid w:val="003442A2"/>
    <w:rsid w:val="003502E8"/>
    <w:rsid w:val="003514E7"/>
    <w:rsid w:val="003528D3"/>
    <w:rsid w:val="003537BC"/>
    <w:rsid w:val="00361DD9"/>
    <w:rsid w:val="0036658F"/>
    <w:rsid w:val="00366CC3"/>
    <w:rsid w:val="003770FF"/>
    <w:rsid w:val="003876A6"/>
    <w:rsid w:val="003912A6"/>
    <w:rsid w:val="0039219C"/>
    <w:rsid w:val="00392C6F"/>
    <w:rsid w:val="003934A3"/>
    <w:rsid w:val="003A1547"/>
    <w:rsid w:val="003A7C34"/>
    <w:rsid w:val="003B01FF"/>
    <w:rsid w:val="003B0F31"/>
    <w:rsid w:val="003B33BA"/>
    <w:rsid w:val="003B5C31"/>
    <w:rsid w:val="003B7C70"/>
    <w:rsid w:val="003C2B3E"/>
    <w:rsid w:val="003D1C04"/>
    <w:rsid w:val="003E0020"/>
    <w:rsid w:val="003E04EB"/>
    <w:rsid w:val="003E559F"/>
    <w:rsid w:val="003F20B8"/>
    <w:rsid w:val="003F2BDA"/>
    <w:rsid w:val="0040095C"/>
    <w:rsid w:val="00404CD6"/>
    <w:rsid w:val="004050B5"/>
    <w:rsid w:val="00422A7C"/>
    <w:rsid w:val="00426B2C"/>
    <w:rsid w:val="00430307"/>
    <w:rsid w:val="00430443"/>
    <w:rsid w:val="00430A44"/>
    <w:rsid w:val="00437266"/>
    <w:rsid w:val="00441B3E"/>
    <w:rsid w:val="00442D8A"/>
    <w:rsid w:val="0044564D"/>
    <w:rsid w:val="004463D3"/>
    <w:rsid w:val="0045084D"/>
    <w:rsid w:val="00450C86"/>
    <w:rsid w:val="00456FAA"/>
    <w:rsid w:val="0046451C"/>
    <w:rsid w:val="00465DD0"/>
    <w:rsid w:val="004772FB"/>
    <w:rsid w:val="00481633"/>
    <w:rsid w:val="004816A5"/>
    <w:rsid w:val="00483FEF"/>
    <w:rsid w:val="00494F09"/>
    <w:rsid w:val="004A5D40"/>
    <w:rsid w:val="004A6F4E"/>
    <w:rsid w:val="004B3BBE"/>
    <w:rsid w:val="004B6B4B"/>
    <w:rsid w:val="004D1EB8"/>
    <w:rsid w:val="004D5218"/>
    <w:rsid w:val="004D63C1"/>
    <w:rsid w:val="004D7821"/>
    <w:rsid w:val="004D7D20"/>
    <w:rsid w:val="004E0F0D"/>
    <w:rsid w:val="004E3E7D"/>
    <w:rsid w:val="004E638F"/>
    <w:rsid w:val="004F068C"/>
    <w:rsid w:val="004F0FE1"/>
    <w:rsid w:val="004F226D"/>
    <w:rsid w:val="004F4693"/>
    <w:rsid w:val="004F5C09"/>
    <w:rsid w:val="004F756C"/>
    <w:rsid w:val="005028D8"/>
    <w:rsid w:val="0050352A"/>
    <w:rsid w:val="00520B95"/>
    <w:rsid w:val="005322CF"/>
    <w:rsid w:val="00533C38"/>
    <w:rsid w:val="005364B7"/>
    <w:rsid w:val="0055187E"/>
    <w:rsid w:val="00561840"/>
    <w:rsid w:val="00563073"/>
    <w:rsid w:val="00567DEF"/>
    <w:rsid w:val="005717A7"/>
    <w:rsid w:val="00571F5D"/>
    <w:rsid w:val="005721A2"/>
    <w:rsid w:val="00572BF3"/>
    <w:rsid w:val="0057360C"/>
    <w:rsid w:val="00577222"/>
    <w:rsid w:val="00580783"/>
    <w:rsid w:val="0059070B"/>
    <w:rsid w:val="00590EF4"/>
    <w:rsid w:val="00592E64"/>
    <w:rsid w:val="00593C7F"/>
    <w:rsid w:val="00593EB6"/>
    <w:rsid w:val="005945BA"/>
    <w:rsid w:val="00595003"/>
    <w:rsid w:val="005A2AB1"/>
    <w:rsid w:val="005A371C"/>
    <w:rsid w:val="005B0D79"/>
    <w:rsid w:val="005B38B3"/>
    <w:rsid w:val="005B682A"/>
    <w:rsid w:val="005B73FE"/>
    <w:rsid w:val="005B7F87"/>
    <w:rsid w:val="005C6F27"/>
    <w:rsid w:val="005C7A4E"/>
    <w:rsid w:val="005D0938"/>
    <w:rsid w:val="005D5510"/>
    <w:rsid w:val="005E2284"/>
    <w:rsid w:val="005E3B80"/>
    <w:rsid w:val="005E4E66"/>
    <w:rsid w:val="005E64B3"/>
    <w:rsid w:val="005E6F27"/>
    <w:rsid w:val="005F36CC"/>
    <w:rsid w:val="005F6090"/>
    <w:rsid w:val="00601D56"/>
    <w:rsid w:val="00603D98"/>
    <w:rsid w:val="00606810"/>
    <w:rsid w:val="00606FCF"/>
    <w:rsid w:val="00621B68"/>
    <w:rsid w:val="00624CE8"/>
    <w:rsid w:val="006307A1"/>
    <w:rsid w:val="00630FA7"/>
    <w:rsid w:val="00633E46"/>
    <w:rsid w:val="0063607A"/>
    <w:rsid w:val="00642BC4"/>
    <w:rsid w:val="006452B4"/>
    <w:rsid w:val="00650410"/>
    <w:rsid w:val="00653039"/>
    <w:rsid w:val="00653960"/>
    <w:rsid w:val="00656FF8"/>
    <w:rsid w:val="00657769"/>
    <w:rsid w:val="00665096"/>
    <w:rsid w:val="00665CAD"/>
    <w:rsid w:val="00673281"/>
    <w:rsid w:val="00680E40"/>
    <w:rsid w:val="0068263E"/>
    <w:rsid w:val="006827F2"/>
    <w:rsid w:val="0068372E"/>
    <w:rsid w:val="00686149"/>
    <w:rsid w:val="00686B6E"/>
    <w:rsid w:val="00690E9C"/>
    <w:rsid w:val="00693683"/>
    <w:rsid w:val="006952E1"/>
    <w:rsid w:val="006A3B94"/>
    <w:rsid w:val="006A4445"/>
    <w:rsid w:val="006A6073"/>
    <w:rsid w:val="006A7880"/>
    <w:rsid w:val="006C564A"/>
    <w:rsid w:val="006D077B"/>
    <w:rsid w:val="006D0C5C"/>
    <w:rsid w:val="006D5F36"/>
    <w:rsid w:val="006D6D82"/>
    <w:rsid w:val="006F5239"/>
    <w:rsid w:val="007048E4"/>
    <w:rsid w:val="00710686"/>
    <w:rsid w:val="0071625E"/>
    <w:rsid w:val="0071733C"/>
    <w:rsid w:val="007200D7"/>
    <w:rsid w:val="00721BEA"/>
    <w:rsid w:val="00724E3E"/>
    <w:rsid w:val="00731A18"/>
    <w:rsid w:val="0073254C"/>
    <w:rsid w:val="00736400"/>
    <w:rsid w:val="00736D49"/>
    <w:rsid w:val="00737059"/>
    <w:rsid w:val="007437A8"/>
    <w:rsid w:val="00745C0D"/>
    <w:rsid w:val="007539DC"/>
    <w:rsid w:val="00760EAA"/>
    <w:rsid w:val="0076100E"/>
    <w:rsid w:val="007657EB"/>
    <w:rsid w:val="007719B2"/>
    <w:rsid w:val="007747FE"/>
    <w:rsid w:val="007824EB"/>
    <w:rsid w:val="00786B14"/>
    <w:rsid w:val="00787487"/>
    <w:rsid w:val="00797204"/>
    <w:rsid w:val="00797917"/>
    <w:rsid w:val="007A4E6A"/>
    <w:rsid w:val="007A4EB3"/>
    <w:rsid w:val="007B1360"/>
    <w:rsid w:val="007B5799"/>
    <w:rsid w:val="007C059F"/>
    <w:rsid w:val="007C3713"/>
    <w:rsid w:val="007D3FB7"/>
    <w:rsid w:val="007E15C8"/>
    <w:rsid w:val="007E1BB5"/>
    <w:rsid w:val="007E4E5C"/>
    <w:rsid w:val="00800B4C"/>
    <w:rsid w:val="008051E4"/>
    <w:rsid w:val="0081067B"/>
    <w:rsid w:val="00817418"/>
    <w:rsid w:val="00821405"/>
    <w:rsid w:val="00822E71"/>
    <w:rsid w:val="00825D1F"/>
    <w:rsid w:val="00830037"/>
    <w:rsid w:val="0083376C"/>
    <w:rsid w:val="00834471"/>
    <w:rsid w:val="00835821"/>
    <w:rsid w:val="00835D81"/>
    <w:rsid w:val="00836D64"/>
    <w:rsid w:val="0084323D"/>
    <w:rsid w:val="00845440"/>
    <w:rsid w:val="00850217"/>
    <w:rsid w:val="00851C5D"/>
    <w:rsid w:val="00853301"/>
    <w:rsid w:val="00854E07"/>
    <w:rsid w:val="00857843"/>
    <w:rsid w:val="00861A27"/>
    <w:rsid w:val="008642EF"/>
    <w:rsid w:val="00866469"/>
    <w:rsid w:val="00866AB0"/>
    <w:rsid w:val="00871F76"/>
    <w:rsid w:val="008740A8"/>
    <w:rsid w:val="00877C44"/>
    <w:rsid w:val="0088259C"/>
    <w:rsid w:val="00883734"/>
    <w:rsid w:val="008839BC"/>
    <w:rsid w:val="0089023F"/>
    <w:rsid w:val="00894B59"/>
    <w:rsid w:val="008950CA"/>
    <w:rsid w:val="008B03F7"/>
    <w:rsid w:val="008B75D0"/>
    <w:rsid w:val="008B7C5A"/>
    <w:rsid w:val="008C0B17"/>
    <w:rsid w:val="008C500E"/>
    <w:rsid w:val="008D0C81"/>
    <w:rsid w:val="008D1AFB"/>
    <w:rsid w:val="008D29E8"/>
    <w:rsid w:val="008D76DE"/>
    <w:rsid w:val="008E09D5"/>
    <w:rsid w:val="008E292D"/>
    <w:rsid w:val="008F10D3"/>
    <w:rsid w:val="008F15D4"/>
    <w:rsid w:val="008F3CCB"/>
    <w:rsid w:val="008F7432"/>
    <w:rsid w:val="009004C9"/>
    <w:rsid w:val="009051B9"/>
    <w:rsid w:val="00905C0A"/>
    <w:rsid w:val="00905FAA"/>
    <w:rsid w:val="009063AF"/>
    <w:rsid w:val="00906B10"/>
    <w:rsid w:val="009070B0"/>
    <w:rsid w:val="00911FF5"/>
    <w:rsid w:val="00912565"/>
    <w:rsid w:val="0091404B"/>
    <w:rsid w:val="00914189"/>
    <w:rsid w:val="00914420"/>
    <w:rsid w:val="00914B51"/>
    <w:rsid w:val="00914D5A"/>
    <w:rsid w:val="00927070"/>
    <w:rsid w:val="00931484"/>
    <w:rsid w:val="00933455"/>
    <w:rsid w:val="009335D5"/>
    <w:rsid w:val="009500E7"/>
    <w:rsid w:val="0095203D"/>
    <w:rsid w:val="00952874"/>
    <w:rsid w:val="00954061"/>
    <w:rsid w:val="00957FA0"/>
    <w:rsid w:val="00963458"/>
    <w:rsid w:val="0096351E"/>
    <w:rsid w:val="00964FB9"/>
    <w:rsid w:val="00977615"/>
    <w:rsid w:val="009822D4"/>
    <w:rsid w:val="0098477F"/>
    <w:rsid w:val="00987987"/>
    <w:rsid w:val="0099587C"/>
    <w:rsid w:val="0099611F"/>
    <w:rsid w:val="00996D7D"/>
    <w:rsid w:val="009A1C47"/>
    <w:rsid w:val="009A5CC3"/>
    <w:rsid w:val="009B0544"/>
    <w:rsid w:val="009B1075"/>
    <w:rsid w:val="009B4AC9"/>
    <w:rsid w:val="009B6162"/>
    <w:rsid w:val="009B620B"/>
    <w:rsid w:val="009C3525"/>
    <w:rsid w:val="009C3909"/>
    <w:rsid w:val="009D1970"/>
    <w:rsid w:val="009D53DE"/>
    <w:rsid w:val="009E2007"/>
    <w:rsid w:val="009E6A95"/>
    <w:rsid w:val="009F2D2F"/>
    <w:rsid w:val="009F5A05"/>
    <w:rsid w:val="00A04F30"/>
    <w:rsid w:val="00A11EBC"/>
    <w:rsid w:val="00A16630"/>
    <w:rsid w:val="00A202C9"/>
    <w:rsid w:val="00A23583"/>
    <w:rsid w:val="00A25755"/>
    <w:rsid w:val="00A4254A"/>
    <w:rsid w:val="00A46015"/>
    <w:rsid w:val="00A46872"/>
    <w:rsid w:val="00A551E7"/>
    <w:rsid w:val="00A61684"/>
    <w:rsid w:val="00A6283A"/>
    <w:rsid w:val="00A77246"/>
    <w:rsid w:val="00A85BEA"/>
    <w:rsid w:val="00A85FCE"/>
    <w:rsid w:val="00A969C9"/>
    <w:rsid w:val="00A9721F"/>
    <w:rsid w:val="00AA195C"/>
    <w:rsid w:val="00AB3B6E"/>
    <w:rsid w:val="00AB4AF8"/>
    <w:rsid w:val="00AC2934"/>
    <w:rsid w:val="00AC77DE"/>
    <w:rsid w:val="00AD2183"/>
    <w:rsid w:val="00AD392C"/>
    <w:rsid w:val="00AE1C96"/>
    <w:rsid w:val="00AF06BE"/>
    <w:rsid w:val="00AF07DF"/>
    <w:rsid w:val="00AF3B0F"/>
    <w:rsid w:val="00AF5404"/>
    <w:rsid w:val="00AF595C"/>
    <w:rsid w:val="00AF7C4C"/>
    <w:rsid w:val="00B01E24"/>
    <w:rsid w:val="00B124CD"/>
    <w:rsid w:val="00B13592"/>
    <w:rsid w:val="00B2040A"/>
    <w:rsid w:val="00B20F58"/>
    <w:rsid w:val="00B305D2"/>
    <w:rsid w:val="00B30615"/>
    <w:rsid w:val="00B32AF1"/>
    <w:rsid w:val="00B353B7"/>
    <w:rsid w:val="00B35D22"/>
    <w:rsid w:val="00B3777E"/>
    <w:rsid w:val="00B43E2A"/>
    <w:rsid w:val="00B5670E"/>
    <w:rsid w:val="00B626DA"/>
    <w:rsid w:val="00B821A5"/>
    <w:rsid w:val="00B82618"/>
    <w:rsid w:val="00B84167"/>
    <w:rsid w:val="00B87BDC"/>
    <w:rsid w:val="00B90C07"/>
    <w:rsid w:val="00B91AFC"/>
    <w:rsid w:val="00B91D57"/>
    <w:rsid w:val="00B922C6"/>
    <w:rsid w:val="00B93124"/>
    <w:rsid w:val="00BA3686"/>
    <w:rsid w:val="00BB1B0C"/>
    <w:rsid w:val="00BB6E66"/>
    <w:rsid w:val="00BC0110"/>
    <w:rsid w:val="00BC3468"/>
    <w:rsid w:val="00BC411D"/>
    <w:rsid w:val="00BE22D3"/>
    <w:rsid w:val="00BF0AFB"/>
    <w:rsid w:val="00BF2932"/>
    <w:rsid w:val="00BF5BB6"/>
    <w:rsid w:val="00C0271D"/>
    <w:rsid w:val="00C038AF"/>
    <w:rsid w:val="00C07599"/>
    <w:rsid w:val="00C079C4"/>
    <w:rsid w:val="00C11DFC"/>
    <w:rsid w:val="00C12CF8"/>
    <w:rsid w:val="00C246CB"/>
    <w:rsid w:val="00C3120B"/>
    <w:rsid w:val="00C31C47"/>
    <w:rsid w:val="00C32E3F"/>
    <w:rsid w:val="00C33A7E"/>
    <w:rsid w:val="00C356AD"/>
    <w:rsid w:val="00C36164"/>
    <w:rsid w:val="00C36F5E"/>
    <w:rsid w:val="00C41B8C"/>
    <w:rsid w:val="00C519B1"/>
    <w:rsid w:val="00C52D72"/>
    <w:rsid w:val="00C56AB3"/>
    <w:rsid w:val="00C57D77"/>
    <w:rsid w:val="00C774DB"/>
    <w:rsid w:val="00C77D1C"/>
    <w:rsid w:val="00C833B0"/>
    <w:rsid w:val="00C9333A"/>
    <w:rsid w:val="00C935B1"/>
    <w:rsid w:val="00C94171"/>
    <w:rsid w:val="00C95193"/>
    <w:rsid w:val="00C952EC"/>
    <w:rsid w:val="00CA0E4F"/>
    <w:rsid w:val="00CA3C0C"/>
    <w:rsid w:val="00CA4A7A"/>
    <w:rsid w:val="00CA5AD7"/>
    <w:rsid w:val="00CA6589"/>
    <w:rsid w:val="00CA67B3"/>
    <w:rsid w:val="00CA7D59"/>
    <w:rsid w:val="00CB29D1"/>
    <w:rsid w:val="00CB2ED4"/>
    <w:rsid w:val="00CB36F6"/>
    <w:rsid w:val="00CB5D37"/>
    <w:rsid w:val="00CB67BA"/>
    <w:rsid w:val="00CC035C"/>
    <w:rsid w:val="00CC4A55"/>
    <w:rsid w:val="00CD37E5"/>
    <w:rsid w:val="00CD4AE2"/>
    <w:rsid w:val="00CE18CE"/>
    <w:rsid w:val="00CF274B"/>
    <w:rsid w:val="00CF4CC7"/>
    <w:rsid w:val="00CF6ED5"/>
    <w:rsid w:val="00D06984"/>
    <w:rsid w:val="00D10CD9"/>
    <w:rsid w:val="00D34E4F"/>
    <w:rsid w:val="00D430B7"/>
    <w:rsid w:val="00D43BAD"/>
    <w:rsid w:val="00D44481"/>
    <w:rsid w:val="00D466AC"/>
    <w:rsid w:val="00D50716"/>
    <w:rsid w:val="00D53004"/>
    <w:rsid w:val="00D57B18"/>
    <w:rsid w:val="00D67D2E"/>
    <w:rsid w:val="00D70FDF"/>
    <w:rsid w:val="00D71FB4"/>
    <w:rsid w:val="00D720FB"/>
    <w:rsid w:val="00D738B1"/>
    <w:rsid w:val="00D82979"/>
    <w:rsid w:val="00D84FB8"/>
    <w:rsid w:val="00D87F65"/>
    <w:rsid w:val="00D90B21"/>
    <w:rsid w:val="00D91C56"/>
    <w:rsid w:val="00D96AA6"/>
    <w:rsid w:val="00DA32E6"/>
    <w:rsid w:val="00DC0200"/>
    <w:rsid w:val="00DC0682"/>
    <w:rsid w:val="00DC329B"/>
    <w:rsid w:val="00DC34D4"/>
    <w:rsid w:val="00DC58C2"/>
    <w:rsid w:val="00DD59EA"/>
    <w:rsid w:val="00DE1D4F"/>
    <w:rsid w:val="00DE2569"/>
    <w:rsid w:val="00DE4AC5"/>
    <w:rsid w:val="00DE54D0"/>
    <w:rsid w:val="00DF425D"/>
    <w:rsid w:val="00E007AB"/>
    <w:rsid w:val="00E01603"/>
    <w:rsid w:val="00E02C21"/>
    <w:rsid w:val="00E0471F"/>
    <w:rsid w:val="00E0655E"/>
    <w:rsid w:val="00E162D4"/>
    <w:rsid w:val="00E20DE8"/>
    <w:rsid w:val="00E22880"/>
    <w:rsid w:val="00E2293F"/>
    <w:rsid w:val="00E30339"/>
    <w:rsid w:val="00E337E7"/>
    <w:rsid w:val="00E349E3"/>
    <w:rsid w:val="00E366A0"/>
    <w:rsid w:val="00E47C44"/>
    <w:rsid w:val="00E56492"/>
    <w:rsid w:val="00E657DE"/>
    <w:rsid w:val="00E67036"/>
    <w:rsid w:val="00E67EA0"/>
    <w:rsid w:val="00E73DEF"/>
    <w:rsid w:val="00E82790"/>
    <w:rsid w:val="00E829A1"/>
    <w:rsid w:val="00E82C41"/>
    <w:rsid w:val="00E83B23"/>
    <w:rsid w:val="00E85A18"/>
    <w:rsid w:val="00E87461"/>
    <w:rsid w:val="00E9618B"/>
    <w:rsid w:val="00E97E14"/>
    <w:rsid w:val="00EA061E"/>
    <w:rsid w:val="00EA0CC6"/>
    <w:rsid w:val="00EA2EB2"/>
    <w:rsid w:val="00EA3C17"/>
    <w:rsid w:val="00EB6818"/>
    <w:rsid w:val="00EC27B8"/>
    <w:rsid w:val="00EC34DC"/>
    <w:rsid w:val="00EC44FD"/>
    <w:rsid w:val="00EC77D2"/>
    <w:rsid w:val="00ED3376"/>
    <w:rsid w:val="00EE014A"/>
    <w:rsid w:val="00EE426C"/>
    <w:rsid w:val="00EE61B4"/>
    <w:rsid w:val="00EF64CC"/>
    <w:rsid w:val="00EF78EF"/>
    <w:rsid w:val="00F00555"/>
    <w:rsid w:val="00F0440B"/>
    <w:rsid w:val="00F11EC5"/>
    <w:rsid w:val="00F1508E"/>
    <w:rsid w:val="00F22887"/>
    <w:rsid w:val="00F235E3"/>
    <w:rsid w:val="00F23FE0"/>
    <w:rsid w:val="00F24CF6"/>
    <w:rsid w:val="00F2777F"/>
    <w:rsid w:val="00F31808"/>
    <w:rsid w:val="00F31EE6"/>
    <w:rsid w:val="00F32B6E"/>
    <w:rsid w:val="00F3350F"/>
    <w:rsid w:val="00F36222"/>
    <w:rsid w:val="00F40D1D"/>
    <w:rsid w:val="00F41E0D"/>
    <w:rsid w:val="00F42394"/>
    <w:rsid w:val="00F51E6A"/>
    <w:rsid w:val="00F52256"/>
    <w:rsid w:val="00F53C50"/>
    <w:rsid w:val="00F55EC3"/>
    <w:rsid w:val="00F575D8"/>
    <w:rsid w:val="00F60D95"/>
    <w:rsid w:val="00F622F3"/>
    <w:rsid w:val="00F6715F"/>
    <w:rsid w:val="00F701EA"/>
    <w:rsid w:val="00F85D18"/>
    <w:rsid w:val="00F910CC"/>
    <w:rsid w:val="00F96434"/>
    <w:rsid w:val="00F96A4F"/>
    <w:rsid w:val="00FA0D6A"/>
    <w:rsid w:val="00FA3BAB"/>
    <w:rsid w:val="00FA57FC"/>
    <w:rsid w:val="00FA7BCF"/>
    <w:rsid w:val="00FB112C"/>
    <w:rsid w:val="00FB465B"/>
    <w:rsid w:val="00FB6B83"/>
    <w:rsid w:val="00FC0BBE"/>
    <w:rsid w:val="00FC0EB4"/>
    <w:rsid w:val="00FC1BCE"/>
    <w:rsid w:val="00FC2E36"/>
    <w:rsid w:val="00FC38CB"/>
    <w:rsid w:val="00FC4C67"/>
    <w:rsid w:val="00FC692D"/>
    <w:rsid w:val="00FC6B3E"/>
    <w:rsid w:val="00FD0CE5"/>
    <w:rsid w:val="00FD3D93"/>
    <w:rsid w:val="00FF05EA"/>
    <w:rsid w:val="00FF13B2"/>
    <w:rsid w:val="00FF1CB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FB681"/>
  <w15:docId w15:val="{2FCABF7B-984B-4A85-B6F0-4B516849C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4D7D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9E6A95"/>
    <w:rPr>
      <w:sz w:val="16"/>
      <w:szCs w:val="16"/>
    </w:rPr>
  </w:style>
  <w:style w:type="paragraph" w:styleId="Komentrateksts">
    <w:name w:val="annotation text"/>
    <w:basedOn w:val="Parasts"/>
    <w:link w:val="KomentratekstsRakstz"/>
    <w:uiPriority w:val="99"/>
    <w:unhideWhenUsed/>
    <w:rsid w:val="009E6A95"/>
    <w:pPr>
      <w:spacing w:line="240" w:lineRule="auto"/>
    </w:pPr>
    <w:rPr>
      <w:sz w:val="20"/>
      <w:szCs w:val="20"/>
    </w:rPr>
  </w:style>
  <w:style w:type="character" w:customStyle="1" w:styleId="KomentratekstsRakstz">
    <w:name w:val="Komentāra teksts Rakstz."/>
    <w:basedOn w:val="Noklusjumarindkopasfonts"/>
    <w:link w:val="Komentrateksts"/>
    <w:uiPriority w:val="99"/>
    <w:rsid w:val="009E6A95"/>
    <w:rPr>
      <w:sz w:val="20"/>
      <w:szCs w:val="20"/>
    </w:rPr>
  </w:style>
  <w:style w:type="paragraph" w:styleId="Komentratma">
    <w:name w:val="annotation subject"/>
    <w:basedOn w:val="Komentrateksts"/>
    <w:next w:val="Komentrateksts"/>
    <w:link w:val="KomentratmaRakstz"/>
    <w:uiPriority w:val="99"/>
    <w:semiHidden/>
    <w:unhideWhenUsed/>
    <w:rsid w:val="009E6A95"/>
    <w:rPr>
      <w:b/>
      <w:bCs/>
    </w:rPr>
  </w:style>
  <w:style w:type="character" w:customStyle="1" w:styleId="KomentratmaRakstz">
    <w:name w:val="Komentāra tēma Rakstz."/>
    <w:basedOn w:val="KomentratekstsRakstz"/>
    <w:link w:val="Komentratma"/>
    <w:uiPriority w:val="99"/>
    <w:semiHidden/>
    <w:rsid w:val="009E6A95"/>
    <w:rPr>
      <w:b/>
      <w:bCs/>
      <w:sz w:val="20"/>
      <w:szCs w:val="20"/>
    </w:rPr>
  </w:style>
  <w:style w:type="paragraph" w:styleId="Sarakstarindkopa">
    <w:name w:val="List Paragraph"/>
    <w:basedOn w:val="Parasts"/>
    <w:uiPriority w:val="34"/>
    <w:qFormat/>
    <w:rsid w:val="00210B1F"/>
    <w:pPr>
      <w:ind w:left="720"/>
      <w:contextualSpacing/>
    </w:pPr>
  </w:style>
  <w:style w:type="character" w:styleId="Hipersaite">
    <w:name w:val="Hyperlink"/>
    <w:basedOn w:val="Noklusjumarindkopasfonts"/>
    <w:uiPriority w:val="99"/>
    <w:unhideWhenUsed/>
    <w:rsid w:val="000C4902"/>
    <w:rPr>
      <w:color w:val="0563C1"/>
      <w:u w:val="single"/>
    </w:rPr>
  </w:style>
  <w:style w:type="character" w:styleId="Neatrisintapieminana">
    <w:name w:val="Unresolved Mention"/>
    <w:basedOn w:val="Noklusjumarindkopasfonts"/>
    <w:uiPriority w:val="99"/>
    <w:semiHidden/>
    <w:unhideWhenUsed/>
    <w:rsid w:val="009B0544"/>
    <w:rPr>
      <w:color w:val="605E5C"/>
      <w:shd w:val="clear" w:color="auto" w:fill="E1DFDD"/>
    </w:rPr>
  </w:style>
  <w:style w:type="paragraph" w:styleId="Prskatjums">
    <w:name w:val="Revision"/>
    <w:hidden/>
    <w:uiPriority w:val="99"/>
    <w:semiHidden/>
    <w:rsid w:val="00324765"/>
    <w:pPr>
      <w:spacing w:after="0" w:line="240" w:lineRule="auto"/>
    </w:pPr>
  </w:style>
  <w:style w:type="paragraph" w:styleId="Vresteksts">
    <w:name w:val="footnote text"/>
    <w:basedOn w:val="Parasts"/>
    <w:link w:val="VrestekstsRakstz"/>
    <w:uiPriority w:val="99"/>
    <w:unhideWhenUsed/>
    <w:rsid w:val="00665CAD"/>
    <w:pPr>
      <w:spacing w:after="0" w:line="240" w:lineRule="auto"/>
    </w:pPr>
    <w:rPr>
      <w:sz w:val="20"/>
      <w:szCs w:val="20"/>
      <w:lang w:val="ru-RU"/>
    </w:rPr>
  </w:style>
  <w:style w:type="character" w:customStyle="1" w:styleId="VrestekstsRakstz">
    <w:name w:val="Vēres teksts Rakstz."/>
    <w:basedOn w:val="Noklusjumarindkopasfonts"/>
    <w:link w:val="Vresteksts"/>
    <w:uiPriority w:val="99"/>
    <w:rsid w:val="00665CAD"/>
    <w:rPr>
      <w:sz w:val="20"/>
      <w:szCs w:val="20"/>
      <w:lang w:val="ru-RU"/>
    </w:rPr>
  </w:style>
  <w:style w:type="character" w:styleId="Vresatsauce">
    <w:name w:val="footnote reference"/>
    <w:basedOn w:val="Noklusjumarindkopasfonts"/>
    <w:uiPriority w:val="99"/>
    <w:unhideWhenUsed/>
    <w:rsid w:val="00665CAD"/>
    <w:rPr>
      <w:vertAlign w:val="superscript"/>
    </w:rPr>
  </w:style>
  <w:style w:type="paragraph" w:styleId="Galvene">
    <w:name w:val="header"/>
    <w:basedOn w:val="Parasts"/>
    <w:link w:val="GalveneRakstz"/>
    <w:uiPriority w:val="99"/>
    <w:unhideWhenUsed/>
    <w:rsid w:val="00914B5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14B51"/>
  </w:style>
  <w:style w:type="paragraph" w:styleId="Kjene">
    <w:name w:val="footer"/>
    <w:basedOn w:val="Parasts"/>
    <w:link w:val="KjeneRakstz"/>
    <w:uiPriority w:val="99"/>
    <w:unhideWhenUsed/>
    <w:rsid w:val="00914B5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14B51"/>
  </w:style>
  <w:style w:type="character" w:customStyle="1" w:styleId="cf01">
    <w:name w:val="cf01"/>
    <w:basedOn w:val="Noklusjumarindkopasfonts"/>
    <w:rsid w:val="007B1360"/>
    <w:rPr>
      <w:rFonts w:ascii="Segoe UI" w:hAnsi="Segoe UI" w:cs="Segoe UI" w:hint="default"/>
      <w:color w:val="333333"/>
      <w:sz w:val="18"/>
      <w:szCs w:val="18"/>
    </w:rPr>
  </w:style>
  <w:style w:type="character" w:customStyle="1" w:styleId="cf11">
    <w:name w:val="cf11"/>
    <w:basedOn w:val="Noklusjumarindkopasfonts"/>
    <w:rsid w:val="007B1360"/>
    <w:rPr>
      <w:rFonts w:ascii="Segoe UI" w:hAnsi="Segoe UI" w:cs="Segoe UI" w:hint="default"/>
      <w:color w:val="333333"/>
      <w:sz w:val="18"/>
      <w:szCs w:val="18"/>
      <w:shd w:val="clear" w:color="auto" w:fill="FFFFFF"/>
    </w:rPr>
  </w:style>
  <w:style w:type="character" w:customStyle="1" w:styleId="ui-provider">
    <w:name w:val="ui-provider"/>
    <w:basedOn w:val="Noklusjumarindkopasfonts"/>
    <w:rsid w:val="007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969927">
      <w:bodyDiv w:val="1"/>
      <w:marLeft w:val="0"/>
      <w:marRight w:val="0"/>
      <w:marTop w:val="0"/>
      <w:marBottom w:val="0"/>
      <w:divBdr>
        <w:top w:val="none" w:sz="0" w:space="0" w:color="auto"/>
        <w:left w:val="none" w:sz="0" w:space="0" w:color="auto"/>
        <w:bottom w:val="none" w:sz="0" w:space="0" w:color="auto"/>
        <w:right w:val="none" w:sz="0" w:space="0" w:color="auto"/>
      </w:divBdr>
    </w:div>
    <w:div w:id="474447218">
      <w:bodyDiv w:val="1"/>
      <w:marLeft w:val="0"/>
      <w:marRight w:val="0"/>
      <w:marTop w:val="0"/>
      <w:marBottom w:val="0"/>
      <w:divBdr>
        <w:top w:val="none" w:sz="0" w:space="0" w:color="auto"/>
        <w:left w:val="none" w:sz="0" w:space="0" w:color="auto"/>
        <w:bottom w:val="none" w:sz="0" w:space="0" w:color="auto"/>
        <w:right w:val="none" w:sz="0" w:space="0" w:color="auto"/>
      </w:divBdr>
    </w:div>
    <w:div w:id="981930715">
      <w:bodyDiv w:val="1"/>
      <w:marLeft w:val="0"/>
      <w:marRight w:val="0"/>
      <w:marTop w:val="0"/>
      <w:marBottom w:val="0"/>
      <w:divBdr>
        <w:top w:val="none" w:sz="0" w:space="0" w:color="auto"/>
        <w:left w:val="none" w:sz="0" w:space="0" w:color="auto"/>
        <w:bottom w:val="none" w:sz="0" w:space="0" w:color="auto"/>
        <w:right w:val="none" w:sz="0" w:space="0" w:color="auto"/>
      </w:divBdr>
    </w:div>
    <w:div w:id="14037193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1010F-DB22-44E1-A48B-7B8376DB2A32}">
  <ds:schemaRefs>
    <ds:schemaRef ds:uri="http://schemas.microsoft.com/sharepoint/v3/contenttype/forms"/>
  </ds:schemaRefs>
</ds:datastoreItem>
</file>

<file path=customXml/itemProps2.xml><?xml version="1.0" encoding="utf-8"?>
<ds:datastoreItem xmlns:ds="http://schemas.openxmlformats.org/officeDocument/2006/customXml" ds:itemID="{BCE828A5-75A6-40F1-857E-E2ED37AC0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88E76C-957A-4E3B-97D0-C4F62E546F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CE6A7A-868C-4ACF-B4A5-561D6042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9531</Words>
  <Characters>5434</Characters>
  <Application>Microsoft Office Word</Application>
  <DocSecurity>0</DocSecurity>
  <Lines>45</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Ivars Avotiņš</dc:creator>
  <cp:keywords/>
  <dc:description/>
  <cp:lastModifiedBy>Sarmīte Glāzere</cp:lastModifiedBy>
  <cp:revision>2</cp:revision>
  <cp:lastPrinted>2022-05-24T05:55:00Z</cp:lastPrinted>
  <dcterms:created xsi:type="dcterms:W3CDTF">2024-01-03T09:24:00Z</dcterms:created>
  <dcterms:modified xsi:type="dcterms:W3CDTF">2024-01-03T09:24:00Z</dcterms:modified>
</cp:coreProperties>
</file>