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13776" w14:textId="7F77E608" w:rsidR="009B27BE" w:rsidRDefault="006C5D94" w:rsidP="009208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28AB" w:rsidRPr="00CA28AB">
        <w:rPr>
          <w:rFonts w:ascii="Times New Roman" w:hAnsi="Times New Roman" w:cs="Times New Roman"/>
          <w:b/>
          <w:bCs/>
          <w:sz w:val="24"/>
          <w:szCs w:val="24"/>
        </w:rPr>
        <w:t xml:space="preserve">Latvijas Bankas noteikumu projekta </w:t>
      </w:r>
      <w:r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F33974" w:rsidRPr="00F33974">
        <w:rPr>
          <w:rFonts w:ascii="Times New Roman" w:hAnsi="Times New Roman" w:cs="Times New Roman"/>
          <w:b/>
          <w:bCs/>
          <w:sz w:val="24"/>
          <w:szCs w:val="24"/>
        </w:rPr>
        <w:t>Par centrālā vērtspapīru depozitārija noteikumu un procedūru izstrādi un piemērošanu dalībnieka saistību neizpildes gadījumā</w:t>
      </w:r>
      <w:r>
        <w:rPr>
          <w:rFonts w:ascii="Times New Roman" w:hAnsi="Times New Roman" w:cs="Times New Roman"/>
          <w:b/>
          <w:bCs/>
          <w:sz w:val="24"/>
          <w:szCs w:val="24"/>
        </w:rPr>
        <w:t>"</w:t>
      </w:r>
    </w:p>
    <w:p w14:paraId="60197D8F" w14:textId="5F347371" w:rsidR="003B481B" w:rsidRPr="000B4E0A" w:rsidRDefault="006C5D94" w:rsidP="003C2B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anotācija</w:t>
      </w:r>
    </w:p>
    <w:p w14:paraId="4CF2D308" w14:textId="77777777" w:rsidR="003B481B" w:rsidRPr="000B4E0A" w:rsidRDefault="003B481B" w:rsidP="00492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8"/>
        <w:gridCol w:w="5667"/>
      </w:tblGrid>
      <w:tr w:rsidR="000B4E0A" w:rsidRPr="00D6643D" w14:paraId="5AF8613E" w14:textId="77777777" w:rsidTr="003C2BC7">
        <w:trPr>
          <w:trHeight w:val="567"/>
        </w:trPr>
        <w:tc>
          <w:tcPr>
            <w:tcW w:w="1874" w:type="pct"/>
            <w:shd w:val="clear" w:color="auto" w:fill="auto"/>
            <w:hideMark/>
          </w:tcPr>
          <w:p w14:paraId="214F8583" w14:textId="3431F997" w:rsidR="00CA28AB" w:rsidRPr="00E253DA" w:rsidRDefault="00A42788" w:rsidP="00627A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Nosaukums</w:t>
            </w:r>
          </w:p>
        </w:tc>
        <w:tc>
          <w:tcPr>
            <w:tcW w:w="3126" w:type="pct"/>
            <w:shd w:val="clear" w:color="auto" w:fill="auto"/>
          </w:tcPr>
          <w:p w14:paraId="02C1AC37" w14:textId="5090D399" w:rsidR="005670C7" w:rsidRPr="00D6643D" w:rsidRDefault="00F33974" w:rsidP="00627AAC">
            <w:pPr>
              <w:spacing w:after="120" w:line="240" w:lineRule="auto"/>
              <w:jc w:val="both"/>
              <w:rPr>
                <w:lang w:eastAsia="lv-LV"/>
              </w:rPr>
            </w:pPr>
            <w:r w:rsidRPr="00F3397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Par centrālā vērtspapīru depozitārija noteikumu un procedūru izstrādi un piemērošanu dalībnieka saistību neizpildes gadījumā</w:t>
            </w:r>
          </w:p>
        </w:tc>
      </w:tr>
      <w:tr w:rsidR="000B4E0A" w:rsidRPr="00D6643D" w14:paraId="40579981" w14:textId="77777777" w:rsidTr="003C2BC7">
        <w:trPr>
          <w:trHeight w:val="567"/>
        </w:trPr>
        <w:tc>
          <w:tcPr>
            <w:tcW w:w="1874" w:type="pct"/>
            <w:shd w:val="clear" w:color="auto" w:fill="auto"/>
            <w:hideMark/>
          </w:tcPr>
          <w:p w14:paraId="6827898F" w14:textId="26C89948" w:rsidR="00CA28AB" w:rsidRPr="00E253DA" w:rsidRDefault="00A42788" w:rsidP="00627A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Dokumenta veids</w:t>
            </w:r>
          </w:p>
        </w:tc>
        <w:tc>
          <w:tcPr>
            <w:tcW w:w="3126" w:type="pct"/>
            <w:shd w:val="clear" w:color="auto" w:fill="auto"/>
          </w:tcPr>
          <w:p w14:paraId="4FD52E21" w14:textId="6A330F28" w:rsidR="00E53DE9" w:rsidRPr="00D6643D" w:rsidRDefault="004B27FC" w:rsidP="00594AF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Noteikumi</w:t>
            </w:r>
          </w:p>
        </w:tc>
      </w:tr>
      <w:tr w:rsidR="000B4E0A" w:rsidRPr="00D6643D" w14:paraId="100E5141" w14:textId="77777777" w:rsidTr="003C2BC7">
        <w:trPr>
          <w:trHeight w:val="567"/>
        </w:trPr>
        <w:tc>
          <w:tcPr>
            <w:tcW w:w="1874" w:type="pct"/>
            <w:shd w:val="clear" w:color="auto" w:fill="auto"/>
            <w:hideMark/>
          </w:tcPr>
          <w:p w14:paraId="1579B5C8" w14:textId="427DAB58" w:rsidR="00CA28AB" w:rsidRPr="00220B72" w:rsidRDefault="00A42788" w:rsidP="00627AAC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220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Izdošanas pamatojums</w:t>
            </w:r>
          </w:p>
        </w:tc>
        <w:tc>
          <w:tcPr>
            <w:tcW w:w="3126" w:type="pct"/>
            <w:shd w:val="clear" w:color="auto" w:fill="auto"/>
          </w:tcPr>
          <w:p w14:paraId="72816A78" w14:textId="53E751CE" w:rsidR="007A6267" w:rsidRPr="00D6643D" w:rsidRDefault="00C173D5" w:rsidP="00594AF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Finanšu instrumentu tirgus likuma </w:t>
            </w:r>
            <w:r w:rsidR="00F337C4"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  <w:r w:rsidR="00F337C4" w:rsidRPr="00D6643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2</w:t>
            </w:r>
            <w:r w:rsid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pant</w:t>
            </w:r>
            <w:r w:rsid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793F64E3" w14:textId="5EDB4DC7" w:rsidR="005670C7" w:rsidRPr="00D6643D" w:rsidRDefault="006E2031" w:rsidP="00594AF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Bankas likuma pārejas noteikumu 3.</w:t>
            </w:r>
            <w:r w:rsid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punkts</w:t>
            </w:r>
            <w:r w:rsidR="00594AF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D6643D" w14:paraId="646435C5" w14:textId="77777777" w:rsidTr="003C2BC7">
        <w:trPr>
          <w:trHeight w:val="2002"/>
        </w:trPr>
        <w:tc>
          <w:tcPr>
            <w:tcW w:w="1874" w:type="pct"/>
            <w:shd w:val="clear" w:color="auto" w:fill="auto"/>
            <w:hideMark/>
          </w:tcPr>
          <w:p w14:paraId="61E876F5" w14:textId="03D47C08" w:rsidR="00CA28AB" w:rsidRPr="00E253DA" w:rsidRDefault="00A42788" w:rsidP="00627A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Mērķis un būtība</w:t>
            </w:r>
          </w:p>
        </w:tc>
        <w:tc>
          <w:tcPr>
            <w:tcW w:w="3126" w:type="pct"/>
            <w:shd w:val="clear" w:color="auto" w:fill="auto"/>
          </w:tcPr>
          <w:p w14:paraId="3C7D29ED" w14:textId="709AFBA9" w:rsidR="0034654D" w:rsidRDefault="00774265" w:rsidP="009B22B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4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Noteikumu </w:t>
            </w:r>
            <w:r w:rsidR="00D477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projekta </w:t>
            </w:r>
            <w:r w:rsidRPr="00D6643D">
              <w:rPr>
                <w:rFonts w:ascii="Times New Roman" w:eastAsia="Times New Roman" w:hAnsi="Times New Roman" w:cs="Times New Roman"/>
                <w:sz w:val="24"/>
                <w:szCs w:val="24"/>
              </w:rPr>
              <w:t>mērķis ir</w:t>
            </w:r>
            <w:r w:rsidR="00122480" w:rsidRPr="006A1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22480" w:rsidRPr="00D664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izveidot </w:t>
            </w:r>
            <w:r w:rsidR="00F33974">
              <w:rPr>
                <w:rFonts w:ascii="Times New Roman" w:eastAsia="Times New Roman" w:hAnsi="Times New Roman" w:cs="Times New Roman"/>
                <w:sz w:val="24"/>
                <w:szCs w:val="24"/>
              </w:rPr>
              <w:t>centrālā vērtspapīru depozitārija noteikumu un procedūru izstrād</w:t>
            </w:r>
            <w:r w:rsidR="00204AD9">
              <w:rPr>
                <w:rFonts w:ascii="Times New Roman" w:eastAsia="Times New Roman" w:hAnsi="Times New Roman" w:cs="Times New Roman"/>
                <w:sz w:val="24"/>
                <w:szCs w:val="24"/>
              </w:rPr>
              <w:t>es</w:t>
            </w:r>
            <w:r w:rsidR="00F339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piemērošan</w:t>
            </w:r>
            <w:r w:rsidR="00204AD9">
              <w:rPr>
                <w:rFonts w:ascii="Times New Roman" w:eastAsia="Times New Roman" w:hAnsi="Times New Roman" w:cs="Times New Roman"/>
                <w:sz w:val="24"/>
                <w:szCs w:val="24"/>
              </w:rPr>
              <w:t>as</w:t>
            </w:r>
            <w:r w:rsidR="00F339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3974" w:rsidRPr="00F3397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dalībnieka saistību neizpildes gadījumā</w:t>
            </w:r>
            <w:r w:rsidR="00F339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22480" w:rsidRPr="00D664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prasību </w:t>
            </w:r>
            <w:r w:rsidR="00A719CA" w:rsidRPr="00D664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konsekventu, efektīvu un konstruktīvu </w:t>
            </w:r>
            <w:r w:rsidR="00122480" w:rsidRPr="00D664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ievērošanas </w:t>
            </w:r>
            <w:r w:rsidR="005670C7" w:rsidRPr="00D664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r w:rsidR="00122480" w:rsidRPr="00D664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uzraudzības praksi </w:t>
            </w:r>
            <w:r w:rsidR="0030632E" w:rsidRPr="00364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atbilstoši </w:t>
            </w:r>
            <w:hyperlink r:id="rId11" w:history="1">
              <w:r w:rsidR="0019469E" w:rsidRPr="00B82B4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Eiropas Vērtspapīru un tirgu iestādes 2017.</w:t>
              </w:r>
              <w:r w:rsidR="00EA2DE3" w:rsidRPr="00B82B4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 </w:t>
              </w:r>
              <w:r w:rsidR="0019469E" w:rsidRPr="00B82B4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gada 8.</w:t>
              </w:r>
              <w:r w:rsidR="00EA2DE3" w:rsidRPr="00B82B4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 </w:t>
              </w:r>
              <w:r w:rsidR="0019469E" w:rsidRPr="00B82B4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jūnija pamatnostādnēm Nr. ESMA70-151-294 "CVD noteikumi un procedūras dalībnieka saistību neizpildes gadījumā"</w:t>
              </w:r>
            </w:hyperlink>
            <w:r w:rsidR="0030632E" w:rsidRPr="00364E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(turpmāk – </w:t>
            </w:r>
            <w:r w:rsid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Pamatnostādnes </w:t>
            </w:r>
            <w:r w:rsidR="0030632E"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Nr. ESMA</w:t>
            </w:r>
            <w:r w:rsidR="0019469E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30632E"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9469E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  <w:r w:rsidR="0030632E"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9469E">
              <w:rPr>
                <w:rFonts w:ascii="Times New Roman" w:eastAsia="Times New Roman" w:hAnsi="Times New Roman" w:cs="Times New Roman"/>
                <w:sz w:val="24"/>
                <w:szCs w:val="24"/>
              </w:rPr>
              <w:t>294</w:t>
            </w:r>
            <w:r w:rsid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2E288ADE" w14:textId="04B58706" w:rsidR="00D61AAB" w:rsidRPr="00736E67" w:rsidRDefault="00A719CA" w:rsidP="00691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Noteikumu projekts aizstās </w:t>
            </w:r>
            <w:r w:rsidRPr="00A719CA">
              <w:rPr>
                <w:rFonts w:ascii="Times New Roman" w:eastAsia="Times New Roman" w:hAnsi="Times New Roman" w:cs="Times New Roman"/>
                <w:sz w:val="24"/>
                <w:szCs w:val="24"/>
              </w:rPr>
              <w:t>Finanšu un kapitāla tirgus komisijas 2020.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719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gada </w:t>
            </w:r>
            <w:r w:rsidR="006917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A719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91715">
              <w:rPr>
                <w:rFonts w:ascii="Times New Roman" w:eastAsia="Times New Roman" w:hAnsi="Times New Roman" w:cs="Times New Roman"/>
                <w:sz w:val="24"/>
                <w:szCs w:val="24"/>
              </w:rPr>
              <w:t>septembra</w:t>
            </w:r>
            <w:r w:rsidRPr="00A719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normatīv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</w:t>
            </w:r>
            <w:r w:rsidRPr="00A719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noteikum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</w:t>
            </w:r>
            <w:r w:rsidRPr="00A719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Nr.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719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1715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Pr="00A719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r w:rsidR="00691715" w:rsidRPr="00691715">
              <w:rPr>
                <w:rFonts w:ascii="Times New Roman" w:eastAsia="Times New Roman" w:hAnsi="Times New Roman" w:cs="Times New Roman"/>
                <w:sz w:val="24"/>
                <w:szCs w:val="24"/>
              </w:rPr>
              <w:t>Normatīvie noteikumi par centrālā vērtspapīru depozitārija noteikumu un procedūru izstrādi un piemērošanu dalībnieka saistību neizpildes gadījumā</w:t>
            </w:r>
            <w:r w:rsidRPr="00A719CA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(turpmāk – Noteikumi Nr. 1</w:t>
            </w:r>
            <w:r w:rsidR="00691715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  <w:r w:rsidR="00D61AAB">
              <w:rPr>
                <w:rFonts w:ascii="Times New Roman" w:eastAsia="Times New Roman" w:hAnsi="Times New Roman" w:cs="Times New Roman"/>
                <w:sz w:val="24"/>
                <w:szCs w:val="24"/>
              </w:rPr>
              <w:t>Salīdzinot ar Noteikumos Nr. 142 ietverto regulējumu,</w:t>
            </w:r>
            <w:r w:rsidR="00077E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kur pārņemtas Pamatnostādnes </w:t>
            </w:r>
            <w:r w:rsidR="00077E2A"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Nr. ESMA</w:t>
            </w:r>
            <w:r w:rsidR="00077E2A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077E2A"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77E2A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  <w:r w:rsidR="00077E2A"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77E2A">
              <w:rPr>
                <w:rFonts w:ascii="Times New Roman" w:eastAsia="Times New Roman" w:hAnsi="Times New Roman" w:cs="Times New Roman"/>
                <w:sz w:val="24"/>
                <w:szCs w:val="24"/>
              </w:rPr>
              <w:t>294</w:t>
            </w:r>
            <w:r w:rsidR="00797A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prasības</w:t>
            </w:r>
            <w:r w:rsidR="00077E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0C7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šajā noteikumu projektā netiek tieši pārņemtas Pamatnostādnes </w:t>
            </w:r>
            <w:r w:rsidR="000C7160"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Nr. ESMA</w:t>
            </w:r>
            <w:r w:rsidR="000C7160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0C7160"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C7160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  <w:r w:rsidR="000C7160"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C71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294 prasības, bet </w:t>
            </w:r>
            <w:r w:rsidR="00185507">
              <w:rPr>
                <w:rFonts w:ascii="Times New Roman" w:eastAsia="Times New Roman" w:hAnsi="Times New Roman" w:cs="Times New Roman"/>
                <w:sz w:val="24"/>
                <w:szCs w:val="24"/>
              </w:rPr>
              <w:t>ir</w:t>
            </w:r>
            <w:r w:rsidR="00904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1AAB">
              <w:rPr>
                <w:rFonts w:ascii="Times New Roman" w:eastAsia="Times New Roman" w:hAnsi="Times New Roman" w:cs="Times New Roman"/>
                <w:sz w:val="24"/>
                <w:szCs w:val="24"/>
              </w:rPr>
              <w:t>ietver</w:t>
            </w:r>
            <w:r w:rsidR="000C7160">
              <w:rPr>
                <w:rFonts w:ascii="Times New Roman" w:eastAsia="Times New Roman" w:hAnsi="Times New Roman" w:cs="Times New Roman"/>
                <w:sz w:val="24"/>
                <w:szCs w:val="24"/>
              </w:rPr>
              <w:t>ta</w:t>
            </w:r>
            <w:r w:rsidR="00D61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33B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centrāl</w:t>
            </w:r>
            <w:r w:rsidR="00C947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ajam</w:t>
            </w:r>
            <w:r w:rsidR="00633BB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vērtspapīru depozitārijam </w:t>
            </w:r>
            <w:r w:rsidR="00633B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saistoša </w:t>
            </w:r>
            <w:r w:rsidR="00D61AAB">
              <w:rPr>
                <w:rFonts w:ascii="Times New Roman" w:eastAsia="Times New Roman" w:hAnsi="Times New Roman" w:cs="Times New Roman"/>
                <w:sz w:val="24"/>
                <w:szCs w:val="24"/>
              </w:rPr>
              <w:t>atsauc</w:t>
            </w:r>
            <w:r w:rsidR="000C7160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D61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uz Pamatnostādnēm </w:t>
            </w:r>
            <w:r w:rsidR="00D61AAB"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Nr.</w:t>
            </w:r>
            <w:r w:rsidR="00D61AA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D61AAB"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ESMA</w:t>
            </w:r>
            <w:r w:rsidR="00D61AAB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D61AAB"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61AAB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  <w:r w:rsidR="00D61AAB"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61AAB">
              <w:rPr>
                <w:rFonts w:ascii="Times New Roman" w:eastAsia="Times New Roman" w:hAnsi="Times New Roman" w:cs="Times New Roman"/>
                <w:sz w:val="24"/>
                <w:szCs w:val="24"/>
              </w:rPr>
              <w:t>294</w:t>
            </w:r>
            <w:r w:rsidR="000C71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4E0A" w:rsidRPr="00D6643D" w14:paraId="3E6CB1B9" w14:textId="77777777" w:rsidTr="003C2BC7">
        <w:trPr>
          <w:trHeight w:val="567"/>
        </w:trPr>
        <w:tc>
          <w:tcPr>
            <w:tcW w:w="1874" w:type="pct"/>
            <w:shd w:val="clear" w:color="auto" w:fill="auto"/>
            <w:hideMark/>
          </w:tcPr>
          <w:p w14:paraId="211551A8" w14:textId="2094A527" w:rsidR="00CA28AB" w:rsidRPr="00E253DA" w:rsidRDefault="00A42788" w:rsidP="00627A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Leģitīmais mērķis</w:t>
            </w:r>
          </w:p>
        </w:tc>
        <w:tc>
          <w:tcPr>
            <w:tcW w:w="3126" w:type="pct"/>
            <w:shd w:val="clear" w:color="auto" w:fill="auto"/>
          </w:tcPr>
          <w:p w14:paraId="673F3EC1" w14:textId="686A5BA6" w:rsidR="00856756" w:rsidRDefault="00856756" w:rsidP="0069171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Noteikumu projekta mērķis ir nodrošināt, ka Latvijas Banka</w:t>
            </w:r>
            <w:r w:rsidR="000F5379"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 uzraudzībā esošie tirgus dalībnieki</w:t>
            </w:r>
            <w:r w:rsidR="001D5F61"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kas </w:t>
            </w:r>
            <w:r w:rsidR="0069171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sniedz centrālā vērtspapīru depozitārija pamatpakalpojumus </w:t>
            </w:r>
            <w:r w:rsidR="00691715" w:rsidRPr="0069171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Eiropas Parlamenta un Padomes Regulas (ES) Nr. 909/2014</w:t>
            </w:r>
            <w:r w:rsidR="0069171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izpratnē, ievēro </w:t>
            </w:r>
            <w:r w:rsidR="000803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Pamatnostādnes </w:t>
            </w:r>
            <w:r w:rsidR="00080340"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Nr. ESMA</w:t>
            </w:r>
            <w:r w:rsidR="00691715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080340"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91715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  <w:r w:rsidR="00080340"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917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294. </w:t>
            </w:r>
          </w:p>
          <w:p w14:paraId="61CB6DE8" w14:textId="0227BDC2" w:rsidR="00F33503" w:rsidRPr="00D6643D" w:rsidRDefault="00F33503" w:rsidP="0069171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ESMA Pamatnostādnes Nr. </w:t>
            </w:r>
            <w:r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ESMA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  <w:r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294 </w:t>
            </w:r>
            <w:r w:rsidRPr="00F335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sniedz norādes uz procedūrām un pasākumiem, kas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centrālajam vērtspapīru depozitārijam </w:t>
            </w:r>
            <w:r w:rsidRPr="00F335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jāveic, ja dalībnieks nespēj pildīt savas saistības, kā arī nosaka </w:t>
            </w:r>
            <w:r w:rsidR="00AE2B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periodiskumu šo procedūru un pasākumu testēšanai</w:t>
            </w:r>
            <w:r w:rsidRPr="00F335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vismaz vienu reizi gadā, lai pārbaudītu to efektivitāti un praktisko pielietojumu</w:t>
            </w:r>
            <w:r w:rsidR="00AE2B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4EF34882" w14:textId="77777777" w:rsidR="0055332D" w:rsidRDefault="00C45806" w:rsidP="00627AA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0" w:name="_Hlk146023789"/>
            <w:r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Noteikumu projekts nosaka </w:t>
            </w:r>
            <w:r w:rsidR="006A4E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="005F4CF6"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amatnostādņu </w:t>
            </w:r>
            <w:r w:rsidR="009B22B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</w:r>
            <w:r w:rsidR="006A4E4D"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Nr. ESMA</w:t>
            </w:r>
            <w:r w:rsidR="00691715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6A4E4D"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91715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  <w:r w:rsidR="006A4E4D"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691715">
              <w:rPr>
                <w:rFonts w:ascii="Times New Roman" w:eastAsia="Times New Roman" w:hAnsi="Times New Roman" w:cs="Times New Roman"/>
                <w:sz w:val="24"/>
                <w:szCs w:val="24"/>
              </w:rPr>
              <w:t>294</w:t>
            </w:r>
            <w:r w:rsidR="006A4E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774265"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piemērošanu, lai veicinātu konsekventu pieeju </w:t>
            </w:r>
            <w:r w:rsidR="00F335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 vērtspapīru depozitārija </w:t>
            </w:r>
            <w:r w:rsidR="00F335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 xml:space="preserve">procedūru piemērošanā </w:t>
            </w:r>
            <w:r w:rsidR="00F33503" w:rsidRPr="00F335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dalībnieka saistību neizpildes gadījumā</w:t>
            </w:r>
            <w:r w:rsidR="00F335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visās </w:t>
            </w:r>
            <w:r w:rsidR="00F33503" w:rsidRPr="00F3350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Eiropas Ekonomikas zonas valstīs</w:t>
            </w:r>
            <w:r w:rsidR="00774265"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bookmarkEnd w:id="0"/>
            <w:r w:rsidR="006A4E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14:paraId="49EA5932" w14:textId="79E8ADFE" w:rsidR="005C5FD5" w:rsidRPr="00D6643D" w:rsidRDefault="005C5FD5" w:rsidP="00627AA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Ņemot vērā, ka </w:t>
            </w:r>
            <w:r w:rsidRPr="005C5F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 vērtspapīru depozitārija noteikumu un procedūru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piemērošanas </w:t>
            </w:r>
            <w:r w:rsidRPr="005C5F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dalībnieka saistību neizpildes gadījumā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mērķis ir stabila vērtspapīru norēķinu sistēmas darbība un tādējādi arī kopējā finanšu sistēmas stabilitāte, šī noteikumu projekta leģitīmais mērķis </w:t>
            </w:r>
            <w:r w:rsidR="005309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ir kopējā finanšu sistēmas stabilitāte.</w:t>
            </w:r>
          </w:p>
        </w:tc>
      </w:tr>
      <w:tr w:rsidR="000B4E0A" w:rsidRPr="00D6643D" w14:paraId="2ADDF3C3" w14:textId="77777777" w:rsidTr="003C2BC7">
        <w:trPr>
          <w:trHeight w:val="567"/>
        </w:trPr>
        <w:tc>
          <w:tcPr>
            <w:tcW w:w="1874" w:type="pct"/>
            <w:shd w:val="clear" w:color="auto" w:fill="auto"/>
            <w:hideMark/>
          </w:tcPr>
          <w:p w14:paraId="50F52EC5" w14:textId="1600DE30" w:rsidR="00CA28AB" w:rsidRPr="00E253DA" w:rsidRDefault="00A42788" w:rsidP="00627A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Samērīgums</w:t>
            </w:r>
          </w:p>
        </w:tc>
        <w:tc>
          <w:tcPr>
            <w:tcW w:w="3126" w:type="pct"/>
            <w:shd w:val="clear" w:color="auto" w:fill="auto"/>
          </w:tcPr>
          <w:p w14:paraId="4DAA16E1" w14:textId="7CB1FAF3" w:rsidR="00856756" w:rsidRPr="00D6643D" w:rsidRDefault="00856756" w:rsidP="00594AF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Saskaņā ar Latvijas Bankas likumu Latvijas Banka uzrauga finanšu instrumentu tirgus dalībnieku darbību. Šīs funkcijas </w:t>
            </w:r>
            <w:r w:rsidR="00F3307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veikšanai</w:t>
            </w:r>
            <w:r w:rsidR="00F33078"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Latvijas Bankai nepieciešams </w:t>
            </w:r>
            <w:r w:rsidR="00494737"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nodrošināt, </w:t>
            </w:r>
            <w:r w:rsidR="009B22B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</w:t>
            </w:r>
            <w:r w:rsidR="009B22BF"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AE2B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centrālais vērtspapīru depozitārijs </w:t>
            </w:r>
            <w:r w:rsidR="00122480"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ievēro </w:t>
            </w:r>
            <w:r w:rsidR="00BC033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="00BC0330"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amatnostād</w:t>
            </w:r>
            <w:r w:rsidR="00BC033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nēs</w:t>
            </w:r>
            <w:r w:rsidR="00BC0330"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BC0330" w:rsidRPr="0030632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</w:t>
            </w:r>
            <w:r w:rsidR="006C5D9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BC0330" w:rsidRPr="0030632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ESMA</w:t>
            </w:r>
            <w:r w:rsidR="00AE2B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70-151-294</w:t>
            </w:r>
            <w:r w:rsidR="00BC033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noteiktās </w:t>
            </w:r>
            <w:r w:rsidR="00122480"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prasības</w:t>
            </w:r>
            <w:r w:rsidR="00494737"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lai būtu pārliecība</w:t>
            </w:r>
            <w:r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par </w:t>
            </w:r>
            <w:r w:rsidR="00AE2BA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 vērtspapīru depozitārija </w:t>
            </w:r>
            <w:r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atbilstību normatīvajos aktos noteiktajām prasībām. </w:t>
            </w:r>
          </w:p>
          <w:p w14:paraId="5DF95801" w14:textId="3D2C5618" w:rsidR="00004586" w:rsidRDefault="00856756" w:rsidP="00594AF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Atbilstošākais veids, kā noteikt vienotas prasības, ir izdot tirgus dalībniekiem saistošus noteikumus, kuri nosaka</w:t>
            </w:r>
            <w:r w:rsidR="00494737"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00458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</w:t>
            </w:r>
            <w:r w:rsidR="00494737"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amatnostādņu </w:t>
            </w:r>
            <w:r w:rsidR="00004586" w:rsidRPr="0030632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</w:t>
            </w:r>
            <w:r w:rsidR="006C5D9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="00004586" w:rsidRPr="0030632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ESMA</w:t>
            </w:r>
            <w:r w:rsidR="005C5F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70-151-294</w:t>
            </w:r>
            <w:r w:rsidR="00494737"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ievērošanu.</w:t>
            </w:r>
          </w:p>
          <w:p w14:paraId="32C03A97" w14:textId="161C14C3" w:rsidR="00B66314" w:rsidRPr="0072585D" w:rsidRDefault="001A7DC4" w:rsidP="003C2BC7">
            <w:pPr>
              <w:pStyle w:val="pf0"/>
              <w:spacing w:before="0" w:beforeAutospacing="0" w:after="0" w:afterAutospacing="0"/>
              <w:jc w:val="both"/>
            </w:pPr>
            <w:r>
              <w:t>Noteikumu p</w:t>
            </w:r>
            <w:r w:rsidR="00B66314" w:rsidRPr="0072585D">
              <w:t>rojekts kopumā un tajā ietvertās tiesību normas atbilst samērīguma principam, jo:</w:t>
            </w:r>
          </w:p>
          <w:p w14:paraId="13948DE5" w14:textId="2FEE5E11" w:rsidR="00B66314" w:rsidRPr="0072585D" w:rsidRDefault="00B66314" w:rsidP="003C2BC7">
            <w:pPr>
              <w:pStyle w:val="pf0"/>
              <w:spacing w:before="0" w:beforeAutospacing="0" w:after="0" w:afterAutospacing="0"/>
              <w:jc w:val="both"/>
            </w:pPr>
            <w:r w:rsidRPr="0072585D">
              <w:t xml:space="preserve">- pirmkārt, ar </w:t>
            </w:r>
            <w:r w:rsidR="001A7DC4">
              <w:t xml:space="preserve">noteikumu </w:t>
            </w:r>
            <w:r w:rsidRPr="0072585D">
              <w:t>projektu un tajā ietvertajām prasībām tiek sasniegts leģitīmais mērķis (</w:t>
            </w:r>
            <w:r w:rsidR="00530918">
              <w:t>kopējā finanšu sistēmas stabilitāte</w:t>
            </w:r>
            <w:r w:rsidRPr="0072585D">
              <w:t>);</w:t>
            </w:r>
          </w:p>
          <w:p w14:paraId="45145844" w14:textId="77777777" w:rsidR="00B66314" w:rsidRPr="0072585D" w:rsidRDefault="00B66314" w:rsidP="003C2BC7">
            <w:pPr>
              <w:pStyle w:val="pf0"/>
              <w:spacing w:before="0" w:beforeAutospacing="0" w:after="0" w:afterAutospacing="0"/>
              <w:jc w:val="both"/>
            </w:pPr>
            <w:r w:rsidRPr="0072585D">
              <w:t>- otrkārt, nepastāv tādi alternatīvi līdzekļi, kas sasniegtu leģitīmo mērķi tādā pašā kvalitātē;</w:t>
            </w:r>
          </w:p>
          <w:p w14:paraId="69102164" w14:textId="5C050608" w:rsidR="004D2568" w:rsidRPr="00D6643D" w:rsidRDefault="00B66314" w:rsidP="003C2BC7">
            <w:pPr>
              <w:pStyle w:val="pf0"/>
              <w:spacing w:before="0" w:beforeAutospacing="0" w:after="120" w:afterAutospacing="0"/>
              <w:jc w:val="both"/>
            </w:pPr>
            <w:r w:rsidRPr="0072585D">
              <w:t>- treškārt</w:t>
            </w:r>
            <w:r w:rsidR="009B22BF">
              <w:t>,</w:t>
            </w:r>
            <w:r w:rsidRPr="0072585D">
              <w:t xml:space="preserve"> labums, ko iegūs sabiedrība, būs lielāks par </w:t>
            </w:r>
            <w:r w:rsidR="001A7DC4">
              <w:t xml:space="preserve">noteikumu </w:t>
            </w:r>
            <w:r w:rsidRPr="0072585D">
              <w:t>projektā ietverto prasību radītajām negatīvajām sekām.</w:t>
            </w:r>
          </w:p>
        </w:tc>
      </w:tr>
      <w:tr w:rsidR="000B4E0A" w:rsidRPr="00D6643D" w14:paraId="2591F751" w14:textId="77777777" w:rsidTr="003C2BC7">
        <w:trPr>
          <w:trHeight w:val="567"/>
        </w:trPr>
        <w:tc>
          <w:tcPr>
            <w:tcW w:w="1874" w:type="pct"/>
            <w:shd w:val="clear" w:color="auto" w:fill="auto"/>
            <w:hideMark/>
          </w:tcPr>
          <w:p w14:paraId="08A10714" w14:textId="2258733C" w:rsidR="00CA28AB" w:rsidRPr="00E253DA" w:rsidRDefault="00A42788" w:rsidP="00627A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Spēkā stāšanās</w:t>
            </w:r>
          </w:p>
        </w:tc>
        <w:tc>
          <w:tcPr>
            <w:tcW w:w="3126" w:type="pct"/>
            <w:shd w:val="clear" w:color="auto" w:fill="auto"/>
          </w:tcPr>
          <w:p w14:paraId="24993BA5" w14:textId="6DD8EC4D" w:rsidR="00CA28AB" w:rsidRPr="00AC1800" w:rsidRDefault="00185D6B" w:rsidP="00702C35">
            <w:pPr>
              <w:pStyle w:val="Default"/>
              <w:spacing w:after="120"/>
              <w:jc w:val="both"/>
              <w:rPr>
                <w:rFonts w:ascii="Times New Roman" w:hAnsi="Times New Roman" w:cs="Times New Roman"/>
              </w:rPr>
            </w:pPr>
            <w:bookmarkStart w:id="1" w:name="_Hlk146024720"/>
            <w:r>
              <w:rPr>
                <w:rFonts w:ascii="Times New Roman" w:hAnsi="Times New Roman" w:cs="Times New Roman"/>
              </w:rPr>
              <w:t xml:space="preserve">Noteikumi </w:t>
            </w:r>
            <w:r w:rsidRPr="00AC1800">
              <w:rPr>
                <w:rFonts w:ascii="Times New Roman" w:hAnsi="Times New Roman" w:cs="Times New Roman"/>
              </w:rPr>
              <w:t>stāsies spēkā nākamajā dienā pēc to publicēšanas oficiālajā izdevumā "Latvijas Vēstnesis" atbilstoši Latvijas Bankas likuma 8. panta otrajai daļai</w:t>
            </w:r>
            <w:r>
              <w:rPr>
                <w:rFonts w:ascii="Times New Roman" w:hAnsi="Times New Roman" w:cs="Times New Roman"/>
              </w:rPr>
              <w:t xml:space="preserve">. </w:t>
            </w:r>
            <w:bookmarkEnd w:id="1"/>
          </w:p>
        </w:tc>
      </w:tr>
      <w:tr w:rsidR="000B4E0A" w:rsidRPr="00D6643D" w14:paraId="12865487" w14:textId="77777777" w:rsidTr="003C2BC7">
        <w:trPr>
          <w:trHeight w:val="567"/>
        </w:trPr>
        <w:tc>
          <w:tcPr>
            <w:tcW w:w="1874" w:type="pct"/>
            <w:shd w:val="clear" w:color="auto" w:fill="auto"/>
            <w:hideMark/>
          </w:tcPr>
          <w:p w14:paraId="34A91AA2" w14:textId="41B392BA" w:rsidR="00CA28AB" w:rsidRPr="00E253DA" w:rsidRDefault="00A42788" w:rsidP="00627A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Ietekme uz Latvijas Bankas budžetu</w:t>
            </w:r>
          </w:p>
        </w:tc>
        <w:tc>
          <w:tcPr>
            <w:tcW w:w="3126" w:type="pct"/>
            <w:shd w:val="clear" w:color="auto" w:fill="auto"/>
          </w:tcPr>
          <w:p w14:paraId="566F9A7B" w14:textId="45E06836" w:rsidR="00E53DE9" w:rsidRPr="00D6643D" w:rsidRDefault="004B27FC" w:rsidP="00594AF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664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  <w:r w:rsidR="006C5D9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D6643D" w14:paraId="6139ED23" w14:textId="77777777" w:rsidTr="003C2BC7">
        <w:trPr>
          <w:trHeight w:val="567"/>
        </w:trPr>
        <w:tc>
          <w:tcPr>
            <w:tcW w:w="1874" w:type="pct"/>
            <w:shd w:val="clear" w:color="auto" w:fill="auto"/>
            <w:hideMark/>
          </w:tcPr>
          <w:p w14:paraId="3BD8F625" w14:textId="39DDC025" w:rsidR="00CA28AB" w:rsidRPr="00E253DA" w:rsidRDefault="00A42788" w:rsidP="00627A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Administratīvā sloga un izmaksu novērtējums </w:t>
            </w:r>
            <w:r w:rsidR="00C85C34"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(</w:t>
            </w: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tirgus dalībniekiem</w:t>
            </w:r>
            <w:r w:rsidR="00C85C34"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3126" w:type="pct"/>
            <w:shd w:val="clear" w:color="auto" w:fill="auto"/>
          </w:tcPr>
          <w:p w14:paraId="0D67C695" w14:textId="430991C6" w:rsidR="0046580D" w:rsidRPr="00D6643D" w:rsidRDefault="0046580D" w:rsidP="0046580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5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Šobrīd spēkā esošie </w:t>
            </w:r>
            <w:r w:rsidR="00C41BD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Noteikumi Nr. 1</w:t>
            </w:r>
            <w:r w:rsidR="005309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</w:t>
            </w:r>
            <w:r w:rsidR="00C41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465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 nosaka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530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līdzīgas </w:t>
            </w:r>
            <w:r w:rsidRPr="00465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prasības</w:t>
            </w:r>
            <w:r w:rsidR="00530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, līdz ar </w:t>
            </w:r>
            <w:r w:rsidR="00000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</w:t>
            </w:r>
            <w:r w:rsidR="00530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 papildu administratīvai</w:t>
            </w:r>
            <w:r w:rsidR="00461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</w:t>
            </w:r>
            <w:r w:rsidR="00530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slogs </w:t>
            </w:r>
            <w:r w:rsidR="00910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un izmaksas </w:t>
            </w:r>
            <w:r w:rsidR="00530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centrālajam vērtspapīru depozitārijam nerodas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D6643D" w14:paraId="6E581E8B" w14:textId="77777777" w:rsidTr="003C2BC7">
        <w:trPr>
          <w:trHeight w:val="567"/>
        </w:trPr>
        <w:tc>
          <w:tcPr>
            <w:tcW w:w="1874" w:type="pct"/>
            <w:shd w:val="clear" w:color="auto" w:fill="auto"/>
            <w:hideMark/>
          </w:tcPr>
          <w:p w14:paraId="0F3A14EE" w14:textId="35B7DDF9" w:rsidR="00CA28AB" w:rsidRPr="00E253DA" w:rsidRDefault="00A42788" w:rsidP="00627A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Saistītie dokumenti</w:t>
            </w:r>
          </w:p>
        </w:tc>
        <w:tc>
          <w:tcPr>
            <w:tcW w:w="3126" w:type="pct"/>
            <w:shd w:val="clear" w:color="auto" w:fill="auto"/>
          </w:tcPr>
          <w:p w14:paraId="15B66E01" w14:textId="01C470B5" w:rsidR="006C5D94" w:rsidRDefault="006C5D94" w:rsidP="003C2BC7">
            <w:pPr>
              <w:pStyle w:val="ListParagraph"/>
              <w:tabs>
                <w:tab w:val="left" w:pos="316"/>
              </w:tabs>
              <w:spacing w:after="120" w:line="240" w:lineRule="auto"/>
              <w:ind w:left="32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noteikumu projektu saistītie dokumenti:</w:t>
            </w:r>
          </w:p>
          <w:p w14:paraId="6CFDE8D6" w14:textId="3AF64B60" w:rsidR="0055332D" w:rsidRPr="009509EC" w:rsidRDefault="009509EC" w:rsidP="00594AFE">
            <w:pPr>
              <w:pStyle w:val="ListParagraph"/>
              <w:numPr>
                <w:ilvl w:val="0"/>
                <w:numId w:val="2"/>
              </w:numPr>
              <w:tabs>
                <w:tab w:val="left" w:pos="316"/>
              </w:tabs>
              <w:spacing w:after="120" w:line="240" w:lineRule="auto"/>
              <w:ind w:left="32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509E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Finanšu instrumentu tirgus likums</w:t>
            </w:r>
            <w:r w:rsidR="00D6643D" w:rsidRPr="009509E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3707F85B" w14:textId="754C65FD" w:rsidR="00D6643D" w:rsidRPr="009509EC" w:rsidRDefault="00530918" w:rsidP="00594AFE">
            <w:pPr>
              <w:pStyle w:val="ListParagraph"/>
              <w:numPr>
                <w:ilvl w:val="0"/>
                <w:numId w:val="2"/>
              </w:numPr>
              <w:tabs>
                <w:tab w:val="left" w:pos="316"/>
              </w:tabs>
              <w:spacing w:after="120" w:line="240" w:lineRule="auto"/>
              <w:ind w:left="32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309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Eiropas Parlamenta un Padomes 2014. gada 23. aprīļa Regulas (ES) Nr. 909/2014 par vērtspapīru norēķinu uzlabošanu Eiropas Savienībā, centrālajiem vērtspapīru depozitārijiem un grozījumiem Direktīvās 98/26/EK un 2014/65/ES un Regulā (ES) Nr. 236/2012</w:t>
            </w:r>
            <w:r w:rsidR="00D6643D" w:rsidRPr="009509E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  <w:p w14:paraId="394BAC3D" w14:textId="2A2C78D1" w:rsidR="00D6643D" w:rsidRPr="009509EC" w:rsidRDefault="0030632E" w:rsidP="00594AFE">
            <w:pPr>
              <w:pStyle w:val="ListParagraph"/>
              <w:numPr>
                <w:ilvl w:val="0"/>
                <w:numId w:val="2"/>
              </w:numPr>
              <w:tabs>
                <w:tab w:val="left" w:pos="316"/>
              </w:tabs>
              <w:spacing w:after="120" w:line="240" w:lineRule="auto"/>
              <w:ind w:left="32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96205">
              <w:rPr>
                <w:rFonts w:ascii="Times New Roman" w:eastAsia="Times New Roman" w:hAnsi="Times New Roman" w:cs="Times New Roman"/>
                <w:sz w:val="24"/>
                <w:szCs w:val="24"/>
              </w:rPr>
              <w:t>Pamatnostādnes</w:t>
            </w:r>
            <w:r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Nr.</w:t>
            </w:r>
            <w:r w:rsidR="006C5D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0632E">
              <w:rPr>
                <w:rFonts w:ascii="Times New Roman" w:eastAsia="Times New Roman" w:hAnsi="Times New Roman" w:cs="Times New Roman"/>
                <w:sz w:val="24"/>
                <w:szCs w:val="24"/>
              </w:rPr>
              <w:t>ESMA</w:t>
            </w:r>
            <w:r w:rsidR="00530918">
              <w:rPr>
                <w:rFonts w:ascii="Times New Roman" w:eastAsia="Times New Roman" w:hAnsi="Times New Roman" w:cs="Times New Roman"/>
                <w:sz w:val="24"/>
                <w:szCs w:val="24"/>
              </w:rPr>
              <w:t>70-151-294</w:t>
            </w:r>
            <w:r w:rsidR="009509EC" w:rsidRPr="009509E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241B8B7" w14:textId="4D5EDD7A" w:rsidR="00E53DE9" w:rsidRPr="009509EC" w:rsidRDefault="00A719CA" w:rsidP="009509EC">
            <w:pPr>
              <w:pStyle w:val="ListParagraph"/>
              <w:numPr>
                <w:ilvl w:val="0"/>
                <w:numId w:val="2"/>
              </w:numPr>
              <w:tabs>
                <w:tab w:val="left" w:pos="316"/>
              </w:tabs>
              <w:spacing w:after="120" w:line="240" w:lineRule="auto"/>
              <w:ind w:left="32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61A4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Noteikumi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Nr. 1</w:t>
            </w:r>
            <w:r w:rsidR="0053091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</w:t>
            </w:r>
            <w:r w:rsidR="009509EC" w:rsidRPr="009509E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D6643D" w14:paraId="4FE0FDA4" w14:textId="77777777" w:rsidTr="00BE5E50">
        <w:trPr>
          <w:trHeight w:val="619"/>
        </w:trPr>
        <w:tc>
          <w:tcPr>
            <w:tcW w:w="1874" w:type="pct"/>
            <w:shd w:val="clear" w:color="auto" w:fill="auto"/>
            <w:hideMark/>
          </w:tcPr>
          <w:p w14:paraId="0B682302" w14:textId="44D95C78" w:rsidR="00CA28AB" w:rsidRPr="00E253DA" w:rsidRDefault="00A42788" w:rsidP="00627A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E2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Saskaņošana ar Eiropas Centrālo banku</w:t>
            </w:r>
          </w:p>
        </w:tc>
        <w:tc>
          <w:tcPr>
            <w:tcW w:w="3126" w:type="pct"/>
            <w:shd w:val="clear" w:color="auto" w:fill="auto"/>
          </w:tcPr>
          <w:p w14:paraId="3513B3AF" w14:textId="080A53BD" w:rsidR="00A42788" w:rsidRPr="009509EC" w:rsidRDefault="00A61C66" w:rsidP="00594AFE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509E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  <w:r w:rsidR="0041218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B4E0A" w:rsidRPr="00D477C5" w14:paraId="69B8778A" w14:textId="77777777" w:rsidTr="003909B5">
        <w:trPr>
          <w:trHeight w:val="2292"/>
        </w:trPr>
        <w:tc>
          <w:tcPr>
            <w:tcW w:w="1874" w:type="pct"/>
            <w:shd w:val="clear" w:color="auto" w:fill="auto"/>
            <w:hideMark/>
          </w:tcPr>
          <w:p w14:paraId="1B89B617" w14:textId="11B96F6E" w:rsidR="00CA28AB" w:rsidRPr="00683CA7" w:rsidRDefault="00A42788" w:rsidP="00627A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683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 ar citām publiskām un privātām personām</w:t>
            </w:r>
          </w:p>
        </w:tc>
        <w:tc>
          <w:tcPr>
            <w:tcW w:w="3126" w:type="pct"/>
            <w:shd w:val="clear" w:color="auto" w:fill="auto"/>
          </w:tcPr>
          <w:p w14:paraId="3A6F12BD" w14:textId="5BC0ED61" w:rsidR="003909B5" w:rsidRPr="003909B5" w:rsidRDefault="003909B5" w:rsidP="003909B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  <w:r w:rsidRPr="003909B5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Noteikumu projekts </w:t>
            </w:r>
            <w:r w:rsidR="00642DB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2023. gada 13. decembrī </w:t>
            </w:r>
            <w:r w:rsidRPr="003909B5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tika publicēts Latvijas Bankas tīmekļvietnes www.bank.lv sadaļā "Sabiedrības līdzdalība", un par to bija iespējama sabiedrības līdzdalība līdz </w:t>
            </w:r>
            <w:r w:rsidR="00642DB3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2023. gada 27. decembrim</w:t>
            </w: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0D1B41D0" w14:textId="11AB9B98" w:rsidR="00FE466F" w:rsidRPr="00683CA7" w:rsidRDefault="003909B5" w:rsidP="003909B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909B5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Vienlaikus par noteikumu projektu un notiekošo sabiedrības līdzdalību tika informēt</w:t>
            </w:r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Nasdaq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 xml:space="preserve"> CSD SE.</w:t>
            </w:r>
          </w:p>
        </w:tc>
      </w:tr>
      <w:tr w:rsidR="000B4E0A" w:rsidRPr="00D477C5" w14:paraId="12671EBA" w14:textId="77777777" w:rsidTr="003C2BC7">
        <w:trPr>
          <w:trHeight w:val="567"/>
        </w:trPr>
        <w:tc>
          <w:tcPr>
            <w:tcW w:w="1874" w:type="pct"/>
            <w:shd w:val="clear" w:color="auto" w:fill="auto"/>
            <w:hideMark/>
          </w:tcPr>
          <w:p w14:paraId="70368148" w14:textId="53CBB3B6" w:rsidR="00CA28AB" w:rsidRPr="004D2568" w:rsidRDefault="00A42788" w:rsidP="00627AA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D2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Saskaņošanas rezultāti</w:t>
            </w:r>
          </w:p>
        </w:tc>
        <w:tc>
          <w:tcPr>
            <w:tcW w:w="3126" w:type="pct"/>
            <w:shd w:val="clear" w:color="auto" w:fill="auto"/>
          </w:tcPr>
          <w:p w14:paraId="760AABA0" w14:textId="0666229B" w:rsidR="00E53DE9" w:rsidRPr="00FE466F" w:rsidRDefault="003909B5" w:rsidP="00CD79AD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909B5">
              <w:rPr>
                <w:rFonts w:ascii="Times New Roman" w:hAnsi="Times New Roman" w:cs="Times New Roman"/>
                <w:sz w:val="24"/>
                <w:szCs w:val="24"/>
                <w:lang w:eastAsia="lv-LV"/>
              </w:rPr>
              <w:t>Sabiedrības līdzdalības rezultātā par noteikumu projektu netika saņemti iebildumi vai priekšlikumi, tādējādi noteikumu projekts ir saskaņots bez iebildumiem vai priekšlikumiem.</w:t>
            </w:r>
          </w:p>
        </w:tc>
      </w:tr>
    </w:tbl>
    <w:p w14:paraId="73F71BD3" w14:textId="77777777" w:rsidR="00E53DE9" w:rsidRPr="000B4E0A" w:rsidRDefault="00E53DE9" w:rsidP="004121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53DE9" w:rsidRPr="000B4E0A" w:rsidSect="00412181">
      <w:headerReference w:type="default" r:id="rId12"/>
      <w:pgSz w:w="11906" w:h="16838" w:code="9"/>
      <w:pgMar w:top="1134" w:right="1134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0776C" w14:textId="77777777" w:rsidR="00EA275C" w:rsidRDefault="00EA275C" w:rsidP="009B27BE">
      <w:pPr>
        <w:spacing w:after="0" w:line="240" w:lineRule="auto"/>
      </w:pPr>
      <w:r>
        <w:separator/>
      </w:r>
    </w:p>
  </w:endnote>
  <w:endnote w:type="continuationSeparator" w:id="0">
    <w:p w14:paraId="061733FE" w14:textId="77777777" w:rsidR="00EA275C" w:rsidRDefault="00EA275C" w:rsidP="009B2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1987D" w14:textId="77777777" w:rsidR="00EA275C" w:rsidRDefault="00EA275C" w:rsidP="009B27BE">
      <w:pPr>
        <w:spacing w:after="0" w:line="240" w:lineRule="auto"/>
      </w:pPr>
      <w:r>
        <w:separator/>
      </w:r>
    </w:p>
  </w:footnote>
  <w:footnote w:type="continuationSeparator" w:id="0">
    <w:p w14:paraId="771A7924" w14:textId="77777777" w:rsidR="00EA275C" w:rsidRDefault="00EA275C" w:rsidP="009B2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3890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2A95D45" w14:textId="77777777" w:rsidR="007E313B" w:rsidRPr="007E313B" w:rsidRDefault="007E313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E313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E313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E313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7E313B">
          <w:rPr>
            <w:rFonts w:ascii="Times New Roman" w:hAnsi="Times New Roman" w:cs="Times New Roman"/>
            <w:sz w:val="20"/>
            <w:szCs w:val="20"/>
          </w:rPr>
          <w:t>2</w:t>
        </w:r>
        <w:r w:rsidRPr="007E313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66BC250" w14:textId="77777777" w:rsidR="007E313B" w:rsidRDefault="007E31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930CA"/>
    <w:multiLevelType w:val="hybridMultilevel"/>
    <w:tmpl w:val="ECE21B7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91C88"/>
    <w:multiLevelType w:val="hybridMultilevel"/>
    <w:tmpl w:val="90DE0D78"/>
    <w:lvl w:ilvl="0" w:tplc="418ACFDA">
      <w:start w:val="1"/>
      <w:numFmt w:val="decimal"/>
      <w:lvlText w:val="%1)"/>
      <w:lvlJc w:val="left"/>
      <w:pPr>
        <w:ind w:left="39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5" w:hanging="360"/>
      </w:pPr>
    </w:lvl>
    <w:lvl w:ilvl="2" w:tplc="0426001B" w:tentative="1">
      <w:start w:val="1"/>
      <w:numFmt w:val="lowerRoman"/>
      <w:lvlText w:val="%3."/>
      <w:lvlJc w:val="right"/>
      <w:pPr>
        <w:ind w:left="1835" w:hanging="180"/>
      </w:pPr>
    </w:lvl>
    <w:lvl w:ilvl="3" w:tplc="0426000F" w:tentative="1">
      <w:start w:val="1"/>
      <w:numFmt w:val="decimal"/>
      <w:lvlText w:val="%4."/>
      <w:lvlJc w:val="left"/>
      <w:pPr>
        <w:ind w:left="2555" w:hanging="360"/>
      </w:pPr>
    </w:lvl>
    <w:lvl w:ilvl="4" w:tplc="04260019" w:tentative="1">
      <w:start w:val="1"/>
      <w:numFmt w:val="lowerLetter"/>
      <w:lvlText w:val="%5."/>
      <w:lvlJc w:val="left"/>
      <w:pPr>
        <w:ind w:left="3275" w:hanging="360"/>
      </w:pPr>
    </w:lvl>
    <w:lvl w:ilvl="5" w:tplc="0426001B" w:tentative="1">
      <w:start w:val="1"/>
      <w:numFmt w:val="lowerRoman"/>
      <w:lvlText w:val="%6."/>
      <w:lvlJc w:val="right"/>
      <w:pPr>
        <w:ind w:left="3995" w:hanging="180"/>
      </w:pPr>
    </w:lvl>
    <w:lvl w:ilvl="6" w:tplc="0426000F" w:tentative="1">
      <w:start w:val="1"/>
      <w:numFmt w:val="decimal"/>
      <w:lvlText w:val="%7."/>
      <w:lvlJc w:val="left"/>
      <w:pPr>
        <w:ind w:left="4715" w:hanging="360"/>
      </w:pPr>
    </w:lvl>
    <w:lvl w:ilvl="7" w:tplc="04260019" w:tentative="1">
      <w:start w:val="1"/>
      <w:numFmt w:val="lowerLetter"/>
      <w:lvlText w:val="%8."/>
      <w:lvlJc w:val="left"/>
      <w:pPr>
        <w:ind w:left="5435" w:hanging="360"/>
      </w:pPr>
    </w:lvl>
    <w:lvl w:ilvl="8" w:tplc="0426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2" w15:restartNumberingAfterBreak="0">
    <w:nsid w:val="2A3455B7"/>
    <w:multiLevelType w:val="hybridMultilevel"/>
    <w:tmpl w:val="0674F8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37E9"/>
    <w:multiLevelType w:val="hybridMultilevel"/>
    <w:tmpl w:val="0DFE21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672E49"/>
    <w:multiLevelType w:val="hybridMultilevel"/>
    <w:tmpl w:val="9594DDBE"/>
    <w:lvl w:ilvl="0" w:tplc="B63812F4">
      <w:start w:val="1"/>
      <w:numFmt w:val="decimal"/>
      <w:lvlText w:val="%1)"/>
      <w:lvlJc w:val="left"/>
      <w:pPr>
        <w:ind w:left="39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5" w:hanging="360"/>
      </w:pPr>
    </w:lvl>
    <w:lvl w:ilvl="2" w:tplc="0426001B" w:tentative="1">
      <w:start w:val="1"/>
      <w:numFmt w:val="lowerRoman"/>
      <w:lvlText w:val="%3."/>
      <w:lvlJc w:val="right"/>
      <w:pPr>
        <w:ind w:left="1835" w:hanging="180"/>
      </w:pPr>
    </w:lvl>
    <w:lvl w:ilvl="3" w:tplc="0426000F" w:tentative="1">
      <w:start w:val="1"/>
      <w:numFmt w:val="decimal"/>
      <w:lvlText w:val="%4."/>
      <w:lvlJc w:val="left"/>
      <w:pPr>
        <w:ind w:left="2555" w:hanging="360"/>
      </w:pPr>
    </w:lvl>
    <w:lvl w:ilvl="4" w:tplc="04260019" w:tentative="1">
      <w:start w:val="1"/>
      <w:numFmt w:val="lowerLetter"/>
      <w:lvlText w:val="%5."/>
      <w:lvlJc w:val="left"/>
      <w:pPr>
        <w:ind w:left="3275" w:hanging="360"/>
      </w:pPr>
    </w:lvl>
    <w:lvl w:ilvl="5" w:tplc="0426001B" w:tentative="1">
      <w:start w:val="1"/>
      <w:numFmt w:val="lowerRoman"/>
      <w:lvlText w:val="%6."/>
      <w:lvlJc w:val="right"/>
      <w:pPr>
        <w:ind w:left="3995" w:hanging="180"/>
      </w:pPr>
    </w:lvl>
    <w:lvl w:ilvl="6" w:tplc="0426000F" w:tentative="1">
      <w:start w:val="1"/>
      <w:numFmt w:val="decimal"/>
      <w:lvlText w:val="%7."/>
      <w:lvlJc w:val="left"/>
      <w:pPr>
        <w:ind w:left="4715" w:hanging="360"/>
      </w:pPr>
    </w:lvl>
    <w:lvl w:ilvl="7" w:tplc="04260019" w:tentative="1">
      <w:start w:val="1"/>
      <w:numFmt w:val="lowerLetter"/>
      <w:lvlText w:val="%8."/>
      <w:lvlJc w:val="left"/>
      <w:pPr>
        <w:ind w:left="5435" w:hanging="360"/>
      </w:pPr>
    </w:lvl>
    <w:lvl w:ilvl="8" w:tplc="0426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5" w15:restartNumberingAfterBreak="0">
    <w:nsid w:val="442D387C"/>
    <w:multiLevelType w:val="hybridMultilevel"/>
    <w:tmpl w:val="8CA63590"/>
    <w:lvl w:ilvl="0" w:tplc="35068ED8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2"/>
        <w:szCs w:val="22"/>
      </w:rPr>
    </w:lvl>
    <w:lvl w:ilvl="1" w:tplc="3384BDBC">
      <w:start w:val="1"/>
      <w:numFmt w:val="decimal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296B6A"/>
    <w:multiLevelType w:val="hybridMultilevel"/>
    <w:tmpl w:val="4CBEA936"/>
    <w:lvl w:ilvl="0" w:tplc="04260011">
      <w:start w:val="1"/>
      <w:numFmt w:val="decimal"/>
      <w:lvlText w:val="%1)"/>
      <w:lvlJc w:val="left"/>
      <w:pPr>
        <w:ind w:left="5180" w:hanging="360"/>
      </w:pPr>
      <w:rPr>
        <w:rFonts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B55F73"/>
    <w:multiLevelType w:val="hybridMultilevel"/>
    <w:tmpl w:val="90DE0D78"/>
    <w:lvl w:ilvl="0" w:tplc="FFFFFFFF">
      <w:start w:val="1"/>
      <w:numFmt w:val="decimal"/>
      <w:lvlText w:val="%1)"/>
      <w:lvlJc w:val="left"/>
      <w:pPr>
        <w:ind w:left="3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5" w:hanging="360"/>
      </w:pPr>
    </w:lvl>
    <w:lvl w:ilvl="2" w:tplc="FFFFFFFF" w:tentative="1">
      <w:start w:val="1"/>
      <w:numFmt w:val="lowerRoman"/>
      <w:lvlText w:val="%3."/>
      <w:lvlJc w:val="right"/>
      <w:pPr>
        <w:ind w:left="1835" w:hanging="180"/>
      </w:pPr>
    </w:lvl>
    <w:lvl w:ilvl="3" w:tplc="FFFFFFFF" w:tentative="1">
      <w:start w:val="1"/>
      <w:numFmt w:val="decimal"/>
      <w:lvlText w:val="%4."/>
      <w:lvlJc w:val="left"/>
      <w:pPr>
        <w:ind w:left="2555" w:hanging="360"/>
      </w:pPr>
    </w:lvl>
    <w:lvl w:ilvl="4" w:tplc="FFFFFFFF" w:tentative="1">
      <w:start w:val="1"/>
      <w:numFmt w:val="lowerLetter"/>
      <w:lvlText w:val="%5."/>
      <w:lvlJc w:val="left"/>
      <w:pPr>
        <w:ind w:left="3275" w:hanging="360"/>
      </w:pPr>
    </w:lvl>
    <w:lvl w:ilvl="5" w:tplc="FFFFFFFF" w:tentative="1">
      <w:start w:val="1"/>
      <w:numFmt w:val="lowerRoman"/>
      <w:lvlText w:val="%6."/>
      <w:lvlJc w:val="right"/>
      <w:pPr>
        <w:ind w:left="3995" w:hanging="180"/>
      </w:pPr>
    </w:lvl>
    <w:lvl w:ilvl="6" w:tplc="FFFFFFFF" w:tentative="1">
      <w:start w:val="1"/>
      <w:numFmt w:val="decimal"/>
      <w:lvlText w:val="%7."/>
      <w:lvlJc w:val="left"/>
      <w:pPr>
        <w:ind w:left="4715" w:hanging="360"/>
      </w:pPr>
    </w:lvl>
    <w:lvl w:ilvl="7" w:tplc="FFFFFFFF" w:tentative="1">
      <w:start w:val="1"/>
      <w:numFmt w:val="lowerLetter"/>
      <w:lvlText w:val="%8."/>
      <w:lvlJc w:val="left"/>
      <w:pPr>
        <w:ind w:left="5435" w:hanging="360"/>
      </w:pPr>
    </w:lvl>
    <w:lvl w:ilvl="8" w:tplc="FFFFFFFF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8" w15:restartNumberingAfterBreak="0">
    <w:nsid w:val="7ADA5A80"/>
    <w:multiLevelType w:val="hybridMultilevel"/>
    <w:tmpl w:val="D28264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5184813">
    <w:abstractNumId w:val="8"/>
  </w:num>
  <w:num w:numId="2" w16cid:durableId="673145142">
    <w:abstractNumId w:val="6"/>
  </w:num>
  <w:num w:numId="3" w16cid:durableId="817187280">
    <w:abstractNumId w:val="2"/>
  </w:num>
  <w:num w:numId="4" w16cid:durableId="542644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18358224">
    <w:abstractNumId w:val="0"/>
  </w:num>
  <w:num w:numId="6" w16cid:durableId="1234850157">
    <w:abstractNumId w:val="3"/>
  </w:num>
  <w:num w:numId="7" w16cid:durableId="587927020">
    <w:abstractNumId w:val="4"/>
  </w:num>
  <w:num w:numId="8" w16cid:durableId="1563131079">
    <w:abstractNumId w:val="1"/>
  </w:num>
  <w:num w:numId="9" w16cid:durableId="21376755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7FC"/>
    <w:rsid w:val="00000F58"/>
    <w:rsid w:val="00002605"/>
    <w:rsid w:val="00004586"/>
    <w:rsid w:val="000263F5"/>
    <w:rsid w:val="0004187C"/>
    <w:rsid w:val="000436BE"/>
    <w:rsid w:val="00077E2A"/>
    <w:rsid w:val="00080340"/>
    <w:rsid w:val="0008510E"/>
    <w:rsid w:val="0009616F"/>
    <w:rsid w:val="000A2EBB"/>
    <w:rsid w:val="000B4E0A"/>
    <w:rsid w:val="000C7160"/>
    <w:rsid w:val="000F5379"/>
    <w:rsid w:val="00111677"/>
    <w:rsid w:val="00122480"/>
    <w:rsid w:val="00132070"/>
    <w:rsid w:val="00133F6A"/>
    <w:rsid w:val="00143A48"/>
    <w:rsid w:val="00173316"/>
    <w:rsid w:val="00183A1B"/>
    <w:rsid w:val="00185507"/>
    <w:rsid w:val="00185D6B"/>
    <w:rsid w:val="00191305"/>
    <w:rsid w:val="0019469E"/>
    <w:rsid w:val="00196114"/>
    <w:rsid w:val="00196FB8"/>
    <w:rsid w:val="001A247E"/>
    <w:rsid w:val="001A5171"/>
    <w:rsid w:val="001A7DC4"/>
    <w:rsid w:val="001C4C4E"/>
    <w:rsid w:val="001D5F61"/>
    <w:rsid w:val="001D6827"/>
    <w:rsid w:val="00204AD9"/>
    <w:rsid w:val="00211E7A"/>
    <w:rsid w:val="002153E1"/>
    <w:rsid w:val="00220B72"/>
    <w:rsid w:val="00223CD7"/>
    <w:rsid w:val="0023770E"/>
    <w:rsid w:val="00237F5E"/>
    <w:rsid w:val="002824AC"/>
    <w:rsid w:val="002975D7"/>
    <w:rsid w:val="002C576C"/>
    <w:rsid w:val="002C6D4F"/>
    <w:rsid w:val="002C7C4D"/>
    <w:rsid w:val="002D3589"/>
    <w:rsid w:val="002D4686"/>
    <w:rsid w:val="0030632E"/>
    <w:rsid w:val="00312077"/>
    <w:rsid w:val="0031481B"/>
    <w:rsid w:val="00322518"/>
    <w:rsid w:val="00331220"/>
    <w:rsid w:val="00334282"/>
    <w:rsid w:val="003344C2"/>
    <w:rsid w:val="0034654D"/>
    <w:rsid w:val="00364EA9"/>
    <w:rsid w:val="003909B5"/>
    <w:rsid w:val="00390BC6"/>
    <w:rsid w:val="00396E11"/>
    <w:rsid w:val="003B481B"/>
    <w:rsid w:val="003B79F5"/>
    <w:rsid w:val="003C2BC7"/>
    <w:rsid w:val="003C7D8F"/>
    <w:rsid w:val="003D348B"/>
    <w:rsid w:val="003D72A1"/>
    <w:rsid w:val="003E1E54"/>
    <w:rsid w:val="004063E4"/>
    <w:rsid w:val="00412181"/>
    <w:rsid w:val="004225DD"/>
    <w:rsid w:val="00424B41"/>
    <w:rsid w:val="00461F16"/>
    <w:rsid w:val="0046580D"/>
    <w:rsid w:val="00473C0C"/>
    <w:rsid w:val="00492341"/>
    <w:rsid w:val="0049248A"/>
    <w:rsid w:val="00494737"/>
    <w:rsid w:val="004B27FC"/>
    <w:rsid w:val="004C314D"/>
    <w:rsid w:val="004D1AD4"/>
    <w:rsid w:val="004D2568"/>
    <w:rsid w:val="004D3FF1"/>
    <w:rsid w:val="004D6EFE"/>
    <w:rsid w:val="004F0C44"/>
    <w:rsid w:val="00520634"/>
    <w:rsid w:val="00520EEC"/>
    <w:rsid w:val="00530918"/>
    <w:rsid w:val="005355B4"/>
    <w:rsid w:val="0055332D"/>
    <w:rsid w:val="0055605D"/>
    <w:rsid w:val="005670C7"/>
    <w:rsid w:val="005762B9"/>
    <w:rsid w:val="00582AE8"/>
    <w:rsid w:val="0058463C"/>
    <w:rsid w:val="005866E8"/>
    <w:rsid w:val="00594AFE"/>
    <w:rsid w:val="00596205"/>
    <w:rsid w:val="005A066E"/>
    <w:rsid w:val="005A2ADC"/>
    <w:rsid w:val="005A5EBF"/>
    <w:rsid w:val="005B3E28"/>
    <w:rsid w:val="005B5BAA"/>
    <w:rsid w:val="005C5FD5"/>
    <w:rsid w:val="005D0798"/>
    <w:rsid w:val="005D2EA0"/>
    <w:rsid w:val="005F4CF6"/>
    <w:rsid w:val="005F5835"/>
    <w:rsid w:val="006000EF"/>
    <w:rsid w:val="0060016E"/>
    <w:rsid w:val="00614629"/>
    <w:rsid w:val="00627AAC"/>
    <w:rsid w:val="00633BB2"/>
    <w:rsid w:val="00642172"/>
    <w:rsid w:val="00642DB3"/>
    <w:rsid w:val="0066497B"/>
    <w:rsid w:val="00664A51"/>
    <w:rsid w:val="006656E9"/>
    <w:rsid w:val="00667FAF"/>
    <w:rsid w:val="006740BC"/>
    <w:rsid w:val="00683CA7"/>
    <w:rsid w:val="00683E94"/>
    <w:rsid w:val="006854F3"/>
    <w:rsid w:val="00691715"/>
    <w:rsid w:val="006A1CA0"/>
    <w:rsid w:val="006A4E4D"/>
    <w:rsid w:val="006C5D94"/>
    <w:rsid w:val="006D141D"/>
    <w:rsid w:val="006D71EB"/>
    <w:rsid w:val="006E2031"/>
    <w:rsid w:val="00702C35"/>
    <w:rsid w:val="0072585D"/>
    <w:rsid w:val="00736E67"/>
    <w:rsid w:val="00744D90"/>
    <w:rsid w:val="00752969"/>
    <w:rsid w:val="00756820"/>
    <w:rsid w:val="00761A43"/>
    <w:rsid w:val="00762371"/>
    <w:rsid w:val="00764248"/>
    <w:rsid w:val="007669E0"/>
    <w:rsid w:val="00774265"/>
    <w:rsid w:val="0077576E"/>
    <w:rsid w:val="00777CDF"/>
    <w:rsid w:val="00783727"/>
    <w:rsid w:val="00790CDB"/>
    <w:rsid w:val="00795C70"/>
    <w:rsid w:val="00797A30"/>
    <w:rsid w:val="007A47CA"/>
    <w:rsid w:val="007A6267"/>
    <w:rsid w:val="007B0E4C"/>
    <w:rsid w:val="007B6763"/>
    <w:rsid w:val="007E313B"/>
    <w:rsid w:val="00801376"/>
    <w:rsid w:val="00814209"/>
    <w:rsid w:val="00836F68"/>
    <w:rsid w:val="0084203B"/>
    <w:rsid w:val="00856756"/>
    <w:rsid w:val="00861ABD"/>
    <w:rsid w:val="00874469"/>
    <w:rsid w:val="0088444E"/>
    <w:rsid w:val="0088571F"/>
    <w:rsid w:val="008927AE"/>
    <w:rsid w:val="008B7F6A"/>
    <w:rsid w:val="008E092F"/>
    <w:rsid w:val="008E7ACA"/>
    <w:rsid w:val="0090462F"/>
    <w:rsid w:val="009107E3"/>
    <w:rsid w:val="009200E9"/>
    <w:rsid w:val="00920831"/>
    <w:rsid w:val="009240AD"/>
    <w:rsid w:val="00944A05"/>
    <w:rsid w:val="009509EC"/>
    <w:rsid w:val="00983FF9"/>
    <w:rsid w:val="009A2F99"/>
    <w:rsid w:val="009A6389"/>
    <w:rsid w:val="009B22BF"/>
    <w:rsid w:val="009B27BE"/>
    <w:rsid w:val="009B67E0"/>
    <w:rsid w:val="009D69BC"/>
    <w:rsid w:val="009E68E2"/>
    <w:rsid w:val="00A0418B"/>
    <w:rsid w:val="00A1015D"/>
    <w:rsid w:val="00A42788"/>
    <w:rsid w:val="00A61C66"/>
    <w:rsid w:val="00A647ED"/>
    <w:rsid w:val="00A719CA"/>
    <w:rsid w:val="00A75396"/>
    <w:rsid w:val="00A76947"/>
    <w:rsid w:val="00A803F7"/>
    <w:rsid w:val="00AA5CC9"/>
    <w:rsid w:val="00AC1800"/>
    <w:rsid w:val="00AE2BA4"/>
    <w:rsid w:val="00AE7E4C"/>
    <w:rsid w:val="00B03A22"/>
    <w:rsid w:val="00B239A5"/>
    <w:rsid w:val="00B40B05"/>
    <w:rsid w:val="00B62244"/>
    <w:rsid w:val="00B66314"/>
    <w:rsid w:val="00B75C7B"/>
    <w:rsid w:val="00B82B4B"/>
    <w:rsid w:val="00B95DAB"/>
    <w:rsid w:val="00B9684F"/>
    <w:rsid w:val="00BC0330"/>
    <w:rsid w:val="00BC6039"/>
    <w:rsid w:val="00BE5E50"/>
    <w:rsid w:val="00C039F7"/>
    <w:rsid w:val="00C15CDD"/>
    <w:rsid w:val="00C173D5"/>
    <w:rsid w:val="00C17930"/>
    <w:rsid w:val="00C277E7"/>
    <w:rsid w:val="00C35B1D"/>
    <w:rsid w:val="00C41BDD"/>
    <w:rsid w:val="00C45806"/>
    <w:rsid w:val="00C639D4"/>
    <w:rsid w:val="00C71C0C"/>
    <w:rsid w:val="00C85C34"/>
    <w:rsid w:val="00C91FE7"/>
    <w:rsid w:val="00C947D3"/>
    <w:rsid w:val="00C978E9"/>
    <w:rsid w:val="00CA28AB"/>
    <w:rsid w:val="00CA7B69"/>
    <w:rsid w:val="00CB13CC"/>
    <w:rsid w:val="00CD79AD"/>
    <w:rsid w:val="00CE10A6"/>
    <w:rsid w:val="00CE16C4"/>
    <w:rsid w:val="00D01032"/>
    <w:rsid w:val="00D14304"/>
    <w:rsid w:val="00D17D5D"/>
    <w:rsid w:val="00D26B78"/>
    <w:rsid w:val="00D30C18"/>
    <w:rsid w:val="00D416BE"/>
    <w:rsid w:val="00D477C5"/>
    <w:rsid w:val="00D508D3"/>
    <w:rsid w:val="00D61AAB"/>
    <w:rsid w:val="00D6643D"/>
    <w:rsid w:val="00D7384D"/>
    <w:rsid w:val="00D90F46"/>
    <w:rsid w:val="00DA2F79"/>
    <w:rsid w:val="00DA57BD"/>
    <w:rsid w:val="00DB5953"/>
    <w:rsid w:val="00E0094D"/>
    <w:rsid w:val="00E04474"/>
    <w:rsid w:val="00E23045"/>
    <w:rsid w:val="00E253DA"/>
    <w:rsid w:val="00E53DE9"/>
    <w:rsid w:val="00E60064"/>
    <w:rsid w:val="00E65222"/>
    <w:rsid w:val="00E766D3"/>
    <w:rsid w:val="00E8030B"/>
    <w:rsid w:val="00E92D37"/>
    <w:rsid w:val="00EA275C"/>
    <w:rsid w:val="00EA2DE3"/>
    <w:rsid w:val="00EB261C"/>
    <w:rsid w:val="00EB6BF6"/>
    <w:rsid w:val="00EB7760"/>
    <w:rsid w:val="00EC2F0B"/>
    <w:rsid w:val="00ED0F22"/>
    <w:rsid w:val="00EF0FF5"/>
    <w:rsid w:val="00EF330D"/>
    <w:rsid w:val="00EF57C7"/>
    <w:rsid w:val="00EF7046"/>
    <w:rsid w:val="00F33078"/>
    <w:rsid w:val="00F33503"/>
    <w:rsid w:val="00F337C4"/>
    <w:rsid w:val="00F33974"/>
    <w:rsid w:val="00F5242A"/>
    <w:rsid w:val="00F62554"/>
    <w:rsid w:val="00F65DDF"/>
    <w:rsid w:val="00F74741"/>
    <w:rsid w:val="00FA4B91"/>
    <w:rsid w:val="00FB0E9C"/>
    <w:rsid w:val="00FC3A05"/>
    <w:rsid w:val="00FC5D3F"/>
    <w:rsid w:val="00FE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CBC0F1"/>
  <w15:chartTrackingRefBased/>
  <w15:docId w15:val="{D0C662D1-FCD3-4AE9-A7D2-22840D953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D69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69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69B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313B"/>
  </w:style>
  <w:style w:type="paragraph" w:styleId="Footer">
    <w:name w:val="footer"/>
    <w:basedOn w:val="Normal"/>
    <w:link w:val="FooterChar"/>
    <w:uiPriority w:val="99"/>
    <w:unhideWhenUsed/>
    <w:rsid w:val="007E313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313B"/>
  </w:style>
  <w:style w:type="paragraph" w:styleId="Revision">
    <w:name w:val="Revision"/>
    <w:hidden/>
    <w:uiPriority w:val="99"/>
    <w:semiHidden/>
    <w:rsid w:val="00861AB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61A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1A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1A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1A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1AB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5332D"/>
    <w:rPr>
      <w:color w:val="0563C1" w:themeColor="hyperlink"/>
      <w:u w:val="single"/>
    </w:rPr>
  </w:style>
  <w:style w:type="paragraph" w:styleId="ListParagraph">
    <w:name w:val="List Paragraph"/>
    <w:aliases w:val="Paragraphe EI,Paragraphe de liste1,EC,Dot pt,List Paragraph1,Colorful List - Accent 11,No Spacing1,List Paragraph Char Char Char,Indicator Text,Numbered Para 1,Bullet 1,F5 List Paragraph,Bullet Points,List Paragraph2,List Paragraph12"/>
    <w:basedOn w:val="Normal"/>
    <w:link w:val="ListParagraphChar"/>
    <w:uiPriority w:val="34"/>
    <w:qFormat/>
    <w:rsid w:val="0055332D"/>
    <w:pPr>
      <w:ind w:left="720"/>
      <w:contextualSpacing/>
    </w:pPr>
  </w:style>
  <w:style w:type="paragraph" w:customStyle="1" w:styleId="Default">
    <w:name w:val="Default"/>
    <w:rsid w:val="008E7A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766D3"/>
    <w:rPr>
      <w:color w:val="605E5C"/>
      <w:shd w:val="clear" w:color="auto" w:fill="E1DFDD"/>
    </w:rPr>
  </w:style>
  <w:style w:type="paragraph" w:customStyle="1" w:styleId="pf0">
    <w:name w:val="pf0"/>
    <w:basedOn w:val="Normal"/>
    <w:rsid w:val="00B66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cf01">
    <w:name w:val="cf01"/>
    <w:basedOn w:val="DefaultParagraphFont"/>
    <w:rsid w:val="00B66314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4D2568"/>
  </w:style>
  <w:style w:type="character" w:customStyle="1" w:styleId="ListParagraphChar">
    <w:name w:val="List Paragraph Char"/>
    <w:aliases w:val="Paragraphe EI Char,Paragraphe de liste1 Char,EC Char,Dot pt Char,List Paragraph1 Char,Colorful List - Accent 11 Char,No Spacing1 Char,List Paragraph Char Char Char Char,Indicator Text Char,Numbered Para 1 Char,Bullet 1 Char"/>
    <w:link w:val="ListParagraph"/>
    <w:uiPriority w:val="34"/>
    <w:qFormat/>
    <w:locked/>
    <w:rsid w:val="00DA2F7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1C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1CA0"/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y2iqfc">
    <w:name w:val="y2iqfc"/>
    <w:basedOn w:val="DefaultParagraphFont"/>
    <w:rsid w:val="006A1CA0"/>
  </w:style>
  <w:style w:type="paragraph" w:customStyle="1" w:styleId="oj-doc-ti">
    <w:name w:val="oj-doc-ti"/>
    <w:basedOn w:val="Normal"/>
    <w:rsid w:val="00CE1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FollowedHyperlink">
    <w:name w:val="FollowedHyperlink"/>
    <w:basedOn w:val="DefaultParagraphFont"/>
    <w:uiPriority w:val="99"/>
    <w:semiHidden/>
    <w:unhideWhenUsed/>
    <w:rsid w:val="0075296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BE5E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sma.europa.eu/sites/default/files/library/esma70-151-294_guidelines_on_csd_participant_default_rules_lv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053541E1AFE9DF4983746D949E3FD634" ma:contentTypeVersion="1" ma:contentTypeDescription="Izveidot jaunu dokumentu." ma:contentTypeScope="" ma:versionID="be031df6de0d6d2bc3bcaab97a2398e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3dbecf5d7db408d19abbd440ff5617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ākuma datuma plānošan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Beigu datuma plānošan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F12AF-0498-425C-B57A-1096A614A4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6979904-0F63-4506-91C9-580672D256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137E8C-5B59-4BC4-B7A2-F07207A07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F1749C-DC95-4F12-8C92-9DD966414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3385</Words>
  <Characters>1931</Characters>
  <Application>Microsoft Office Word</Application>
  <DocSecurity>0</DocSecurity>
  <Lines>16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 Kolomiets</dc:creator>
  <cp:keywords/>
  <dc:description/>
  <cp:lastModifiedBy>Ilze Grava</cp:lastModifiedBy>
  <cp:revision>4</cp:revision>
  <dcterms:created xsi:type="dcterms:W3CDTF">2023-12-11T12:57:00Z</dcterms:created>
  <dcterms:modified xsi:type="dcterms:W3CDTF">2024-01-04T10:54:00Z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0x010100053541E1AFE9DF4983746D949E3FD634</vt:lpwstr>
  </property>
</Properties>
</file>