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D2AEF" w14:textId="77777777" w:rsidR="009C42A8" w:rsidRPr="0079205D" w:rsidRDefault="000A5A83"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165937148854CB78E9A4979A413A505"/>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4D4CBB1"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54349172" w14:textId="77777777" w:rsidTr="00811BE5">
        <w:sdt>
          <w:sdtPr>
            <w:rPr>
              <w:rFonts w:cs="Times New Roman"/>
            </w:rPr>
            <w:id w:val="25447574"/>
            <w:lock w:val="sdtLocked"/>
            <w:placeholder>
              <w:docPart w:val="61ECFD4F89AA41CFA024256ECAD27BE9"/>
            </w:placeholder>
            <w:showingPlcHdr/>
          </w:sdtPr>
          <w:sdtEndPr/>
          <w:sdtContent>
            <w:tc>
              <w:tcPr>
                <w:tcW w:w="4360" w:type="dxa"/>
                <w:vAlign w:val="bottom"/>
              </w:tcPr>
              <w:p w14:paraId="22974056"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1F8BE09C" w14:textId="77777777" w:rsidR="003C1EF2" w:rsidRDefault="000A5A83" w:rsidP="00C523D5">
            <w:pPr>
              <w:pStyle w:val="NoSpacing"/>
              <w:ind w:right="-111"/>
              <w:jc w:val="right"/>
            </w:pPr>
            <w:sdt>
              <w:sdtPr>
                <w:id w:val="32932642"/>
                <w:lock w:val="sdtContentLocked"/>
                <w:placeholder>
                  <w:docPart w:val="B93859E3119746628CD91D529920C16A"/>
                </w:placeholder>
                <w:showingPlcHdr/>
              </w:sdtPr>
              <w:sdtEndPr/>
              <w:sdtContent>
                <w:r w:rsidR="00F13DD7">
                  <w:t xml:space="preserve">Noteikumi </w:t>
                </w:r>
              </w:sdtContent>
            </w:sdt>
            <w:sdt>
              <w:sdtPr>
                <w:id w:val="25447619"/>
                <w:lock w:val="sdtContentLocked"/>
                <w:placeholder>
                  <w:docPart w:val="610F9D24BE2645EFA676F5551656734B"/>
                </w:placeholder>
                <w:showingPlcHdr/>
              </w:sdtPr>
              <w:sdtEndPr/>
              <w:sdtContent>
                <w:r w:rsidR="003C1EF2">
                  <w:t xml:space="preserve">Nr. </w:t>
                </w:r>
              </w:sdtContent>
            </w:sdt>
            <w:sdt>
              <w:sdtPr>
                <w:id w:val="25447645"/>
                <w:lock w:val="sdtLocked"/>
                <w:placeholder>
                  <w:docPart w:val="CB4650B500604778A4E5622F27D62908"/>
                </w:placeholder>
                <w:showingPlcHdr/>
              </w:sdtPr>
              <w:sdtEndPr/>
              <w:sdtContent>
                <w:r w:rsidR="007A4159">
                  <w:t>_____</w:t>
                </w:r>
              </w:sdtContent>
            </w:sdt>
          </w:p>
        </w:tc>
      </w:tr>
    </w:tbl>
    <w:sdt>
      <w:sdtPr>
        <w:rPr>
          <w:rFonts w:cs="Times New Roman"/>
          <w:szCs w:val="24"/>
        </w:rPr>
        <w:id w:val="25447675"/>
        <w:lock w:val="sdtContentLocked"/>
        <w:placeholder>
          <w:docPart w:val="07E3980D042B415597A60B4A0CC2BA65"/>
        </w:placeholder>
        <w:showingPlcHdr/>
      </w:sdtPr>
      <w:sdtEndPr/>
      <w:sdtContent>
        <w:p w14:paraId="7FBC94E8" w14:textId="77777777" w:rsidR="003C1EF2" w:rsidRDefault="00C2284A" w:rsidP="00C2284A">
          <w:pPr>
            <w:rPr>
              <w:rFonts w:cs="Times New Roman"/>
              <w:szCs w:val="24"/>
            </w:rPr>
          </w:pPr>
          <w:r>
            <w:rPr>
              <w:rFonts w:cs="Times New Roman"/>
              <w:szCs w:val="24"/>
            </w:rPr>
            <w:t>Rīgā</w:t>
          </w:r>
        </w:p>
      </w:sdtContent>
    </w:sdt>
    <w:bookmarkStart w:id="1" w:name="_Hlk162007498" w:displacedByCustomXml="next"/>
    <w:sdt>
      <w:sdtPr>
        <w:rPr>
          <w:rFonts w:cs="Times New Roman"/>
          <w:b/>
          <w:color w:val="FF0000"/>
          <w:szCs w:val="24"/>
        </w:rPr>
        <w:alias w:val="Nosaukums"/>
        <w:tag w:val="Nosaukums"/>
        <w:id w:val="25447728"/>
        <w:placeholder>
          <w:docPart w:val="7CB6786DDDCF439083AB927F4471A19E"/>
        </w:placeholder>
      </w:sdtPr>
      <w:sdtEndPr>
        <w:rPr>
          <w:color w:val="auto"/>
        </w:rPr>
      </w:sdtEndPr>
      <w:sdtContent>
        <w:p w14:paraId="00A987F7" w14:textId="6B15F105" w:rsidR="00C2284A" w:rsidRPr="003F07CD" w:rsidRDefault="00587D38" w:rsidP="009B3B5A">
          <w:pPr>
            <w:spacing w:before="240" w:after="240"/>
            <w:rPr>
              <w:rFonts w:cs="Times New Roman"/>
              <w:b/>
              <w:szCs w:val="24"/>
            </w:rPr>
          </w:pPr>
          <w:r w:rsidRPr="00587D38">
            <w:rPr>
              <w:rFonts w:cs="Times New Roman"/>
              <w:b/>
              <w:szCs w:val="24"/>
            </w:rPr>
            <w:t xml:space="preserve">Ar paralēlās </w:t>
          </w:r>
          <w:r w:rsidR="003215E5">
            <w:rPr>
              <w:rFonts w:cs="Times New Roman"/>
              <w:b/>
              <w:szCs w:val="24"/>
            </w:rPr>
            <w:t>banku</w:t>
          </w:r>
          <w:r w:rsidRPr="00587D38">
            <w:rPr>
              <w:rFonts w:cs="Times New Roman"/>
              <w:b/>
              <w:szCs w:val="24"/>
            </w:rPr>
            <w:t xml:space="preserve"> sistēmas </w:t>
          </w:r>
          <w:r w:rsidR="003215E5">
            <w:rPr>
              <w:rFonts w:cs="Times New Roman"/>
              <w:b/>
              <w:szCs w:val="24"/>
            </w:rPr>
            <w:t>vienībām</w:t>
          </w:r>
          <w:r w:rsidRPr="00587D38">
            <w:rPr>
              <w:rFonts w:cs="Times New Roman"/>
              <w:b/>
              <w:szCs w:val="24"/>
            </w:rPr>
            <w:t xml:space="preserve"> veikto riska darījumu koncentrācijas riska pārvaldī</w:t>
          </w:r>
          <w:r>
            <w:rPr>
              <w:rFonts w:cs="Times New Roman"/>
              <w:b/>
              <w:szCs w:val="24"/>
            </w:rPr>
            <w:t>b</w:t>
          </w:r>
          <w:r w:rsidRPr="00587D38">
            <w:rPr>
              <w:rFonts w:cs="Times New Roman"/>
              <w:b/>
              <w:szCs w:val="24"/>
            </w:rPr>
            <w:t>as noteikumi</w:t>
          </w:r>
        </w:p>
      </w:sdtContent>
    </w:sdt>
    <w:bookmarkEnd w:id="1" w:displacedByCustomXml="prev"/>
    <w:p w14:paraId="02D1AFA1" w14:textId="77777777" w:rsidR="00C2284A" w:rsidRDefault="000A5A83" w:rsidP="00DB385B">
      <w:pPr>
        <w:jc w:val="right"/>
        <w:rPr>
          <w:rFonts w:cs="Times New Roman"/>
          <w:szCs w:val="24"/>
        </w:rPr>
      </w:pPr>
      <w:sdt>
        <w:sdtPr>
          <w:rPr>
            <w:rFonts w:cs="Times New Roman"/>
            <w:color w:val="808080"/>
            <w:szCs w:val="24"/>
          </w:rPr>
          <w:id w:val="32932717"/>
          <w:lock w:val="sdtContentLocked"/>
          <w:placeholder>
            <w:docPart w:val="52B2FA8A6F2E4A8B9AD2D820D9228EB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418E174662448B09770F29E0A204BA2"/>
          </w:placeholder>
          <w:showingPlcHdr/>
        </w:sdtPr>
        <w:sdtEndPr/>
        <w:sdtContent>
          <w:r w:rsidR="00301089">
            <w:rPr>
              <w:rFonts w:cs="Times New Roman"/>
              <w:szCs w:val="24"/>
            </w:rPr>
            <w:t>saskaņā ar</w:t>
          </w:r>
        </w:sdtContent>
      </w:sdt>
    </w:p>
    <w:sdt>
      <w:sdtPr>
        <w:rPr>
          <w:rFonts w:cs="Times New Roman"/>
          <w:szCs w:val="24"/>
        </w:rPr>
        <w:id w:val="25447800"/>
        <w:placeholder>
          <w:docPart w:val="049CEC76491743D182650C978FA35F6A"/>
        </w:placeholder>
      </w:sdtPr>
      <w:sdtEndPr/>
      <w:sdtContent>
        <w:p w14:paraId="414B5D00" w14:textId="5C281AAB" w:rsidR="00301089" w:rsidRDefault="009B3B5A" w:rsidP="00DB385B">
          <w:pPr>
            <w:jc w:val="right"/>
            <w:rPr>
              <w:rFonts w:cs="Times New Roman"/>
              <w:szCs w:val="24"/>
            </w:rPr>
          </w:pPr>
          <w:r w:rsidRPr="009B3B5A">
            <w:rPr>
              <w:rFonts w:cs="Times New Roman"/>
              <w:szCs w:val="24"/>
            </w:rPr>
            <w:t>Kredītiestāžu likuma</w:t>
          </w:r>
        </w:p>
      </w:sdtContent>
    </w:sdt>
    <w:p w14:paraId="033BA01B" w14:textId="2A882031" w:rsidR="00301089" w:rsidRPr="00FB240E" w:rsidRDefault="000A5A83" w:rsidP="00DB385B">
      <w:pPr>
        <w:jc w:val="right"/>
        <w:rPr>
          <w:rFonts w:cs="Times New Roman"/>
          <w:szCs w:val="24"/>
        </w:rPr>
      </w:pPr>
      <w:sdt>
        <w:sdtPr>
          <w:rPr>
            <w:rFonts w:cs="Times New Roman"/>
            <w:szCs w:val="24"/>
          </w:rPr>
          <w:id w:val="25447827"/>
          <w:placeholder>
            <w:docPart w:val="70DEE2A30CFE42E18DB2A52AB1808CDD"/>
          </w:placeholder>
        </w:sdtPr>
        <w:sdtEndPr/>
        <w:sdtContent>
          <w:r w:rsidR="00E1197B" w:rsidRPr="00FB240E">
            <w:rPr>
              <w:rFonts w:cs="Times New Roman"/>
              <w:szCs w:val="24"/>
            </w:rPr>
            <w:t>50</w:t>
          </w:r>
          <w:r w:rsidR="009B3B5A" w:rsidRPr="00FB240E">
            <w:rPr>
              <w:rFonts w:cs="Times New Roman"/>
              <w:szCs w:val="24"/>
            </w:rPr>
            <w:t>.</w:t>
          </w:r>
        </w:sdtContent>
      </w:sdt>
      <w:sdt>
        <w:sdtPr>
          <w:rPr>
            <w:rFonts w:cs="Times New Roman"/>
            <w:szCs w:val="24"/>
          </w:rPr>
          <w:id w:val="25447854"/>
          <w:placeholder>
            <w:docPart w:val="F483D6E3B8B44004846E2845BB851233"/>
          </w:placeholder>
        </w:sdtPr>
        <w:sdtEndPr/>
        <w:sdtContent>
          <w:r w:rsidR="00047EC7" w:rsidRPr="00FB240E">
            <w:rPr>
              <w:rFonts w:cs="Times New Roman"/>
              <w:szCs w:val="24"/>
            </w:rPr>
            <w:t> </w:t>
          </w:r>
          <w:r w:rsidR="003F07CD" w:rsidRPr="00FB240E">
            <w:rPr>
              <w:rFonts w:cs="Times New Roman"/>
              <w:szCs w:val="24"/>
            </w:rPr>
            <w:t>panta</w:t>
          </w:r>
        </w:sdtContent>
      </w:sdt>
      <w:r w:rsidR="00DB385B" w:rsidRPr="00FB240E">
        <w:rPr>
          <w:rFonts w:cs="Times New Roman"/>
          <w:szCs w:val="24"/>
        </w:rPr>
        <w:t xml:space="preserve"> </w:t>
      </w:r>
      <w:sdt>
        <w:sdtPr>
          <w:rPr>
            <w:rFonts w:cs="Times New Roman"/>
            <w:szCs w:val="24"/>
          </w:rPr>
          <w:id w:val="25447881"/>
          <w:placeholder>
            <w:docPart w:val="22433ED5FBD84964B7F91A82BC86B73B"/>
          </w:placeholder>
        </w:sdtPr>
        <w:sdtEndPr/>
        <w:sdtContent>
          <w:r w:rsidR="00E1197B" w:rsidRPr="00FB240E">
            <w:rPr>
              <w:rFonts w:cs="Times New Roman"/>
              <w:szCs w:val="24"/>
            </w:rPr>
            <w:t>otro</w:t>
          </w:r>
        </w:sdtContent>
      </w:sdt>
      <w:r w:rsidR="00DB385B" w:rsidRPr="00FB240E">
        <w:rPr>
          <w:rFonts w:cs="Times New Roman"/>
          <w:szCs w:val="24"/>
        </w:rPr>
        <w:t xml:space="preserve"> daļ</w:t>
      </w:r>
      <w:r w:rsidR="009B3B5A" w:rsidRPr="00FB240E">
        <w:rPr>
          <w:rFonts w:cs="Times New Roman"/>
          <w:szCs w:val="24"/>
        </w:rPr>
        <w:t>u</w:t>
      </w:r>
    </w:p>
    <w:p w14:paraId="2179E189" w14:textId="77777777" w:rsidR="00840034" w:rsidRDefault="00840034" w:rsidP="00BA52FC">
      <w:pPr>
        <w:pStyle w:val="NAnodalaromiesucipari"/>
      </w:pPr>
      <w:r w:rsidRPr="00796018">
        <w:t>Vispārīgie jautājumi</w:t>
      </w:r>
    </w:p>
    <w:p w14:paraId="5CECB1B3" w14:textId="593B1D63" w:rsidR="00F518D7" w:rsidRDefault="0011252B" w:rsidP="00294FF0">
      <w:pPr>
        <w:pStyle w:val="NApunkts1"/>
      </w:pPr>
      <w:r w:rsidRPr="00732AFA">
        <w:t>Noteikumi nosaka</w:t>
      </w:r>
      <w:r w:rsidR="00F518D7">
        <w:t xml:space="preserve"> </w:t>
      </w:r>
      <w:r w:rsidR="000710C5" w:rsidRPr="00732AFA">
        <w:t xml:space="preserve">prasības </w:t>
      </w:r>
      <w:r w:rsidR="00F518D7" w:rsidRPr="00F518D7">
        <w:t xml:space="preserve">koncentrācijas riska, kas rodas no riska darījumiem ar paralēlās banku sistēmas vienībām, </w:t>
      </w:r>
      <w:r w:rsidR="00843A02">
        <w:t xml:space="preserve">pārvaldībai, </w:t>
      </w:r>
      <w:r w:rsidR="00F518D7" w:rsidRPr="00F518D7">
        <w:t>tostarp kopējā ierobežojuma un individuālo ierobežojumu noteikšanai riska darījumiem ar paralēlās banku sistēmas vienībām</w:t>
      </w:r>
      <w:r w:rsidR="00F518D7">
        <w:t>.</w:t>
      </w:r>
    </w:p>
    <w:p w14:paraId="790EA11B" w14:textId="2AB8789D" w:rsidR="00AE2407" w:rsidRPr="00732AFA" w:rsidRDefault="00AE2407" w:rsidP="00C902AC">
      <w:pPr>
        <w:pStyle w:val="NApunkts1"/>
      </w:pPr>
      <w:r w:rsidRPr="00732AFA">
        <w:t>Noteikumos lietoti šādi termini:</w:t>
      </w:r>
    </w:p>
    <w:p w14:paraId="73382F5D" w14:textId="34FFDBAB" w:rsidR="00AE2407" w:rsidRPr="00732AFA" w:rsidRDefault="00AE2407" w:rsidP="00AE2407">
      <w:pPr>
        <w:pStyle w:val="NApunkts2"/>
      </w:pPr>
      <w:bookmarkStart w:id="2" w:name="_Hlk162422414"/>
      <w:r w:rsidRPr="00732AFA">
        <w:t xml:space="preserve"> paralēlās </w:t>
      </w:r>
      <w:r w:rsidR="00230AD5" w:rsidRPr="00732AFA">
        <w:t xml:space="preserve">banku </w:t>
      </w:r>
      <w:r w:rsidRPr="00732AFA">
        <w:t xml:space="preserve">sistēmas </w:t>
      </w:r>
      <w:r w:rsidR="00230AD5" w:rsidRPr="00732AFA">
        <w:t>vienības</w:t>
      </w:r>
      <w:r w:rsidR="00EC5D46" w:rsidRPr="00732AFA">
        <w:t> </w:t>
      </w:r>
      <w:r w:rsidRPr="00732AFA">
        <w:t>– Komisijas 2023.</w:t>
      </w:r>
      <w:r w:rsidR="00E87C72" w:rsidRPr="00732AFA">
        <w:t> </w:t>
      </w:r>
      <w:r w:rsidRPr="00732AFA">
        <w:t>gada 6.</w:t>
      </w:r>
      <w:r w:rsidR="00E87C72" w:rsidRPr="00732AFA">
        <w:t> </w:t>
      </w:r>
      <w:r w:rsidRPr="00732AFA">
        <w:t>septembra deleģētās regulas (ES)</w:t>
      </w:r>
      <w:r w:rsidR="00047EC7" w:rsidRPr="00732AFA">
        <w:t> </w:t>
      </w:r>
      <w:r w:rsidRPr="00732AFA">
        <w:t xml:space="preserve">2023/2779, ar ko Eiropas Parlamenta un Padomes </w:t>
      </w:r>
      <w:r w:rsidR="00F81D28" w:rsidRPr="00732AFA">
        <w:t>r</w:t>
      </w:r>
      <w:r w:rsidRPr="00732AFA">
        <w:t>egulu (ES) Nr.</w:t>
      </w:r>
      <w:r w:rsidR="00E87C72" w:rsidRPr="00732AFA">
        <w:t> </w:t>
      </w:r>
      <w:r w:rsidRPr="00732AFA">
        <w:t xml:space="preserve">575/2013 papildina attiecībā uz regulatīvajiem tehniskajiem standartiem, ar kuriem precizē kritērijus </w:t>
      </w:r>
      <w:r w:rsidR="00F81D28" w:rsidRPr="00732AFA">
        <w:t>r</w:t>
      </w:r>
      <w:r w:rsidRPr="00732AFA">
        <w:t>egulas (ES) Nr.</w:t>
      </w:r>
      <w:r w:rsidR="00E87C72" w:rsidRPr="00732AFA">
        <w:t> </w:t>
      </w:r>
      <w:r w:rsidRPr="00732AFA">
        <w:t>575/2013 394.</w:t>
      </w:r>
      <w:r w:rsidR="00E87C72" w:rsidRPr="00732AFA">
        <w:t> </w:t>
      </w:r>
      <w:r w:rsidRPr="00732AFA">
        <w:t>panta 2.</w:t>
      </w:r>
      <w:r w:rsidR="00E87C72" w:rsidRPr="00732AFA">
        <w:t> </w:t>
      </w:r>
      <w:r w:rsidRPr="00732AFA">
        <w:t>punktā minēto paralēlās banku sistēmas vienību identificēšanai (turpmāk</w:t>
      </w:r>
      <w:r w:rsidR="00E87C72" w:rsidRPr="00732AFA">
        <w:t> </w:t>
      </w:r>
      <w:r w:rsidRPr="00732AFA">
        <w:t>– Regula Nr.</w:t>
      </w:r>
      <w:r w:rsidR="00E87C72" w:rsidRPr="00732AFA">
        <w:t> </w:t>
      </w:r>
      <w:r w:rsidRPr="00732AFA">
        <w:t>2023/2779)</w:t>
      </w:r>
      <w:r w:rsidR="00A84BBF" w:rsidRPr="00732AFA">
        <w:t xml:space="preserve"> 1.</w:t>
      </w:r>
      <w:r w:rsidR="00E87C72" w:rsidRPr="00732AFA">
        <w:t> </w:t>
      </w:r>
      <w:r w:rsidR="00A84BBF" w:rsidRPr="00732AFA">
        <w:t>panta izpratnē</w:t>
      </w:r>
      <w:bookmarkEnd w:id="2"/>
      <w:r w:rsidR="00E37A29" w:rsidRPr="00732AFA">
        <w:t>;</w:t>
      </w:r>
    </w:p>
    <w:p w14:paraId="021A0CE9" w14:textId="25CDCC9E" w:rsidR="00AE2407" w:rsidRDefault="00AE2407" w:rsidP="0060265D">
      <w:pPr>
        <w:pStyle w:val="NApunkts2"/>
      </w:pPr>
      <w:r w:rsidRPr="008F6B0A">
        <w:t xml:space="preserve">riska darījumi ar paralēlās </w:t>
      </w:r>
      <w:r w:rsidR="00230AD5" w:rsidRPr="008F6B0A">
        <w:t xml:space="preserve">banku </w:t>
      </w:r>
      <w:r w:rsidRPr="008F6B0A">
        <w:t xml:space="preserve">sistēmas </w:t>
      </w:r>
      <w:r w:rsidR="00230AD5" w:rsidRPr="008F6B0A">
        <w:t>vienībām</w:t>
      </w:r>
      <w:r w:rsidR="00E1197B" w:rsidRPr="008F6B0A">
        <w:t> </w:t>
      </w:r>
      <w:r w:rsidRPr="008F6B0A">
        <w:t xml:space="preserve">– riska darījumi ar individuālām paralēlās </w:t>
      </w:r>
      <w:r w:rsidR="00230AD5" w:rsidRPr="008F6B0A">
        <w:t xml:space="preserve">banku </w:t>
      </w:r>
      <w:r w:rsidRPr="008F6B0A">
        <w:t xml:space="preserve">sistēmas </w:t>
      </w:r>
      <w:r w:rsidR="00230AD5" w:rsidRPr="008F6B0A">
        <w:t>vienībām</w:t>
      </w:r>
      <w:r w:rsidRPr="008F6B0A">
        <w:t xml:space="preserve">, kuru kopējā vērtība saskaņā ar </w:t>
      </w:r>
      <w:r w:rsidR="0060265D" w:rsidRPr="0060265D">
        <w:t>Eiropas Parlamenta un Padomes 2013.</w:t>
      </w:r>
      <w:r w:rsidR="0060265D">
        <w:t> </w:t>
      </w:r>
      <w:r w:rsidR="0060265D" w:rsidRPr="0060265D">
        <w:t>gada 26.</w:t>
      </w:r>
      <w:r w:rsidR="0060265D">
        <w:t> </w:t>
      </w:r>
      <w:r w:rsidR="0060265D" w:rsidRPr="0060265D">
        <w:t>jūnija regulas (ES) Nr.</w:t>
      </w:r>
      <w:r w:rsidR="0060265D">
        <w:t> </w:t>
      </w:r>
      <w:r w:rsidR="0060265D" w:rsidRPr="0060265D">
        <w:t>575/2013 par prudenciālajām prasībām attiecībā uz kredītiestādēm, un ar ko groza regulu (ES) Nr.</w:t>
      </w:r>
      <w:r w:rsidR="0060265D">
        <w:t> </w:t>
      </w:r>
      <w:r w:rsidR="0060265D" w:rsidRPr="0060265D">
        <w:t>648/2012 (turpmāk</w:t>
      </w:r>
      <w:r w:rsidR="0060265D">
        <w:t> </w:t>
      </w:r>
      <w:r w:rsidR="0060265D" w:rsidRPr="0060265D">
        <w:t>– Regula Nr.</w:t>
      </w:r>
      <w:r w:rsidR="0060265D">
        <w:t> </w:t>
      </w:r>
      <w:r w:rsidR="0060265D" w:rsidRPr="0060265D">
        <w:t xml:space="preserve">575/2013) </w:t>
      </w:r>
      <w:r w:rsidR="00A9270F" w:rsidRPr="008F6B0A">
        <w:t>C</w:t>
      </w:r>
      <w:r w:rsidRPr="008F6B0A">
        <w:t>eturto daļu, ņemot vērā kredītriska mazināšanas ietekmi saskaņā ar minētās regulas 399.</w:t>
      </w:r>
      <w:r w:rsidR="005570A6" w:rsidRPr="008F6B0A">
        <w:t xml:space="preserve">, 401., 402. un </w:t>
      </w:r>
      <w:r w:rsidRPr="008F6B0A">
        <w:t>403.</w:t>
      </w:r>
      <w:r w:rsidR="00E87C72" w:rsidRPr="008F6B0A">
        <w:t> </w:t>
      </w:r>
      <w:r w:rsidRPr="008F6B0A">
        <w:t xml:space="preserve">pantu un </w:t>
      </w:r>
      <w:r w:rsidR="006447AD" w:rsidRPr="008F6B0A">
        <w:t xml:space="preserve">atbrīvojumus </w:t>
      </w:r>
      <w:r w:rsidRPr="008F6B0A">
        <w:t>saskaņā ar minētās regulas 400.</w:t>
      </w:r>
      <w:r w:rsidR="00E87C72" w:rsidRPr="008F6B0A">
        <w:t> </w:t>
      </w:r>
      <w:r w:rsidR="006A66D4" w:rsidRPr="008F6B0A">
        <w:t xml:space="preserve">panta 1. punktu un </w:t>
      </w:r>
      <w:r w:rsidR="006447AD" w:rsidRPr="008F6B0A">
        <w:t xml:space="preserve">Latvijas Bankas </w:t>
      </w:r>
      <w:r w:rsidR="00997EDF" w:rsidRPr="008F6B0A">
        <w:t>noteikum</w:t>
      </w:r>
      <w:r w:rsidR="005245E6" w:rsidRPr="008F6B0A">
        <w:t>iem</w:t>
      </w:r>
      <w:r w:rsidR="00997EDF" w:rsidRPr="008F6B0A">
        <w:t xml:space="preserve">, kas nosaka </w:t>
      </w:r>
      <w:r w:rsidR="006447AD" w:rsidRPr="008F6B0A">
        <w:t>tieši piemērojamajos Eiropas Savienības tiesību aktos par prudenciālajām prasībām paredzēto izvēles iespēju piemērošanu</w:t>
      </w:r>
      <w:r w:rsidRPr="008F6B0A">
        <w:t xml:space="preserve">, ir vienāda </w:t>
      </w:r>
      <w:r w:rsidR="008D0954" w:rsidRPr="008F6B0A">
        <w:t>ar 0</w:t>
      </w:r>
      <w:r w:rsidR="00095563">
        <w:t>.</w:t>
      </w:r>
      <w:r w:rsidR="008D0954" w:rsidRPr="008F6B0A">
        <w:t xml:space="preserve">25 procentiem </w:t>
      </w:r>
      <w:r w:rsidRPr="008F6B0A">
        <w:t>vai pārsniedz 0</w:t>
      </w:r>
      <w:r w:rsidR="00095563">
        <w:t>.</w:t>
      </w:r>
      <w:r w:rsidRPr="008F6B0A">
        <w:t>25</w:t>
      </w:r>
      <w:r w:rsidR="00E87C72" w:rsidRPr="008F6B0A">
        <w:t> </w:t>
      </w:r>
      <w:r w:rsidRPr="008F6B0A">
        <w:t>procentus no iestādes pirmā līmeņa kapitāla</w:t>
      </w:r>
      <w:r w:rsidR="00AA0A2F" w:rsidRPr="008F6B0A">
        <w:t>.</w:t>
      </w:r>
    </w:p>
    <w:p w14:paraId="03A175D4" w14:textId="040A8145" w:rsidR="00740DE5" w:rsidRPr="008F6B0A" w:rsidRDefault="00740DE5" w:rsidP="0060265D">
      <w:pPr>
        <w:pStyle w:val="NApunkts1"/>
      </w:pPr>
      <w:bookmarkStart w:id="3" w:name="_Hlk162422450"/>
      <w:r w:rsidRPr="00740DE5">
        <w:t>Šos noteikumus piemēro Latvijas Republikā reģistrētām kredītiestādēm, kurām ir saistoša Regula</w:t>
      </w:r>
      <w:r w:rsidR="001E7AF5">
        <w:t>s</w:t>
      </w:r>
      <w:r w:rsidRPr="00740DE5">
        <w:t xml:space="preserve"> Nr.</w:t>
      </w:r>
      <w:r w:rsidR="00447994">
        <w:t> </w:t>
      </w:r>
      <w:r w:rsidRPr="00740DE5">
        <w:t xml:space="preserve">575/2013 </w:t>
      </w:r>
      <w:r w:rsidRPr="00105A6D">
        <w:t>Ceturtā daļa saskaņā</w:t>
      </w:r>
      <w:r w:rsidRPr="00740DE5">
        <w:t xml:space="preserve"> ar minētās regulas Pirmās daļas II</w:t>
      </w:r>
      <w:r w:rsidR="00447994">
        <w:t> </w:t>
      </w:r>
      <w:r w:rsidRPr="00740DE5">
        <w:t>sadaļā noteikto prasību piemērošanas līmeni, izņemot nozīmīgās uzraudzītās kredītiestādes Kredītiestāžu likuma 1.</w:t>
      </w:r>
      <w:r w:rsidR="00447994">
        <w:t> </w:t>
      </w:r>
      <w:r w:rsidRPr="00740DE5">
        <w:t>panta pirmās daļas 67.</w:t>
      </w:r>
      <w:r w:rsidR="00447994">
        <w:t> </w:t>
      </w:r>
      <w:r w:rsidRPr="00740DE5">
        <w:t xml:space="preserve">punkta </w:t>
      </w:r>
      <w:r w:rsidRPr="00105A6D">
        <w:t>izpratnē</w:t>
      </w:r>
      <w:r w:rsidR="001E7AF5" w:rsidRPr="00105A6D">
        <w:t>,</w:t>
      </w:r>
      <w:r w:rsidRPr="00740DE5">
        <w:t xml:space="preserve"> (turpmāk</w:t>
      </w:r>
      <w:r w:rsidR="00447994">
        <w:t> </w:t>
      </w:r>
      <w:r w:rsidRPr="00740DE5">
        <w:t>– iestāde).</w:t>
      </w:r>
    </w:p>
    <w:bookmarkEnd w:id="3"/>
    <w:p w14:paraId="22E78F8F" w14:textId="3524A00B" w:rsidR="009B3B5A" w:rsidRDefault="009B3B5A" w:rsidP="00BA52FC">
      <w:pPr>
        <w:pStyle w:val="NAnodalaromiesucipari"/>
      </w:pPr>
      <w:r w:rsidRPr="00E17B87">
        <w:t xml:space="preserve">Riska darījumu ar paralēlās </w:t>
      </w:r>
      <w:r w:rsidR="00230AD5">
        <w:t>banku</w:t>
      </w:r>
      <w:r w:rsidR="00230AD5" w:rsidRPr="00E17B87">
        <w:t xml:space="preserve"> </w:t>
      </w:r>
      <w:r w:rsidRPr="00E17B87">
        <w:t xml:space="preserve">sistēmas </w:t>
      </w:r>
      <w:r w:rsidR="00230AD5">
        <w:t>vienī</w:t>
      </w:r>
      <w:r w:rsidR="00363019">
        <w:t>bām</w:t>
      </w:r>
      <w:r w:rsidR="00363019" w:rsidRPr="00E17B87">
        <w:t xml:space="preserve"> pārvaldī</w:t>
      </w:r>
      <w:r w:rsidR="00363019">
        <w:t>b</w:t>
      </w:r>
      <w:r w:rsidR="00363019" w:rsidRPr="00E17B87">
        <w:t>a</w:t>
      </w:r>
    </w:p>
    <w:p w14:paraId="08BE1E7D" w14:textId="77777777" w:rsidR="009B3B5A" w:rsidRDefault="009B3B5A" w:rsidP="009B3B5A">
      <w:pPr>
        <w:pStyle w:val="NApunkts1"/>
        <w:numPr>
          <w:ilvl w:val="0"/>
          <w:numId w:val="0"/>
        </w:numPr>
        <w:spacing w:before="0"/>
      </w:pPr>
    </w:p>
    <w:p w14:paraId="6DD8F4D5" w14:textId="15C3C2B4" w:rsidR="009B3B5A" w:rsidRDefault="00EC5D46" w:rsidP="009B3B5A">
      <w:pPr>
        <w:pStyle w:val="NApunkts1"/>
        <w:spacing w:before="0"/>
      </w:pPr>
      <w:r>
        <w:t>I</w:t>
      </w:r>
      <w:r w:rsidR="009B3B5A" w:rsidRPr="002130D6">
        <w:t xml:space="preserve">estāde </w:t>
      </w:r>
      <w:bookmarkStart w:id="4" w:name="_Hlk161148472"/>
      <w:r>
        <w:t>risku</w:t>
      </w:r>
      <w:r w:rsidRPr="002130D6">
        <w:t xml:space="preserve"> </w:t>
      </w:r>
      <w:r w:rsidR="007E7BC7" w:rsidRPr="002130D6">
        <w:t>pārvaldī</w:t>
      </w:r>
      <w:r w:rsidR="007E7BC7">
        <w:t>b</w:t>
      </w:r>
      <w:r w:rsidR="007E7BC7" w:rsidRPr="002130D6">
        <w:t xml:space="preserve">as </w:t>
      </w:r>
      <w:r w:rsidR="009B3B5A" w:rsidRPr="002130D6">
        <w:t>sistēmas</w:t>
      </w:r>
      <w:r w:rsidR="009B3B5A">
        <w:t xml:space="preserve"> </w:t>
      </w:r>
      <w:bookmarkEnd w:id="4"/>
      <w:r w:rsidR="009B3B5A">
        <w:t>ietvaros:</w:t>
      </w:r>
    </w:p>
    <w:p w14:paraId="58C38F66" w14:textId="6F050F54" w:rsidR="00D32BE4" w:rsidRPr="00FB240E" w:rsidRDefault="00BE1F55" w:rsidP="00D32BE4">
      <w:pPr>
        <w:pStyle w:val="NApunkts2"/>
      </w:pPr>
      <w:r w:rsidRPr="00FB240E">
        <w:lastRenderedPageBreak/>
        <w:t>identificē</w:t>
      </w:r>
      <w:r w:rsidR="00D32BE4" w:rsidRPr="00BE1F55">
        <w:t xml:space="preserve"> tās individuālo</w:t>
      </w:r>
      <w:r w:rsidRPr="00FB240E">
        <w:t>s</w:t>
      </w:r>
      <w:r w:rsidR="00D32BE4" w:rsidRPr="00BE1F55">
        <w:t xml:space="preserve"> riska darījumu</w:t>
      </w:r>
      <w:r w:rsidRPr="00FB240E">
        <w:t>s</w:t>
      </w:r>
      <w:r w:rsidR="00D32BE4" w:rsidRPr="00BE1F55">
        <w:t xml:space="preserve"> ar paralēlās </w:t>
      </w:r>
      <w:r w:rsidR="00230AD5">
        <w:t>banku</w:t>
      </w:r>
      <w:r w:rsidR="00230AD5" w:rsidRPr="00BE1F55">
        <w:t xml:space="preserve"> </w:t>
      </w:r>
      <w:r w:rsidR="00D32BE4" w:rsidRPr="00BE1F55">
        <w:t xml:space="preserve">sistēmas </w:t>
      </w:r>
      <w:r w:rsidR="00230AD5">
        <w:t>vienībām</w:t>
      </w:r>
      <w:r w:rsidR="00D32BE4" w:rsidRPr="00BE1F55">
        <w:t>, kā arī varbūtējo</w:t>
      </w:r>
      <w:r w:rsidRPr="00FB240E">
        <w:t>s</w:t>
      </w:r>
      <w:r w:rsidR="00D32BE4" w:rsidRPr="00BE1F55">
        <w:t xml:space="preserve"> risku</w:t>
      </w:r>
      <w:r w:rsidRPr="00FB240E">
        <w:t>s</w:t>
      </w:r>
      <w:r w:rsidR="00D32BE4" w:rsidRPr="00BE1F55">
        <w:t xml:space="preserve">, kas rodas no minētajiem riska darījumiem, un to </w:t>
      </w:r>
      <w:r w:rsidR="004673B2" w:rsidRPr="009F18AE">
        <w:t>varbūtējo</w:t>
      </w:r>
      <w:r w:rsidR="004673B2">
        <w:t xml:space="preserve"> </w:t>
      </w:r>
      <w:r w:rsidRPr="00BE1F55">
        <w:t>ietekm</w:t>
      </w:r>
      <w:r w:rsidRPr="00FB240E">
        <w:t>i</w:t>
      </w:r>
      <w:r w:rsidR="00D32BE4" w:rsidRPr="00BE1F55">
        <w:t>;</w:t>
      </w:r>
    </w:p>
    <w:p w14:paraId="6355FE43" w14:textId="729E7909" w:rsidR="00BE1F55" w:rsidRPr="00BE1F55" w:rsidRDefault="00BE1F55" w:rsidP="00D32BE4">
      <w:pPr>
        <w:pStyle w:val="NApunkts2"/>
      </w:pPr>
      <w:r w:rsidRPr="00FB240E">
        <w:t>nosaka kārtību</w:t>
      </w:r>
      <w:r w:rsidR="004B3DE8">
        <w:t xml:space="preserve"> š</w:t>
      </w:r>
      <w:r w:rsidRPr="00FB240E">
        <w:t xml:space="preserve">o noteikumu </w:t>
      </w:r>
      <w:r w:rsidR="00F518D7">
        <w:t>4</w:t>
      </w:r>
      <w:r w:rsidRPr="00FB240E">
        <w:t>.1.</w:t>
      </w:r>
      <w:r w:rsidR="004B3DE8">
        <w:t> </w:t>
      </w:r>
      <w:r w:rsidRPr="00FB240E">
        <w:t>apakšpunktā minēto risku identificēšanai, pārraudzībai, kontrolei un mazināšanai;</w:t>
      </w:r>
    </w:p>
    <w:p w14:paraId="5199047C" w14:textId="5131B420" w:rsidR="00A53A85" w:rsidRPr="008E2964" w:rsidRDefault="00D32BE4" w:rsidP="00462E70">
      <w:pPr>
        <w:pStyle w:val="NApunkts2"/>
      </w:pPr>
      <w:bookmarkStart w:id="5" w:name="_Hlk159244052"/>
      <w:r w:rsidRPr="008E2964">
        <w:t xml:space="preserve">nodrošina, ka šo noteikumu </w:t>
      </w:r>
      <w:r w:rsidR="00F518D7">
        <w:t>4</w:t>
      </w:r>
      <w:r w:rsidRPr="008E2964">
        <w:t>.</w:t>
      </w:r>
      <w:r w:rsidR="00A81AB2" w:rsidRPr="008E2964">
        <w:t>2</w:t>
      </w:r>
      <w:r w:rsidRPr="008E2964">
        <w:t>.</w:t>
      </w:r>
      <w:r w:rsidR="00E87C72" w:rsidRPr="008E2964">
        <w:t> </w:t>
      </w:r>
      <w:r w:rsidR="00360C08" w:rsidRPr="008E2964">
        <w:t>apakš</w:t>
      </w:r>
      <w:r w:rsidRPr="008E2964">
        <w:t xml:space="preserve">punktā minētā </w:t>
      </w:r>
      <w:r w:rsidR="00A81AB2" w:rsidRPr="008E2964">
        <w:t>kārtība</w:t>
      </w:r>
      <w:r w:rsidRPr="008E2964">
        <w:t xml:space="preserve"> nosaka </w:t>
      </w:r>
      <w:r w:rsidR="00392B68" w:rsidRPr="008E2964">
        <w:t xml:space="preserve">struktūrvienībai, kura īsteno risku </w:t>
      </w:r>
      <w:r w:rsidR="000A5A83">
        <w:t>kontroles</w:t>
      </w:r>
      <w:r w:rsidR="000A5A83" w:rsidRPr="008E2964">
        <w:t xml:space="preserve"> </w:t>
      </w:r>
      <w:r w:rsidR="00392B68" w:rsidRPr="008E2964">
        <w:t xml:space="preserve">funkciju, </w:t>
      </w:r>
      <w:r w:rsidR="00767368" w:rsidRPr="008E2964">
        <w:t>prasīb</w:t>
      </w:r>
      <w:r w:rsidR="009C4C3B" w:rsidRPr="008E2964">
        <w:t>u</w:t>
      </w:r>
      <w:r w:rsidR="00767368" w:rsidRPr="008E2964">
        <w:t xml:space="preserve"> </w:t>
      </w:r>
      <w:r w:rsidR="008E2964" w:rsidRPr="008E2964">
        <w:t xml:space="preserve">iestādes kredītriska komitejas uzraudzībā </w:t>
      </w:r>
      <w:r w:rsidRPr="008E2964">
        <w:t>veikt</w:t>
      </w:r>
      <w:r w:rsidR="00A53A85" w:rsidRPr="008E2964">
        <w:t>:</w:t>
      </w:r>
    </w:p>
    <w:p w14:paraId="528BED47" w14:textId="6E2C9BAD" w:rsidR="00A53A85" w:rsidRPr="00A81AB2" w:rsidRDefault="00D32BE4" w:rsidP="00A53A85">
      <w:pPr>
        <w:pStyle w:val="NApunkts3"/>
      </w:pPr>
      <w:r w:rsidRPr="00A81AB2">
        <w:t xml:space="preserve">paralēlās </w:t>
      </w:r>
      <w:r w:rsidR="00230AD5">
        <w:t>banku</w:t>
      </w:r>
      <w:r w:rsidR="00230AD5" w:rsidRPr="00A81AB2">
        <w:t xml:space="preserve"> </w:t>
      </w:r>
      <w:r w:rsidRPr="00A81AB2">
        <w:t xml:space="preserve">sistēmas </w:t>
      </w:r>
      <w:r w:rsidR="00230AD5">
        <w:t>vienības</w:t>
      </w:r>
      <w:r w:rsidRPr="00A81AB2">
        <w:t>, pret kuru rodas riska darījums, darbības analīzi</w:t>
      </w:r>
      <w:r w:rsidR="00A53A85" w:rsidRPr="00A81AB2">
        <w:t>;</w:t>
      </w:r>
    </w:p>
    <w:p w14:paraId="5855C652" w14:textId="474A72C1" w:rsidR="00D32BE4" w:rsidRPr="00C21566" w:rsidRDefault="00D32BE4" w:rsidP="00EC3F04">
      <w:pPr>
        <w:pStyle w:val="NApunkts3"/>
      </w:pPr>
      <w:r w:rsidRPr="00A81AB2">
        <w:t>varbūtējo risku, kas iestādei rodas no riska darījumiem</w:t>
      </w:r>
      <w:r w:rsidR="00363019">
        <w:t xml:space="preserve"> ar paralēlās </w:t>
      </w:r>
      <w:r w:rsidR="00230AD5">
        <w:t>banku</w:t>
      </w:r>
      <w:r w:rsidR="00363019">
        <w:t xml:space="preserve"> sistēmas </w:t>
      </w:r>
      <w:r w:rsidR="00230AD5">
        <w:t>vien</w:t>
      </w:r>
      <w:r w:rsidR="00363019">
        <w:t>ībām</w:t>
      </w:r>
      <w:r w:rsidRPr="00A81AB2">
        <w:t xml:space="preserve">, </w:t>
      </w:r>
      <w:r w:rsidRPr="0063085B">
        <w:t xml:space="preserve">un to </w:t>
      </w:r>
      <w:r w:rsidR="0063085B" w:rsidRPr="009F18AE">
        <w:t>varbūtējās</w:t>
      </w:r>
      <w:r w:rsidR="0063085B" w:rsidRPr="00CB0187">
        <w:t xml:space="preserve"> </w:t>
      </w:r>
      <w:r w:rsidRPr="0063085B">
        <w:t>ietekmes</w:t>
      </w:r>
      <w:r w:rsidR="00B27F7B">
        <w:t xml:space="preserve"> uz iestādi</w:t>
      </w:r>
      <w:r w:rsidR="00785925">
        <w:t xml:space="preserve"> analīzi</w:t>
      </w:r>
      <w:r w:rsidR="00C21566" w:rsidRPr="0063085B">
        <w:t>, tostarp</w:t>
      </w:r>
      <w:r w:rsidR="001E7AF5">
        <w:t>,</w:t>
      </w:r>
      <w:r w:rsidR="00C21566" w:rsidRPr="0063085B">
        <w:t xml:space="preserve"> </w:t>
      </w:r>
      <w:r w:rsidR="00662A93">
        <w:t>veicot</w:t>
      </w:r>
      <w:r w:rsidR="00C21566" w:rsidRPr="0063085B">
        <w:t xml:space="preserve"> stresa </w:t>
      </w:r>
      <w:r w:rsidR="008D3089">
        <w:t>testēšanu</w:t>
      </w:r>
      <w:r w:rsidR="00C21566" w:rsidRPr="0063085B">
        <w:t>,</w:t>
      </w:r>
      <w:r w:rsidR="00A53A85" w:rsidRPr="0063085B">
        <w:t xml:space="preserve"> </w:t>
      </w:r>
      <w:r w:rsidRPr="0063085B">
        <w:t>kā arī minēto risku mazināšanai izmantoto metožu analīzi</w:t>
      </w:r>
      <w:bookmarkEnd w:id="5"/>
      <w:r w:rsidRPr="0063085B">
        <w:t>;</w:t>
      </w:r>
    </w:p>
    <w:p w14:paraId="1B98C70D" w14:textId="2FA23E0D" w:rsidR="009B3B5A" w:rsidRPr="00E17ECD" w:rsidRDefault="00D32BE4" w:rsidP="00D32BE4">
      <w:pPr>
        <w:pStyle w:val="NApunkts2"/>
      </w:pPr>
      <w:r w:rsidRPr="00E17ECD">
        <w:t xml:space="preserve">nosaka kārtību savstarpējās saistības starp paralēlās </w:t>
      </w:r>
      <w:r w:rsidR="00230AD5" w:rsidRPr="00E17ECD">
        <w:t xml:space="preserve">banku </w:t>
      </w:r>
      <w:r w:rsidRPr="00E17ECD">
        <w:t xml:space="preserve">sistēmas </w:t>
      </w:r>
      <w:r w:rsidR="00230AD5" w:rsidRPr="00E17ECD">
        <w:t>vienībām</w:t>
      </w:r>
      <w:r w:rsidR="00363019" w:rsidRPr="00E17ECD">
        <w:t xml:space="preserve"> </w:t>
      </w:r>
      <w:r w:rsidRPr="00E17ECD">
        <w:t xml:space="preserve">identificēšanai, kā arī kārtību savstarpējās saistības starp iestādi un paralēlās </w:t>
      </w:r>
      <w:r w:rsidR="00230AD5" w:rsidRPr="00E17ECD">
        <w:t xml:space="preserve">banku </w:t>
      </w:r>
      <w:r w:rsidRPr="00E17ECD">
        <w:t xml:space="preserve">sistēmas </w:t>
      </w:r>
      <w:r w:rsidR="00230AD5" w:rsidRPr="00E17ECD">
        <w:t>vien</w:t>
      </w:r>
      <w:r w:rsidR="00363019" w:rsidRPr="00E17ECD">
        <w:t xml:space="preserve">ībām </w:t>
      </w:r>
      <w:r w:rsidRPr="00E17ECD">
        <w:t>identificēšanai, īpaši atrunājot situācijas, kurās savstarpējo saistību nav iespējams identificēt, un attiecīgi nosakot atbilstošas metodes varbūtējo risku, kas rodas no nespējas identificēt savstarpējo saistību, mazināšanai;</w:t>
      </w:r>
    </w:p>
    <w:p w14:paraId="3DE24D13" w14:textId="15228C57" w:rsidR="00D32BE4" w:rsidRPr="004673B2" w:rsidRDefault="00D32BE4" w:rsidP="00FB240E">
      <w:pPr>
        <w:pStyle w:val="NApunkts2"/>
      </w:pPr>
      <w:r w:rsidRPr="004673B2">
        <w:t xml:space="preserve">nodrošina, ka </w:t>
      </w:r>
      <w:r w:rsidR="004673B2" w:rsidRPr="00CB0187">
        <w:t xml:space="preserve">šo noteikumu </w:t>
      </w:r>
      <w:r w:rsidR="00F518D7">
        <w:t>4</w:t>
      </w:r>
      <w:r w:rsidR="004673B2" w:rsidRPr="00CB0187">
        <w:t>.1. </w:t>
      </w:r>
      <w:r w:rsidR="00FB54B8">
        <w:t>apakš</w:t>
      </w:r>
      <w:r w:rsidR="004673B2" w:rsidRPr="00CB0187">
        <w:t xml:space="preserve">punktā minētie </w:t>
      </w:r>
      <w:r w:rsidRPr="004673B2">
        <w:t>riski</w:t>
      </w:r>
      <w:r w:rsidR="004673B2" w:rsidRPr="00CB0187">
        <w:t xml:space="preserve"> </w:t>
      </w:r>
      <w:r w:rsidRPr="004673B2">
        <w:t>ir izvērtēti un attiecīgi ņemti vērā kapitāla pietiekamības novērtēšanas proces</w:t>
      </w:r>
      <w:r w:rsidR="00DF41E4" w:rsidRPr="004673B2">
        <w:t>ā</w:t>
      </w:r>
      <w:r w:rsidR="00B62A29" w:rsidRPr="004673B2">
        <w:t>, tostarp kapitāla plānošanā</w:t>
      </w:r>
      <w:r w:rsidRPr="004673B2">
        <w:t>;</w:t>
      </w:r>
    </w:p>
    <w:p w14:paraId="60C9039C" w14:textId="3DD4CBA5" w:rsidR="00D32BE4" w:rsidRDefault="00D32BE4" w:rsidP="00462E70">
      <w:pPr>
        <w:pStyle w:val="NApunkts2"/>
      </w:pPr>
      <w:r w:rsidRPr="00D32BE4">
        <w:t xml:space="preserve">pamatojoties uz </w:t>
      </w:r>
      <w:r w:rsidR="00D977B7" w:rsidRPr="00D32BE4">
        <w:t xml:space="preserve">šo noteikumu </w:t>
      </w:r>
      <w:r w:rsidR="00F518D7">
        <w:t>4</w:t>
      </w:r>
      <w:r w:rsidR="00D977B7" w:rsidRPr="00C21566">
        <w:t>.</w:t>
      </w:r>
      <w:r w:rsidR="00D977B7">
        <w:t>1</w:t>
      </w:r>
      <w:r w:rsidR="00D977B7" w:rsidRPr="00C21566">
        <w:t>.</w:t>
      </w:r>
      <w:r w:rsidR="00D977B7">
        <w:t> </w:t>
      </w:r>
      <w:r w:rsidR="00D977B7" w:rsidRPr="00FB240E">
        <w:t>apakšpunkt</w:t>
      </w:r>
      <w:r w:rsidR="00D977B7">
        <w:t xml:space="preserve">ā </w:t>
      </w:r>
      <w:r w:rsidR="00223C1B">
        <w:t>minētās</w:t>
      </w:r>
      <w:r w:rsidR="00DE0492">
        <w:t xml:space="preserve"> </w:t>
      </w:r>
      <w:r w:rsidR="00656E84">
        <w:t xml:space="preserve">identificēšanas </w:t>
      </w:r>
      <w:r w:rsidR="00D977B7">
        <w:t>rezultātiem</w:t>
      </w:r>
      <w:r w:rsidRPr="00C21566">
        <w:t xml:space="preserve">, </w:t>
      </w:r>
      <w:r w:rsidRPr="001E1B13">
        <w:t xml:space="preserve">nosaka </w:t>
      </w:r>
      <w:r w:rsidR="004648FD">
        <w:t xml:space="preserve">pieļaujamo </w:t>
      </w:r>
      <w:r w:rsidR="00D91FB8" w:rsidRPr="001E1B13">
        <w:t>risk</w:t>
      </w:r>
      <w:r w:rsidR="00D91FB8">
        <w:t>u</w:t>
      </w:r>
      <w:r w:rsidR="00D91FB8" w:rsidRPr="001E1B13">
        <w:t xml:space="preserve"> </w:t>
      </w:r>
      <w:r w:rsidR="005F5964" w:rsidRPr="001E1B13">
        <w:t>līmeni</w:t>
      </w:r>
      <w:r w:rsidR="00D62DEF">
        <w:t xml:space="preserve"> </w:t>
      </w:r>
      <w:r w:rsidRPr="001E1B13">
        <w:t xml:space="preserve">riska darījumiem ar paralēlās </w:t>
      </w:r>
      <w:r w:rsidR="00230AD5" w:rsidRPr="001E1B13">
        <w:t xml:space="preserve">banku </w:t>
      </w:r>
      <w:r w:rsidRPr="001E1B13">
        <w:t xml:space="preserve">sistēmas </w:t>
      </w:r>
      <w:r w:rsidR="00230AD5" w:rsidRPr="001E1B13">
        <w:t>vienībām</w:t>
      </w:r>
      <w:r w:rsidRPr="001E1B13">
        <w:t>;</w:t>
      </w:r>
    </w:p>
    <w:p w14:paraId="1A9C24A7" w14:textId="63C3A682" w:rsidR="00141FD0" w:rsidRPr="001E1B13" w:rsidRDefault="00141FD0" w:rsidP="00462E70">
      <w:pPr>
        <w:pStyle w:val="NApunkts2"/>
      </w:pPr>
      <w:r w:rsidRPr="00141FD0">
        <w:t xml:space="preserve">nosaka informācijas apmaiņas kārtību starp struktūrvienību, kura īsteno risku kontroles funkciju, un iestādes kredītriska komiteju par </w:t>
      </w:r>
      <w:r w:rsidR="00604880" w:rsidRPr="00141FD0">
        <w:t xml:space="preserve">šo noteikumu </w:t>
      </w:r>
      <w:r w:rsidR="00F518D7">
        <w:t>4</w:t>
      </w:r>
      <w:r w:rsidR="00604880" w:rsidRPr="00141FD0">
        <w:t>.3.</w:t>
      </w:r>
      <w:r w:rsidR="00604880">
        <w:t> </w:t>
      </w:r>
      <w:r w:rsidR="00604880" w:rsidRPr="00141FD0">
        <w:t>apakšpunkt</w:t>
      </w:r>
      <w:r w:rsidR="00604880">
        <w:t xml:space="preserve">ā </w:t>
      </w:r>
      <w:r w:rsidR="00223C1B">
        <w:t>minētās</w:t>
      </w:r>
      <w:r w:rsidR="00881161">
        <w:t xml:space="preserve"> </w:t>
      </w:r>
      <w:r w:rsidRPr="00141FD0">
        <w:t>analīzes rezultātiem, kā arī nodrošina, ka iestādes padome un valde ir savlaicīgi informēta par riska darījumiem ar paralēlās banku sistēmas vienībām, varbūtējiem riskiem, kas rodas no minētajiem riska darījumiem, un to varbūtējo ietekmi</w:t>
      </w:r>
      <w:r>
        <w:t>;</w:t>
      </w:r>
    </w:p>
    <w:p w14:paraId="689431CC" w14:textId="27CBC6E3" w:rsidR="00840034" w:rsidRPr="00E17ECD" w:rsidRDefault="00B62A29" w:rsidP="00462E70">
      <w:pPr>
        <w:pStyle w:val="NApunkts2"/>
      </w:pPr>
      <w:r w:rsidRPr="00E17ECD">
        <w:t xml:space="preserve">nosaka rīcības plānu saskaņā ar šo noteikumu III </w:t>
      </w:r>
      <w:r w:rsidR="002A2FEF" w:rsidRPr="00E17ECD">
        <w:t>vai</w:t>
      </w:r>
      <w:r w:rsidRPr="00E17ECD">
        <w:t xml:space="preserve"> IV nodaļu noteikto ierobežojumu pārkāp</w:t>
      </w:r>
      <w:r w:rsidR="00881161">
        <w:t>uma</w:t>
      </w:r>
      <w:r w:rsidRPr="00E17ECD">
        <w:t xml:space="preserve"> gadījumā</w:t>
      </w:r>
      <w:r w:rsidR="009B3B5A" w:rsidRPr="00E17ECD">
        <w:t>.</w:t>
      </w:r>
    </w:p>
    <w:p w14:paraId="13DAB14F" w14:textId="0B7A1E44" w:rsidR="009B3B5A" w:rsidRPr="0043332D" w:rsidRDefault="009B3B5A" w:rsidP="009B3B5A">
      <w:pPr>
        <w:pStyle w:val="NApunkts1"/>
      </w:pPr>
      <w:bookmarkStart w:id="6" w:name="_Hlk156981913"/>
      <w:r w:rsidRPr="0043332D">
        <w:t xml:space="preserve">Iestādes </w:t>
      </w:r>
      <w:r w:rsidR="007E576D" w:rsidRPr="0043332D">
        <w:t xml:space="preserve">padome </w:t>
      </w:r>
      <w:r w:rsidRPr="0043332D">
        <w:t xml:space="preserve">pārrauga šo noteikumu </w:t>
      </w:r>
      <w:r w:rsidR="00F518D7">
        <w:t>4</w:t>
      </w:r>
      <w:r w:rsidRPr="0043332D">
        <w:t>.</w:t>
      </w:r>
      <w:r w:rsidR="00F02379" w:rsidRPr="0043332D">
        <w:t> </w:t>
      </w:r>
      <w:r w:rsidRPr="0043332D">
        <w:t xml:space="preserve">punktā noteikto prasību, tostarp </w:t>
      </w:r>
      <w:r w:rsidR="007238A7" w:rsidRPr="0043332D">
        <w:t>saskaņā ar šo noteikumu III</w:t>
      </w:r>
      <w:r w:rsidR="002A2FEF" w:rsidRPr="0043332D">
        <w:t xml:space="preserve"> vai IV </w:t>
      </w:r>
      <w:r w:rsidR="007238A7" w:rsidRPr="0043332D">
        <w:t>nodaļu noteikto ierobežojumu</w:t>
      </w:r>
      <w:r w:rsidR="009D0B10">
        <w:t>,</w:t>
      </w:r>
      <w:r w:rsidR="007238A7" w:rsidRPr="0043332D">
        <w:t xml:space="preserve"> </w:t>
      </w:r>
      <w:r w:rsidRPr="0043332D">
        <w:t>piemērošanu, kā arī regulāri, bet ne retāk kā vienu reizi gadā:</w:t>
      </w:r>
    </w:p>
    <w:p w14:paraId="327F83A6" w14:textId="15406180" w:rsidR="009B3B5A" w:rsidRPr="0043332D" w:rsidRDefault="009B3B5A" w:rsidP="00462E70">
      <w:pPr>
        <w:pStyle w:val="NApunkts2"/>
      </w:pPr>
      <w:r w:rsidRPr="0043332D">
        <w:t xml:space="preserve">pārskata un apstiprina iestādes </w:t>
      </w:r>
      <w:r w:rsidR="0090126A" w:rsidRPr="0043332D">
        <w:t xml:space="preserve">saskaņā ar šo noteikumu </w:t>
      </w:r>
      <w:r w:rsidR="00F518D7">
        <w:t>4</w:t>
      </w:r>
      <w:r w:rsidR="0090126A" w:rsidRPr="0043332D">
        <w:t>.6.</w:t>
      </w:r>
      <w:r w:rsidR="00481608" w:rsidRPr="0043332D">
        <w:t> </w:t>
      </w:r>
      <w:r w:rsidR="0090126A" w:rsidRPr="0043332D">
        <w:t xml:space="preserve">apakšpunktu </w:t>
      </w:r>
      <w:r w:rsidR="00683DCA" w:rsidRPr="0043332D">
        <w:t xml:space="preserve">noteikto </w:t>
      </w:r>
      <w:r w:rsidR="0082743C">
        <w:t>pieļaujamo</w:t>
      </w:r>
      <w:r w:rsidR="0082743C" w:rsidRPr="0043332D">
        <w:t xml:space="preserve"> </w:t>
      </w:r>
      <w:r w:rsidR="00D91FB8" w:rsidRPr="0043332D">
        <w:t>risk</w:t>
      </w:r>
      <w:r w:rsidR="00D91FB8">
        <w:t>u</w:t>
      </w:r>
      <w:r w:rsidR="00D91FB8" w:rsidRPr="0043332D">
        <w:t xml:space="preserve"> </w:t>
      </w:r>
      <w:r w:rsidR="005F5964" w:rsidRPr="0043332D">
        <w:t xml:space="preserve">līmeni </w:t>
      </w:r>
      <w:r w:rsidRPr="0043332D">
        <w:t xml:space="preserve">riska darījumiem ar paralēlās </w:t>
      </w:r>
      <w:r w:rsidR="00230AD5" w:rsidRPr="0043332D">
        <w:t xml:space="preserve">banku </w:t>
      </w:r>
      <w:r w:rsidRPr="0043332D">
        <w:t xml:space="preserve">sistēmas </w:t>
      </w:r>
      <w:r w:rsidR="00230AD5" w:rsidRPr="0043332D">
        <w:t>vienībām</w:t>
      </w:r>
      <w:r w:rsidRPr="0043332D">
        <w:t xml:space="preserve">, kā arī </w:t>
      </w:r>
      <w:r w:rsidR="007238A7" w:rsidRPr="0043332D">
        <w:t xml:space="preserve">saskaņā ar šo noteikumu III </w:t>
      </w:r>
      <w:r w:rsidR="002A2FEF" w:rsidRPr="0043332D">
        <w:t>vai</w:t>
      </w:r>
      <w:r w:rsidR="007238A7" w:rsidRPr="0043332D">
        <w:t xml:space="preserve"> IV</w:t>
      </w:r>
      <w:r w:rsidR="002A2FEF" w:rsidRPr="0043332D">
        <w:t> </w:t>
      </w:r>
      <w:r w:rsidR="007238A7" w:rsidRPr="0043332D">
        <w:t xml:space="preserve">nodaļu noteikto kopējo </w:t>
      </w:r>
      <w:r w:rsidR="009D0B10">
        <w:t xml:space="preserve">ierobežojumu </w:t>
      </w:r>
      <w:r w:rsidR="007238A7" w:rsidRPr="0043332D">
        <w:t>un individuālos ierobežojumus</w:t>
      </w:r>
      <w:r w:rsidR="0043332D" w:rsidRPr="00CB0187">
        <w:t xml:space="preserve">, nodrošinot, </w:t>
      </w:r>
      <w:r w:rsidRPr="0043332D">
        <w:t xml:space="preserve">ka </w:t>
      </w:r>
      <w:r w:rsidR="0043332D" w:rsidRPr="0043332D">
        <w:t>minēt</w:t>
      </w:r>
      <w:r w:rsidR="0043332D" w:rsidRPr="00CB0187">
        <w:t>o</w:t>
      </w:r>
      <w:r w:rsidR="0043332D" w:rsidRPr="0043332D">
        <w:t xml:space="preserve"> ierobežojum</w:t>
      </w:r>
      <w:r w:rsidR="0043332D" w:rsidRPr="00CB0187">
        <w:t>u</w:t>
      </w:r>
      <w:r w:rsidRPr="0043332D">
        <w:t xml:space="preserve"> noteikšana, </w:t>
      </w:r>
      <w:r w:rsidR="00A53A85" w:rsidRPr="0043332D">
        <w:t>tai skaitā</w:t>
      </w:r>
      <w:r w:rsidRPr="0043332D">
        <w:t xml:space="preserve"> jebkuras izmaiņas tajos, ir dokumentēta;</w:t>
      </w:r>
    </w:p>
    <w:p w14:paraId="5034C13D" w14:textId="2B11A66C" w:rsidR="0090126A" w:rsidRPr="001F4834" w:rsidRDefault="0090126A" w:rsidP="00D32BE4">
      <w:pPr>
        <w:pStyle w:val="NApunkts2"/>
      </w:pPr>
      <w:r w:rsidRPr="001F4834">
        <w:t xml:space="preserve">pārskata un apstiprina riska darījumu ar paralēlās </w:t>
      </w:r>
      <w:r w:rsidR="00230AD5" w:rsidRPr="001F4834">
        <w:t>banku</w:t>
      </w:r>
      <w:r w:rsidRPr="001F4834">
        <w:t xml:space="preserve"> sistēmas </w:t>
      </w:r>
      <w:r w:rsidR="00230AD5" w:rsidRPr="001F4834">
        <w:t>vienībā</w:t>
      </w:r>
      <w:r w:rsidRPr="001F4834">
        <w:t xml:space="preserve">m pārvaldības procesu, tostarp pārskata un apstiprina no šiem riska darījumiem izrietošo risku analīzi, risku mazināšanas metodes un </w:t>
      </w:r>
      <w:r w:rsidR="00463257" w:rsidRPr="001F4834">
        <w:t xml:space="preserve">varbūtējo </w:t>
      </w:r>
      <w:r w:rsidRPr="001F4834">
        <w:t>ietekmi uz iestādi</w:t>
      </w:r>
      <w:r w:rsidR="00463257" w:rsidRPr="001F4834">
        <w:t xml:space="preserve">, </w:t>
      </w:r>
      <w:r w:rsidR="00662A93" w:rsidRPr="001F4834">
        <w:t>tostarp</w:t>
      </w:r>
      <w:r w:rsidR="009D0B10">
        <w:t>,</w:t>
      </w:r>
      <w:r w:rsidR="00662A93" w:rsidRPr="001F4834">
        <w:t xml:space="preserve"> </w:t>
      </w:r>
      <w:r w:rsidR="00463257" w:rsidRPr="001F4834">
        <w:t>ņemot vērā</w:t>
      </w:r>
      <w:r w:rsidR="00C21566" w:rsidRPr="001F4834">
        <w:t xml:space="preserve"> stresa </w:t>
      </w:r>
      <w:r w:rsidR="00662A93" w:rsidRPr="001F4834">
        <w:t>testēšanas rezultātus</w:t>
      </w:r>
      <w:r w:rsidR="002A2FEF" w:rsidRPr="001F4834">
        <w:t>;</w:t>
      </w:r>
    </w:p>
    <w:p w14:paraId="18474D08" w14:textId="66C1B872" w:rsidR="00840034" w:rsidRPr="0043332D" w:rsidRDefault="009B3B5A" w:rsidP="00D32BE4">
      <w:pPr>
        <w:pStyle w:val="NApunkts2"/>
      </w:pPr>
      <w:r w:rsidRPr="0043332D">
        <w:t xml:space="preserve">pārskata iestādes riska darījumu ar paralēlās </w:t>
      </w:r>
      <w:r w:rsidR="00C918E3" w:rsidRPr="0043332D">
        <w:t xml:space="preserve">banku </w:t>
      </w:r>
      <w:r w:rsidRPr="0043332D">
        <w:t xml:space="preserve">sistēmas </w:t>
      </w:r>
      <w:r w:rsidR="00C918E3" w:rsidRPr="0043332D">
        <w:t xml:space="preserve">vienībām </w:t>
      </w:r>
      <w:r w:rsidRPr="0043332D">
        <w:t>kopējā apmēra un individuālā apmēra attiecību pret iestādes riska darījumu kopējo apmēru, kā arī plānotajiem (sagaidāmajiem) zaudējumiem un faktiskajiem zaudējumiem.</w:t>
      </w:r>
    </w:p>
    <w:bookmarkEnd w:id="6"/>
    <w:p w14:paraId="3DFD3694" w14:textId="5FA085FA" w:rsidR="009B3B5A" w:rsidRPr="0043332D" w:rsidRDefault="009B3B5A" w:rsidP="009B3B5A">
      <w:pPr>
        <w:pStyle w:val="NApunkts1"/>
      </w:pPr>
      <w:r w:rsidRPr="0043332D">
        <w:t xml:space="preserve">Iestādes </w:t>
      </w:r>
      <w:r w:rsidR="007E576D" w:rsidRPr="0043332D">
        <w:t xml:space="preserve">padome </w:t>
      </w:r>
      <w:r w:rsidRPr="0043332D">
        <w:t xml:space="preserve">ir tiesīga deleģēt šo noteikumu </w:t>
      </w:r>
      <w:r w:rsidR="00F518D7">
        <w:t>5</w:t>
      </w:r>
      <w:r w:rsidRPr="0043332D">
        <w:t xml:space="preserve">.1., </w:t>
      </w:r>
      <w:r w:rsidR="00F518D7">
        <w:t>5</w:t>
      </w:r>
      <w:r w:rsidRPr="0043332D">
        <w:t xml:space="preserve">.2. </w:t>
      </w:r>
      <w:r w:rsidR="002A2FEF" w:rsidRPr="0043332D">
        <w:t xml:space="preserve">un </w:t>
      </w:r>
      <w:r w:rsidR="00F518D7">
        <w:t>5</w:t>
      </w:r>
      <w:r w:rsidRPr="0043332D">
        <w:t>.3.</w:t>
      </w:r>
      <w:r w:rsidR="00F02379" w:rsidRPr="0043332D">
        <w:t> </w:t>
      </w:r>
      <w:r w:rsidR="00360C08" w:rsidRPr="0043332D">
        <w:t>apakš</w:t>
      </w:r>
      <w:r w:rsidRPr="0043332D">
        <w:t xml:space="preserve">punktā minēto </w:t>
      </w:r>
      <w:r w:rsidR="00FB240E" w:rsidRPr="0043332D">
        <w:t>pārskatīšan</w:t>
      </w:r>
      <w:r w:rsidR="00223C1B">
        <w:t>u</w:t>
      </w:r>
      <w:r w:rsidRPr="0043332D">
        <w:t xml:space="preserve"> iestādes valdei.</w:t>
      </w:r>
    </w:p>
    <w:p w14:paraId="0262F14B" w14:textId="6D60A219" w:rsidR="00840034" w:rsidRPr="0043332D" w:rsidRDefault="009B3B5A" w:rsidP="00BA52FC">
      <w:pPr>
        <w:pStyle w:val="NAnodalaromiesucipari"/>
      </w:pPr>
      <w:r w:rsidRPr="0043332D">
        <w:t xml:space="preserve">Pamata pieeja </w:t>
      </w:r>
      <w:r w:rsidR="007E576D" w:rsidRPr="0043332D">
        <w:t>ierobežojum</w:t>
      </w:r>
      <w:r w:rsidRPr="0043332D">
        <w:t>u noteikšanai</w:t>
      </w:r>
    </w:p>
    <w:p w14:paraId="226F4AC9" w14:textId="7C60AD25" w:rsidR="009B3B5A" w:rsidRPr="000B4A2F" w:rsidRDefault="009B3B5A" w:rsidP="009B3B5A">
      <w:pPr>
        <w:pStyle w:val="NApunkts1"/>
      </w:pPr>
      <w:r w:rsidRPr="000B4A2F">
        <w:t xml:space="preserve">Iestāde nosaka kopējo </w:t>
      </w:r>
      <w:r w:rsidR="007E576D" w:rsidRPr="000B4A2F">
        <w:t>ierobežojum</w:t>
      </w:r>
      <w:r w:rsidRPr="000B4A2F">
        <w:t xml:space="preserve">u riska darījumiem ar paralēlās </w:t>
      </w:r>
      <w:r w:rsidR="00C918E3" w:rsidRPr="000B4A2F">
        <w:t xml:space="preserve">banku </w:t>
      </w:r>
      <w:r w:rsidRPr="000B4A2F">
        <w:t xml:space="preserve">sistēmas </w:t>
      </w:r>
      <w:r w:rsidR="00C918E3" w:rsidRPr="000B4A2F">
        <w:t>vienī</w:t>
      </w:r>
      <w:r w:rsidR="002A2FEF" w:rsidRPr="000B4A2F">
        <w:t xml:space="preserve">bām </w:t>
      </w:r>
      <w:r w:rsidRPr="000B4A2F">
        <w:t>attiecībā pret tās pirmā līmeņa kapitālu, ņemot vērā:</w:t>
      </w:r>
    </w:p>
    <w:p w14:paraId="2294BB77" w14:textId="1F761179" w:rsidR="009B3B5A" w:rsidRPr="00ED0DE6" w:rsidRDefault="009B3B5A" w:rsidP="00462E70">
      <w:pPr>
        <w:pStyle w:val="NApunkts2"/>
      </w:pPr>
      <w:r w:rsidRPr="00ED0DE6">
        <w:lastRenderedPageBreak/>
        <w:t xml:space="preserve">tās biznesa modeli, </w:t>
      </w:r>
      <w:r w:rsidR="002A2FEF" w:rsidRPr="00ED0DE6">
        <w:t xml:space="preserve">risku </w:t>
      </w:r>
      <w:r w:rsidR="007E7BC7" w:rsidRPr="00ED0DE6">
        <w:t xml:space="preserve">pārvaldības </w:t>
      </w:r>
      <w:r w:rsidR="002A2FEF" w:rsidRPr="00ED0DE6">
        <w:t xml:space="preserve">sistēmu, </w:t>
      </w:r>
      <w:r w:rsidR="009D0B10">
        <w:t>ievērojot</w:t>
      </w:r>
      <w:r w:rsidR="000B4A2F" w:rsidRPr="00ED0DE6">
        <w:t xml:space="preserve"> </w:t>
      </w:r>
      <w:r w:rsidR="00087FA2" w:rsidRPr="00ED0DE6">
        <w:t xml:space="preserve">šo noteikumu </w:t>
      </w:r>
      <w:r w:rsidR="00F518D7">
        <w:t>4</w:t>
      </w:r>
      <w:r w:rsidR="00087FA2" w:rsidRPr="00ED0DE6">
        <w:t xml:space="preserve">.2. un </w:t>
      </w:r>
      <w:r w:rsidR="00F518D7">
        <w:t>4</w:t>
      </w:r>
      <w:r w:rsidR="00087FA2" w:rsidRPr="00ED0DE6">
        <w:t>.3.</w:t>
      </w:r>
      <w:r w:rsidR="002A2FEF" w:rsidRPr="00ED0DE6">
        <w:t> </w:t>
      </w:r>
      <w:r w:rsidR="00087FA2" w:rsidRPr="00ED0DE6">
        <w:t>apakšpunkt</w:t>
      </w:r>
      <w:r w:rsidR="00771F05" w:rsidRPr="00ED0DE6">
        <w:t>u</w:t>
      </w:r>
      <w:r w:rsidR="001A618A" w:rsidRPr="00ED0DE6">
        <w:t xml:space="preserve">, </w:t>
      </w:r>
      <w:r w:rsidRPr="00ED0DE6">
        <w:t xml:space="preserve">un </w:t>
      </w:r>
      <w:r w:rsidR="0082743C" w:rsidRPr="00ED0DE6">
        <w:t xml:space="preserve">pieļaujamo </w:t>
      </w:r>
      <w:r w:rsidR="00D91FB8" w:rsidRPr="00ED0DE6">
        <w:t xml:space="preserve">risku </w:t>
      </w:r>
      <w:r w:rsidR="000B4A2F" w:rsidRPr="00ED0DE6">
        <w:t>līmeni</w:t>
      </w:r>
      <w:r w:rsidR="000A4472">
        <w:t xml:space="preserve"> </w:t>
      </w:r>
      <w:r w:rsidR="000A4472" w:rsidRPr="000A4472">
        <w:t>darījumiem ar paralēlās banku sistēmas vienībām</w:t>
      </w:r>
      <w:r w:rsidRPr="00ED0DE6">
        <w:t>;</w:t>
      </w:r>
    </w:p>
    <w:p w14:paraId="786C8E9E" w14:textId="75984F65" w:rsidR="009B3B5A" w:rsidRPr="00ED0DE6" w:rsidRDefault="000B4A2F" w:rsidP="00462E70">
      <w:pPr>
        <w:pStyle w:val="NApunkts2"/>
      </w:pPr>
      <w:r w:rsidRPr="00ED0DE6">
        <w:t xml:space="preserve">tās </w:t>
      </w:r>
      <w:r w:rsidR="009B3B5A" w:rsidRPr="00ED0DE6">
        <w:t xml:space="preserve">pašreizējo riska darījumu ar paralēlās </w:t>
      </w:r>
      <w:r w:rsidR="00C918E3" w:rsidRPr="00ED0DE6">
        <w:t xml:space="preserve">banku </w:t>
      </w:r>
      <w:r w:rsidR="009B3B5A" w:rsidRPr="00ED0DE6">
        <w:t xml:space="preserve">sistēmas </w:t>
      </w:r>
      <w:r w:rsidR="00C918E3" w:rsidRPr="00ED0DE6">
        <w:t xml:space="preserve">vienībām </w:t>
      </w:r>
      <w:r w:rsidR="009B3B5A" w:rsidRPr="00ED0DE6">
        <w:t>kopējo apmēru attiecībā pret tās riska darījumu kopējo apmēru un attiecībā pret tās riska darījumu ar regulētā</w:t>
      </w:r>
      <w:r w:rsidR="00DB008E" w:rsidRPr="00ED0DE6">
        <w:t>m</w:t>
      </w:r>
      <w:r w:rsidR="009B3B5A" w:rsidRPr="00ED0DE6">
        <w:t xml:space="preserve"> finanšu sektora sabiedrībām kopējo apmēru;</w:t>
      </w:r>
    </w:p>
    <w:p w14:paraId="28CF855E" w14:textId="7F1F3110" w:rsidR="00840034" w:rsidRPr="00ED0DE6" w:rsidRDefault="00D65DEF" w:rsidP="00462E70">
      <w:pPr>
        <w:pStyle w:val="NApunkts2"/>
      </w:pPr>
      <w:r>
        <w:t xml:space="preserve">šo noteikumu </w:t>
      </w:r>
      <w:r w:rsidR="00F518D7">
        <w:t>4</w:t>
      </w:r>
      <w:r>
        <w:t xml:space="preserve">.4. apakšpunktā noteiktajā kārtībā identificēto </w:t>
      </w:r>
      <w:r w:rsidR="009B3B5A" w:rsidRPr="00ED0DE6">
        <w:t>savstarpējo saistību.</w:t>
      </w:r>
    </w:p>
    <w:p w14:paraId="1C480BC8" w14:textId="77777777" w:rsidR="009B3B5A" w:rsidRPr="00463257" w:rsidRDefault="009B3B5A" w:rsidP="009B3B5A">
      <w:pPr>
        <w:pStyle w:val="NApunkts1"/>
        <w:numPr>
          <w:ilvl w:val="0"/>
          <w:numId w:val="0"/>
        </w:numPr>
        <w:spacing w:before="0"/>
      </w:pPr>
    </w:p>
    <w:p w14:paraId="0D0E14F2" w14:textId="112F71E6" w:rsidR="009B3B5A" w:rsidRPr="00463257" w:rsidRDefault="009B3B5A" w:rsidP="009B3B5A">
      <w:pPr>
        <w:pStyle w:val="NApunkts1"/>
        <w:spacing w:before="0"/>
      </w:pPr>
      <w:r w:rsidRPr="00463257">
        <w:t xml:space="preserve">Papildus kopējā </w:t>
      </w:r>
      <w:r w:rsidR="007E576D" w:rsidRPr="00463257">
        <w:t>ierobežojum</w:t>
      </w:r>
      <w:r w:rsidRPr="00463257">
        <w:t xml:space="preserve">a noteikšanai iestāde nosaka stingrākus </w:t>
      </w:r>
      <w:r w:rsidR="00463257" w:rsidRPr="00CB0187">
        <w:t xml:space="preserve">individuālus </w:t>
      </w:r>
      <w:r w:rsidR="007E576D" w:rsidRPr="00463257">
        <w:t>ierobežojum</w:t>
      </w:r>
      <w:r w:rsidRPr="00463257">
        <w:t xml:space="preserve">us riska darījumiem ar paralēlās </w:t>
      </w:r>
      <w:r w:rsidR="00C918E3" w:rsidRPr="00CB0187">
        <w:t xml:space="preserve">banku </w:t>
      </w:r>
      <w:r w:rsidRPr="00CB0187">
        <w:t xml:space="preserve">sistēmas </w:t>
      </w:r>
      <w:r w:rsidR="00C918E3" w:rsidRPr="00CB0187">
        <w:t>vienībām</w:t>
      </w:r>
      <w:r w:rsidRPr="00463257">
        <w:t xml:space="preserve">, ņemot vērā: </w:t>
      </w:r>
    </w:p>
    <w:p w14:paraId="70463551" w14:textId="0E97FE7E" w:rsidR="009B3B5A" w:rsidRPr="0095513F" w:rsidRDefault="009B3B5A" w:rsidP="00462E70">
      <w:pPr>
        <w:pStyle w:val="NApunkts2"/>
      </w:pPr>
      <w:r w:rsidRPr="0095513F">
        <w:t xml:space="preserve">paralēlās </w:t>
      </w:r>
      <w:r w:rsidR="00C918E3" w:rsidRPr="0095513F">
        <w:t xml:space="preserve">banku </w:t>
      </w:r>
      <w:r w:rsidRPr="0095513F">
        <w:t xml:space="preserve">sistēmas </w:t>
      </w:r>
      <w:r w:rsidR="00C918E3" w:rsidRPr="0095513F">
        <w:t xml:space="preserve">vienībai </w:t>
      </w:r>
      <w:r w:rsidRPr="0095513F">
        <w:t xml:space="preserve">piemēroto tiesisko regulējumu, īpaši </w:t>
      </w:r>
      <w:r w:rsidR="00E01DB4" w:rsidRPr="0095513F">
        <w:t>to,</w:t>
      </w:r>
      <w:r w:rsidRPr="0095513F">
        <w:t xml:space="preserve"> vai tā ir pakļauta jebkāda veida prudenciālajām vai uzraudzības prasībām;</w:t>
      </w:r>
    </w:p>
    <w:p w14:paraId="5078677A" w14:textId="53FFD29E" w:rsidR="009B3B5A" w:rsidRPr="0095513F" w:rsidRDefault="009B3B5A" w:rsidP="00462E70">
      <w:pPr>
        <w:pStyle w:val="NApunkts2"/>
      </w:pPr>
      <w:r w:rsidRPr="0095513F">
        <w:t xml:space="preserve">paralēlās </w:t>
      </w:r>
      <w:r w:rsidR="00C918E3" w:rsidRPr="0095513F">
        <w:t xml:space="preserve">banku </w:t>
      </w:r>
      <w:r w:rsidRPr="0095513F">
        <w:t xml:space="preserve">sistēmas </w:t>
      </w:r>
      <w:r w:rsidR="00C918E3" w:rsidRPr="0095513F">
        <w:t xml:space="preserve">vienības </w:t>
      </w:r>
      <w:r w:rsidRPr="0095513F">
        <w:t xml:space="preserve">finansiālo stāvokli, </w:t>
      </w:r>
      <w:r w:rsidR="009059D2" w:rsidRPr="0095513F">
        <w:t>tai skaitā</w:t>
      </w:r>
      <w:r w:rsidRPr="0095513F">
        <w:t xml:space="preserve"> tās kapitālu, </w:t>
      </w:r>
      <w:r w:rsidR="00A3662E" w:rsidRPr="0095513F">
        <w:t xml:space="preserve">sviru </w:t>
      </w:r>
      <w:r w:rsidRPr="0095513F">
        <w:t>un likviditāti;</w:t>
      </w:r>
    </w:p>
    <w:p w14:paraId="36268152" w14:textId="66A93C08" w:rsidR="009B3B5A" w:rsidRPr="0095513F" w:rsidRDefault="009B3B5A" w:rsidP="00462E70">
      <w:pPr>
        <w:pStyle w:val="NApunkts2"/>
      </w:pPr>
      <w:r w:rsidRPr="0095513F">
        <w:t xml:space="preserve">pieejamo informāciju par paralēlās </w:t>
      </w:r>
      <w:r w:rsidR="00C918E3" w:rsidRPr="0095513F">
        <w:t xml:space="preserve">banku </w:t>
      </w:r>
      <w:r w:rsidRPr="0095513F">
        <w:t xml:space="preserve">sistēmas </w:t>
      </w:r>
      <w:r w:rsidR="00C918E3" w:rsidRPr="0095513F">
        <w:t xml:space="preserve">vienības </w:t>
      </w:r>
      <w:r w:rsidR="00FA17E5" w:rsidRPr="0095513F">
        <w:t>aktīv</w:t>
      </w:r>
      <w:r w:rsidR="00F72923" w:rsidRPr="0095513F">
        <w:t>iem</w:t>
      </w:r>
      <w:r w:rsidRPr="0095513F">
        <w:t xml:space="preserve">, īpaši par ienākumus nenesošajiem </w:t>
      </w:r>
      <w:r w:rsidR="00A3662E" w:rsidRPr="0095513F">
        <w:t>aktīviem</w:t>
      </w:r>
      <w:r w:rsidRPr="0095513F">
        <w:t>;</w:t>
      </w:r>
    </w:p>
    <w:p w14:paraId="7E3C03FF" w14:textId="5998F69F" w:rsidR="009B3B5A" w:rsidRPr="0095513F" w:rsidRDefault="009B3B5A" w:rsidP="00462E70">
      <w:pPr>
        <w:pStyle w:val="NApunkts2"/>
      </w:pPr>
      <w:r w:rsidRPr="0095513F">
        <w:t xml:space="preserve">informāciju, </w:t>
      </w:r>
      <w:r w:rsidR="00DC561A" w:rsidRPr="0095513F">
        <w:t xml:space="preserve">ja tāda ir pieejama, </w:t>
      </w:r>
      <w:r w:rsidRPr="0095513F">
        <w:t xml:space="preserve">kas apliecina paralēlās </w:t>
      </w:r>
      <w:r w:rsidR="00C918E3" w:rsidRPr="0095513F">
        <w:t xml:space="preserve">banku </w:t>
      </w:r>
      <w:r w:rsidRPr="0095513F">
        <w:t xml:space="preserve">sistēmas </w:t>
      </w:r>
      <w:r w:rsidR="00C918E3" w:rsidRPr="0095513F">
        <w:t xml:space="preserve">vienības </w:t>
      </w:r>
      <w:r w:rsidRPr="0095513F">
        <w:t xml:space="preserve">veiktās </w:t>
      </w:r>
      <w:r w:rsidR="00DC561A" w:rsidRPr="0095513F">
        <w:t>kredīt</w:t>
      </w:r>
      <w:r w:rsidR="00E37278" w:rsidRPr="0095513F">
        <w:t xml:space="preserve">riska </w:t>
      </w:r>
      <w:r w:rsidRPr="0095513F">
        <w:t xml:space="preserve">analīzes </w:t>
      </w:r>
      <w:r w:rsidR="00DC561A" w:rsidRPr="0095513F">
        <w:t>par</w:t>
      </w:r>
      <w:r w:rsidRPr="0095513F">
        <w:t xml:space="preserve"> tās </w:t>
      </w:r>
      <w:r w:rsidR="00DC561A" w:rsidRPr="0095513F">
        <w:t>aktīviem</w:t>
      </w:r>
      <w:r w:rsidR="009059D2" w:rsidRPr="0095513F">
        <w:t xml:space="preserve"> kvalitāti</w:t>
      </w:r>
      <w:r w:rsidRPr="0095513F">
        <w:t>;</w:t>
      </w:r>
      <w:r w:rsidR="00AF1582" w:rsidRPr="0095513F">
        <w:t xml:space="preserve"> </w:t>
      </w:r>
    </w:p>
    <w:p w14:paraId="5F724C57" w14:textId="3A65DE69" w:rsidR="009B3B5A" w:rsidRPr="0095513F" w:rsidRDefault="009B3B5A" w:rsidP="00462E70">
      <w:pPr>
        <w:pStyle w:val="NApunkts2"/>
      </w:pPr>
      <w:r w:rsidRPr="0095513F">
        <w:t xml:space="preserve">paralēlās </w:t>
      </w:r>
      <w:r w:rsidR="00C918E3" w:rsidRPr="0095513F">
        <w:t xml:space="preserve">banku </w:t>
      </w:r>
      <w:r w:rsidRPr="0095513F">
        <w:t xml:space="preserve">sistēmas </w:t>
      </w:r>
      <w:r w:rsidR="00C918E3" w:rsidRPr="0095513F">
        <w:t xml:space="preserve">vienības </w:t>
      </w:r>
      <w:r w:rsidRPr="0095513F">
        <w:t>ievainojamību aktīvu cenas vai kredīt</w:t>
      </w:r>
      <w:r w:rsidR="00683DCA" w:rsidRPr="0095513F">
        <w:t xml:space="preserve">u </w:t>
      </w:r>
      <w:r w:rsidRPr="0095513F">
        <w:t xml:space="preserve">kvalitātes svārstīguma dēļ; </w:t>
      </w:r>
    </w:p>
    <w:p w14:paraId="3EE78570" w14:textId="658D8749" w:rsidR="009B3B5A" w:rsidRPr="004551DB" w:rsidRDefault="00F41584" w:rsidP="00462E70">
      <w:pPr>
        <w:pStyle w:val="NApunkts2"/>
      </w:pPr>
      <w:r w:rsidRPr="004551DB">
        <w:t>banku pakalpojumu un darbību Regulas Nr. 2023/2779 2. panta izpratnē</w:t>
      </w:r>
      <w:r w:rsidR="006848D3" w:rsidRPr="004551DB">
        <w:t xml:space="preserve"> </w:t>
      </w:r>
      <w:r w:rsidR="009B3B5A" w:rsidRPr="004551DB">
        <w:t xml:space="preserve">koncentrāciju attiecībā pret </w:t>
      </w:r>
      <w:r w:rsidRPr="004551DB">
        <w:t xml:space="preserve">citiem </w:t>
      </w:r>
      <w:r w:rsidR="009B3B5A" w:rsidRPr="004551DB">
        <w:t xml:space="preserve">paralēlās </w:t>
      </w:r>
      <w:r w:rsidR="00C918E3" w:rsidRPr="004551DB">
        <w:t xml:space="preserve">banku </w:t>
      </w:r>
      <w:r w:rsidR="009B3B5A" w:rsidRPr="004551DB">
        <w:t xml:space="preserve">sistēmas </w:t>
      </w:r>
      <w:r w:rsidR="00C918E3" w:rsidRPr="004551DB">
        <w:t xml:space="preserve">vienības </w:t>
      </w:r>
      <w:r w:rsidRPr="004551DB">
        <w:t xml:space="preserve">pakalpojumiem un </w:t>
      </w:r>
      <w:r w:rsidR="009B3B5A" w:rsidRPr="004551DB">
        <w:t>darbībām;</w:t>
      </w:r>
    </w:p>
    <w:p w14:paraId="52F6FFBD" w14:textId="2DDD7CF4" w:rsidR="009B3B5A" w:rsidRPr="00E61778" w:rsidRDefault="00E61778" w:rsidP="00462E70">
      <w:pPr>
        <w:pStyle w:val="NApunkts2"/>
      </w:pPr>
      <w:r w:rsidRPr="00E61778">
        <w:t xml:space="preserve">šo noteikumu </w:t>
      </w:r>
      <w:r w:rsidR="00F518D7">
        <w:t>4</w:t>
      </w:r>
      <w:r w:rsidRPr="00E61778">
        <w:t xml:space="preserve">.4. apakšpunktā noteiktajā kārtībā identificēto </w:t>
      </w:r>
      <w:r w:rsidR="009B3B5A" w:rsidRPr="00E61778">
        <w:t>savstarpējo saistību;</w:t>
      </w:r>
    </w:p>
    <w:p w14:paraId="3C3C26B1" w14:textId="4BBC3080" w:rsidR="00840034" w:rsidRPr="00E61778" w:rsidRDefault="009B3B5A" w:rsidP="00462E70">
      <w:pPr>
        <w:pStyle w:val="NApunkts2"/>
      </w:pPr>
      <w:r w:rsidRPr="00E61778">
        <w:t xml:space="preserve">jebkurus citus </w:t>
      </w:r>
      <w:r w:rsidR="006848D3" w:rsidRPr="00E61778">
        <w:t xml:space="preserve">iestādes identificētos </w:t>
      </w:r>
      <w:r w:rsidRPr="00E61778">
        <w:t>faktorus.</w:t>
      </w:r>
    </w:p>
    <w:p w14:paraId="316A7019" w14:textId="568F5A0D" w:rsidR="009B3B5A" w:rsidRPr="0095513F" w:rsidRDefault="009B3B5A" w:rsidP="00BA52FC">
      <w:pPr>
        <w:pStyle w:val="NAnodalaromiesucipari"/>
      </w:pPr>
      <w:r w:rsidRPr="0095513F">
        <w:t>Atkāpšanās pieeja</w:t>
      </w:r>
    </w:p>
    <w:p w14:paraId="74082CD7" w14:textId="77777777" w:rsidR="00D32BE4" w:rsidRDefault="00D32BE4" w:rsidP="00462E70">
      <w:pPr>
        <w:pStyle w:val="NApunkts1"/>
        <w:numPr>
          <w:ilvl w:val="0"/>
          <w:numId w:val="0"/>
        </w:numPr>
        <w:spacing w:before="0"/>
      </w:pPr>
    </w:p>
    <w:p w14:paraId="05AD220F" w14:textId="258CE35D" w:rsidR="007E576D" w:rsidRPr="0095513F" w:rsidRDefault="009B3B5A" w:rsidP="009B3B5A">
      <w:pPr>
        <w:pStyle w:val="NApunkts1"/>
        <w:spacing w:before="0"/>
      </w:pPr>
      <w:bookmarkStart w:id="7" w:name="_Hlk162422479"/>
      <w:r w:rsidRPr="0095513F">
        <w:t xml:space="preserve">Iestāde, kura nespēj piemērot pamata pieeju </w:t>
      </w:r>
      <w:r w:rsidR="0095513F">
        <w:t>saskaņā ar šo noteikumu III</w:t>
      </w:r>
      <w:r w:rsidR="00637A21">
        <w:t> </w:t>
      </w:r>
      <w:r w:rsidR="0095513F">
        <w:t>nodaļu</w:t>
      </w:r>
      <w:r w:rsidRPr="0095513F">
        <w:t xml:space="preserve">, nodrošina, ka minēto riska darījumu kopējais apmērs ir pakļauts lielo riska darījumu </w:t>
      </w:r>
      <w:r w:rsidR="007E576D" w:rsidRPr="0095513F">
        <w:t>ierobežojum</w:t>
      </w:r>
      <w:r w:rsidRPr="0095513F">
        <w:t>iem saskaņā ar Regulas Nr.</w:t>
      </w:r>
      <w:r w:rsidR="00F02379" w:rsidRPr="0095513F">
        <w:t> </w:t>
      </w:r>
      <w:r w:rsidRPr="0095513F">
        <w:t>575/2013 395.</w:t>
      </w:r>
      <w:r w:rsidR="00F02379" w:rsidRPr="0095513F">
        <w:t> </w:t>
      </w:r>
      <w:r w:rsidRPr="0095513F">
        <w:t>pantu</w:t>
      </w:r>
      <w:r w:rsidR="0095513F" w:rsidRPr="00CB0187">
        <w:t>, tostarp</w:t>
      </w:r>
      <w:r w:rsidR="008F5687">
        <w:t>,</w:t>
      </w:r>
      <w:r w:rsidR="0095513F" w:rsidRPr="00CB0187">
        <w:t xml:space="preserve"> izmantojot minētās regulas 395. </w:t>
      </w:r>
      <w:r w:rsidR="0095513F" w:rsidRPr="00105A6D">
        <w:t>panta 5. punktu</w:t>
      </w:r>
      <w:r w:rsidR="00105A6D">
        <w:t>,</w:t>
      </w:r>
      <w:r w:rsidRPr="00105A6D">
        <w:t xml:space="preserve"> (</w:t>
      </w:r>
      <w:r w:rsidR="006A5B96" w:rsidRPr="00105A6D">
        <w:t>turpmāk</w:t>
      </w:r>
      <w:r w:rsidR="00F02379" w:rsidRPr="0095513F">
        <w:t> </w:t>
      </w:r>
      <w:r w:rsidRPr="0095513F">
        <w:t>– atkāpšanās pieeja)</w:t>
      </w:r>
      <w:r w:rsidR="007E576D" w:rsidRPr="0095513F">
        <w:t>.</w:t>
      </w:r>
    </w:p>
    <w:bookmarkEnd w:id="7"/>
    <w:p w14:paraId="17B4CB03" w14:textId="5B8E9048" w:rsidR="009B3B5A" w:rsidRPr="0095513F" w:rsidRDefault="007E576D" w:rsidP="00462E70">
      <w:pPr>
        <w:pStyle w:val="NApunkts1"/>
      </w:pPr>
      <w:r w:rsidRPr="0095513F">
        <w:t>Iestāde piemēro atkāpšanās pieeju</w:t>
      </w:r>
      <w:r w:rsidR="009B3B5A" w:rsidRPr="0095513F">
        <w:t>, ievērojot šādas prasības:</w:t>
      </w:r>
    </w:p>
    <w:p w14:paraId="0DDCE2F2" w14:textId="42DA9026" w:rsidR="009B3B5A" w:rsidRPr="0095513F" w:rsidRDefault="009B3B5A" w:rsidP="00CB0187">
      <w:pPr>
        <w:pStyle w:val="NApunkts2"/>
      </w:pPr>
      <w:r w:rsidRPr="0095513F">
        <w:t xml:space="preserve">ja netiek nodrošināta šo noteikumu </w:t>
      </w:r>
      <w:r w:rsidR="00894B01" w:rsidRPr="0095513F">
        <w:t>II nodaļas</w:t>
      </w:r>
      <w:r w:rsidRPr="0095513F">
        <w:t xml:space="preserve"> prasību izpilde, iestāde piemēro atkāpšanās pieeju visiem tās riska darījumiem ar paralēlās </w:t>
      </w:r>
      <w:r w:rsidR="002D791F" w:rsidRPr="0095513F">
        <w:t xml:space="preserve">banku </w:t>
      </w:r>
      <w:r w:rsidRPr="0095513F">
        <w:t xml:space="preserve">sistēmas </w:t>
      </w:r>
      <w:r w:rsidR="002D791F" w:rsidRPr="0095513F">
        <w:t xml:space="preserve">vienībām </w:t>
      </w:r>
      <w:r w:rsidR="009059D2" w:rsidRPr="0095513F">
        <w:t>(</w:t>
      </w:r>
      <w:r w:rsidRPr="0095513F">
        <w:t xml:space="preserve">riska darījumu ar paralēlās </w:t>
      </w:r>
      <w:r w:rsidR="002D791F" w:rsidRPr="0095513F">
        <w:t xml:space="preserve">banku </w:t>
      </w:r>
      <w:r w:rsidRPr="0095513F">
        <w:t xml:space="preserve">sistēmas </w:t>
      </w:r>
      <w:r w:rsidR="002D791F" w:rsidRPr="0095513F">
        <w:t xml:space="preserve">vienībām </w:t>
      </w:r>
      <w:r w:rsidRPr="0095513F">
        <w:t>kopējam apmēram</w:t>
      </w:r>
      <w:r w:rsidR="009059D2" w:rsidRPr="0095513F">
        <w:t>)</w:t>
      </w:r>
      <w:r w:rsidRPr="0095513F">
        <w:t>;</w:t>
      </w:r>
    </w:p>
    <w:p w14:paraId="16AFCA9F" w14:textId="1EAA6A72" w:rsidR="009B3B5A" w:rsidRPr="009B3B5A" w:rsidRDefault="009B3B5A" w:rsidP="00CB0187">
      <w:pPr>
        <w:pStyle w:val="NApunkts2"/>
      </w:pPr>
      <w:r w:rsidRPr="002860A0">
        <w:t xml:space="preserve">ja tiek nodrošināta šo noteikumu </w:t>
      </w:r>
      <w:r w:rsidR="00894B01" w:rsidRPr="002860A0">
        <w:t>II nodaļas</w:t>
      </w:r>
      <w:r w:rsidRPr="002860A0">
        <w:t xml:space="preserve"> prasību izpilde, bet netiek iegūta pietiekama informācija, lai noteiktu </w:t>
      </w:r>
      <w:r w:rsidR="007E576D" w:rsidRPr="002860A0">
        <w:t>ierobežojum</w:t>
      </w:r>
      <w:r w:rsidRPr="002860A0">
        <w:t xml:space="preserve">us saskaņā ar šo noteikumu </w:t>
      </w:r>
      <w:r w:rsidR="00894B01" w:rsidRPr="002860A0">
        <w:t>III nodaļas prasībām</w:t>
      </w:r>
      <w:r w:rsidRPr="002860A0">
        <w:t xml:space="preserve">, iestāde piemēro atkāpšanās pieeju tikai attiecībā uz tiem riska darījumiem ar paralēlās </w:t>
      </w:r>
      <w:r w:rsidR="002D791F" w:rsidRPr="002860A0">
        <w:t xml:space="preserve">banku </w:t>
      </w:r>
      <w:r w:rsidRPr="002860A0">
        <w:t xml:space="preserve">sistēmas </w:t>
      </w:r>
      <w:r w:rsidR="002D791F" w:rsidRPr="002860A0">
        <w:t>vienībām</w:t>
      </w:r>
      <w:r w:rsidRPr="002860A0">
        <w:t xml:space="preserve">, par kuriem netiek iegūta pietiekama informācija, bet attiecībā uz pārējiem riska darījumiem ar paralēlās </w:t>
      </w:r>
      <w:r w:rsidR="002D791F" w:rsidRPr="002860A0">
        <w:t xml:space="preserve">banku </w:t>
      </w:r>
      <w:r w:rsidRPr="002860A0">
        <w:t xml:space="preserve">sistēmas </w:t>
      </w:r>
      <w:r w:rsidR="002D791F" w:rsidRPr="002860A0">
        <w:t xml:space="preserve">vienībām </w:t>
      </w:r>
      <w:r w:rsidRPr="002860A0">
        <w:t>piemēro pamata pieeju</w:t>
      </w:r>
      <w:r w:rsidR="00894B01" w:rsidRPr="002860A0">
        <w:t xml:space="preserve"> saskaņā ar šo noteikumu III</w:t>
      </w:r>
      <w:r w:rsidR="002D791F" w:rsidRPr="002860A0">
        <w:t> </w:t>
      </w:r>
      <w:r w:rsidR="00894B01" w:rsidRPr="002860A0">
        <w:t>nodaļas prasībām</w:t>
      </w:r>
      <w:r w:rsidRPr="002860A0">
        <w:t>.</w:t>
      </w:r>
    </w:p>
    <w:p w14:paraId="6AA51FFA" w14:textId="7D1D346E" w:rsidR="00840034" w:rsidRPr="004F29B1" w:rsidRDefault="00840034" w:rsidP="00BA52FC">
      <w:pPr>
        <w:pStyle w:val="NAnodalaromiesucipari"/>
      </w:pPr>
      <w:r>
        <w:t xml:space="preserve"> Noslēguma jautājum</w:t>
      </w:r>
      <w:r w:rsidR="009B3B5A">
        <w:t>s</w:t>
      </w:r>
    </w:p>
    <w:p w14:paraId="588B2C03" w14:textId="24F22E7D" w:rsidR="00DD34CF" w:rsidRDefault="00840034" w:rsidP="00DD34CF">
      <w:pPr>
        <w:pStyle w:val="NApunkts1"/>
      </w:pPr>
      <w:r>
        <w:t xml:space="preserve">Atzīt par spēku zaudējušiem </w:t>
      </w:r>
      <w:r w:rsidR="00DD34CF">
        <w:t xml:space="preserve">Finanšu un kapitāla tirgus komisijas </w:t>
      </w:r>
      <w:r w:rsidR="00DD34CF" w:rsidRPr="00DD34CF">
        <w:t>2020.</w:t>
      </w:r>
      <w:r w:rsidR="00F02379">
        <w:t> </w:t>
      </w:r>
      <w:r w:rsidR="00DD34CF" w:rsidRPr="00DD34CF">
        <w:t>gada 27.</w:t>
      </w:r>
      <w:r w:rsidR="00F02379">
        <w:t> </w:t>
      </w:r>
      <w:r w:rsidR="00DD34CF" w:rsidRPr="00DD34CF">
        <w:t>jūlij</w:t>
      </w:r>
      <w:r w:rsidR="00DD34CF">
        <w:t>a normatīvos noteikumus Nr.</w:t>
      </w:r>
      <w:r w:rsidR="00F02379">
        <w:t> </w:t>
      </w:r>
      <w:r w:rsidR="00DD34CF">
        <w:t>109 "</w:t>
      </w:r>
      <w:r w:rsidR="00DD34CF" w:rsidRPr="00DD34CF">
        <w:t>Ierobežojumu riska darījumiem ar paralēlās kredītiestāžu sistēmas iestādēm noteikšanas normatīvie noteikumi</w:t>
      </w:r>
      <w:r w:rsidR="00DD34CF">
        <w:t>" (Latvijas Vēstnesis, 2020, Nr.</w:t>
      </w:r>
      <w:r w:rsidR="00F02379">
        <w:t> </w:t>
      </w:r>
      <w:r w:rsidR="00DD34CF">
        <w:t>145</w:t>
      </w:r>
      <w:r w:rsidR="0097787A">
        <w:t>; 2021, Nr. 144; 2022, Nr. 122</w:t>
      </w:r>
      <w:r w:rsidR="00DD34CF">
        <w:t>).</w:t>
      </w:r>
    </w:p>
    <w:p w14:paraId="10B2A782" w14:textId="77777777" w:rsidR="00DD34CF" w:rsidRDefault="00DD34CF" w:rsidP="009B3B5A">
      <w:pPr>
        <w:pStyle w:val="Teksts2"/>
        <w:widowControl w:val="0"/>
        <w:jc w:val="center"/>
        <w:rPr>
          <w:b/>
          <w:sz w:val="26"/>
          <w:szCs w:val="26"/>
        </w:rPr>
      </w:pPr>
    </w:p>
    <w:p w14:paraId="53140A46" w14:textId="55B11BF9" w:rsidR="009B3B5A" w:rsidRPr="00047EC7" w:rsidRDefault="009B3B5A" w:rsidP="00105A6D">
      <w:pPr>
        <w:pStyle w:val="Teksts2"/>
        <w:keepNext/>
        <w:widowControl w:val="0"/>
        <w:rPr>
          <w:b/>
          <w:szCs w:val="24"/>
        </w:rPr>
      </w:pPr>
      <w:r w:rsidRPr="00047EC7">
        <w:rPr>
          <w:b/>
          <w:szCs w:val="24"/>
        </w:rPr>
        <w:lastRenderedPageBreak/>
        <w:t xml:space="preserve">Informatīva atsauce uz Eiropas </w:t>
      </w:r>
      <w:r w:rsidR="0097787A" w:rsidRPr="00047EC7">
        <w:rPr>
          <w:b/>
          <w:szCs w:val="24"/>
        </w:rPr>
        <w:t>Savienības tiesību aktiem</w:t>
      </w:r>
    </w:p>
    <w:p w14:paraId="42DAFAEB" w14:textId="0C10AF7A" w:rsidR="009B3B5A" w:rsidRDefault="009B3B5A" w:rsidP="009B3B5A">
      <w:pPr>
        <w:pStyle w:val="NApunkts1"/>
        <w:keepNext/>
        <w:keepLines/>
        <w:numPr>
          <w:ilvl w:val="0"/>
          <w:numId w:val="0"/>
        </w:numPr>
      </w:pPr>
      <w:r w:rsidRPr="007361A1">
        <w:t>Noteikumos iekļautas tiesību normas, kas izriet no</w:t>
      </w:r>
      <w:r>
        <w:t xml:space="preserve"> </w:t>
      </w:r>
      <w:r w:rsidRPr="007361A1">
        <w:t xml:space="preserve">Eiropas Banku iestādes </w:t>
      </w:r>
      <w:r>
        <w:t>2016.</w:t>
      </w:r>
      <w:r w:rsidR="00F02379">
        <w:t> </w:t>
      </w:r>
      <w:r>
        <w:t>gada 3.</w:t>
      </w:r>
      <w:r w:rsidR="00F02379">
        <w:t> </w:t>
      </w:r>
      <w:r>
        <w:t xml:space="preserve">jūnija </w:t>
      </w:r>
      <w:r w:rsidRPr="007361A1">
        <w:t xml:space="preserve">pamatnostādnēm </w:t>
      </w:r>
      <w:r w:rsidRPr="0041712A">
        <w:t>EB</w:t>
      </w:r>
      <w:r>
        <w:t>A</w:t>
      </w:r>
      <w:r w:rsidRPr="0041712A">
        <w:t>/</w:t>
      </w:r>
      <w:r>
        <w:t>GL</w:t>
      </w:r>
      <w:r w:rsidRPr="007361A1">
        <w:t>/201</w:t>
      </w:r>
      <w:r>
        <w:t>5</w:t>
      </w:r>
      <w:r w:rsidRPr="007361A1">
        <w:t>/</w:t>
      </w:r>
      <w:r>
        <w:t>20</w:t>
      </w:r>
      <w:r w:rsidRPr="007361A1">
        <w:t xml:space="preserve"> "Pamatnostādnes</w:t>
      </w:r>
      <w:r>
        <w:t xml:space="preserve"> par limitiem riska darījumiem ar "paralēlās banku sistēmas" struktūrvienībām, kuras veic banku darbības, nepakļaujoties regulējošām prasībām, saskaņā ar Regulas (ES) Nr.</w:t>
      </w:r>
      <w:r w:rsidR="00F02379">
        <w:t> </w:t>
      </w:r>
      <w:r>
        <w:t>575/2013 395.</w:t>
      </w:r>
      <w:r w:rsidR="00F02379">
        <w:t> </w:t>
      </w:r>
      <w:r>
        <w:t>panta 2.</w:t>
      </w:r>
      <w:r w:rsidR="00F02379">
        <w:t> </w:t>
      </w:r>
      <w:r>
        <w:t>punktu".</w:t>
      </w:r>
    </w:p>
    <w:p w14:paraId="3FC80BFB"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15D3ECA6" w14:textId="77777777" w:rsidTr="00811BE5">
        <w:tc>
          <w:tcPr>
            <w:tcW w:w="4928" w:type="dxa"/>
            <w:vAlign w:val="bottom"/>
          </w:tcPr>
          <w:p w14:paraId="78807558" w14:textId="5E844D05" w:rsidR="00966987" w:rsidRDefault="000A5A83" w:rsidP="00FA055C">
            <w:pPr>
              <w:pStyle w:val="NoSpacing"/>
              <w:ind w:left="-107"/>
              <w:rPr>
                <w:rFonts w:cs="Times New Roman"/>
              </w:rPr>
            </w:pPr>
            <w:sdt>
              <w:sdtPr>
                <w:rPr>
                  <w:rFonts w:cs="Times New Roman"/>
                </w:rPr>
                <w:alias w:val="Amats"/>
                <w:tag w:val="Amats"/>
                <w:id w:val="45201534"/>
                <w:lock w:val="sdtLocked"/>
                <w:placeholder>
                  <w:docPart w:val="EA624226B605467D96FC45231B71839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F5110">
                  <w:rPr>
                    <w:rFonts w:cs="Times New Roman"/>
                  </w:rPr>
                  <w:t>Latvijas Bankas prezidents</w:t>
                </w:r>
              </w:sdtContent>
            </w:sdt>
          </w:p>
        </w:tc>
        <w:sdt>
          <w:sdtPr>
            <w:rPr>
              <w:rFonts w:cs="Times New Roman"/>
            </w:rPr>
            <w:alias w:val="V. Uzvārds"/>
            <w:tag w:val="V. Uzvārds"/>
            <w:id w:val="46411162"/>
            <w:lock w:val="sdtLocked"/>
            <w:placeholder>
              <w:docPart w:val="6B529BF1DBCF468181E7B1E0746E50FB"/>
            </w:placeholder>
          </w:sdtPr>
          <w:sdtEndPr/>
          <w:sdtContent>
            <w:tc>
              <w:tcPr>
                <w:tcW w:w="3792" w:type="dxa"/>
                <w:vAlign w:val="bottom"/>
              </w:tcPr>
              <w:p w14:paraId="7322B703" w14:textId="1BA3CADF" w:rsidR="00966987" w:rsidRDefault="00FF5110" w:rsidP="00C523D5">
                <w:pPr>
                  <w:pStyle w:val="NoSpacing"/>
                  <w:ind w:right="-111"/>
                  <w:jc w:val="right"/>
                  <w:rPr>
                    <w:rFonts w:cs="Times New Roman"/>
                  </w:rPr>
                </w:pPr>
                <w:r>
                  <w:rPr>
                    <w:rFonts w:cs="Times New Roman"/>
                  </w:rPr>
                  <w:t>M. Kazāks</w:t>
                </w:r>
              </w:p>
            </w:tc>
          </w:sdtContent>
        </w:sdt>
      </w:tr>
    </w:tbl>
    <w:p w14:paraId="0FF1D3B7" w14:textId="77777777" w:rsidR="006D395C" w:rsidRPr="006D395C" w:rsidRDefault="006D395C" w:rsidP="00D32BE4">
      <w:pPr>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983B3" w14:textId="77777777" w:rsidR="009B3B5A" w:rsidRDefault="009B3B5A" w:rsidP="00AC4B00">
      <w:r>
        <w:separator/>
      </w:r>
    </w:p>
  </w:endnote>
  <w:endnote w:type="continuationSeparator" w:id="0">
    <w:p w14:paraId="7AF8B3BA" w14:textId="77777777" w:rsidR="009B3B5A" w:rsidRDefault="009B3B5A"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B6B3D" w14:textId="77777777" w:rsidR="009B3B5A" w:rsidRDefault="009B3B5A" w:rsidP="00AC4B00">
      <w:r>
        <w:separator/>
      </w:r>
    </w:p>
  </w:footnote>
  <w:footnote w:type="continuationSeparator" w:id="0">
    <w:p w14:paraId="2DC8B626" w14:textId="77777777" w:rsidR="009B3B5A" w:rsidRDefault="009B3B5A"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FEAF2B7"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83251" w14:textId="77777777" w:rsidR="009C42A8" w:rsidRPr="009C42A8" w:rsidRDefault="00EA6CA5" w:rsidP="00AA4809">
    <w:pPr>
      <w:pStyle w:val="Header"/>
      <w:spacing w:before="560"/>
      <w:jc w:val="center"/>
    </w:pPr>
    <w:r>
      <w:rPr>
        <w:noProof/>
      </w:rPr>
      <w:drawing>
        <wp:inline distT="0" distB="0" distL="0" distR="0" wp14:anchorId="76AE2915" wp14:editId="126B0EE1">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30269825" wp14:editId="53A7851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9854C"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564E7C"/>
    <w:multiLevelType w:val="hybridMultilevel"/>
    <w:tmpl w:val="79E02020"/>
    <w:lvl w:ilvl="0" w:tplc="B4BE7BD2">
      <w:start w:val="1"/>
      <w:numFmt w:val="decimal"/>
      <w:lvlText w:val="%1."/>
      <w:lvlJc w:val="left"/>
      <w:pPr>
        <w:ind w:left="720" w:hanging="360"/>
      </w:pPr>
    </w:lvl>
    <w:lvl w:ilvl="1" w:tplc="AEB6E978">
      <w:start w:val="1"/>
      <w:numFmt w:val="decimal"/>
      <w:lvlText w:val="%2."/>
      <w:lvlJc w:val="left"/>
      <w:pPr>
        <w:ind w:left="720" w:hanging="360"/>
      </w:pPr>
    </w:lvl>
    <w:lvl w:ilvl="2" w:tplc="2BD4AA22">
      <w:start w:val="1"/>
      <w:numFmt w:val="decimal"/>
      <w:lvlText w:val="%3."/>
      <w:lvlJc w:val="left"/>
      <w:pPr>
        <w:ind w:left="720" w:hanging="360"/>
      </w:pPr>
    </w:lvl>
    <w:lvl w:ilvl="3" w:tplc="80304BF2">
      <w:start w:val="1"/>
      <w:numFmt w:val="decimal"/>
      <w:lvlText w:val="%4."/>
      <w:lvlJc w:val="left"/>
      <w:pPr>
        <w:ind w:left="720" w:hanging="360"/>
      </w:pPr>
    </w:lvl>
    <w:lvl w:ilvl="4" w:tplc="1C4CD044">
      <w:start w:val="1"/>
      <w:numFmt w:val="decimal"/>
      <w:lvlText w:val="%5."/>
      <w:lvlJc w:val="left"/>
      <w:pPr>
        <w:ind w:left="720" w:hanging="360"/>
      </w:pPr>
    </w:lvl>
    <w:lvl w:ilvl="5" w:tplc="5AAE253C">
      <w:start w:val="1"/>
      <w:numFmt w:val="decimal"/>
      <w:lvlText w:val="%6."/>
      <w:lvlJc w:val="left"/>
      <w:pPr>
        <w:ind w:left="720" w:hanging="360"/>
      </w:pPr>
    </w:lvl>
    <w:lvl w:ilvl="6" w:tplc="B1FCB052">
      <w:start w:val="1"/>
      <w:numFmt w:val="decimal"/>
      <w:lvlText w:val="%7."/>
      <w:lvlJc w:val="left"/>
      <w:pPr>
        <w:ind w:left="720" w:hanging="360"/>
      </w:pPr>
    </w:lvl>
    <w:lvl w:ilvl="7" w:tplc="E8360FF6">
      <w:start w:val="1"/>
      <w:numFmt w:val="decimal"/>
      <w:lvlText w:val="%8."/>
      <w:lvlJc w:val="left"/>
      <w:pPr>
        <w:ind w:left="720" w:hanging="360"/>
      </w:pPr>
    </w:lvl>
    <w:lvl w:ilvl="8" w:tplc="CE1E05F2">
      <w:start w:val="1"/>
      <w:numFmt w:val="decimal"/>
      <w:lvlText w:val="%9."/>
      <w:lvlJc w:val="left"/>
      <w:pPr>
        <w:ind w:left="720" w:hanging="360"/>
      </w:pPr>
    </w:lvl>
  </w:abstractNum>
  <w:abstractNum w:abstractNumId="1" w15:restartNumberingAfterBreak="0">
    <w:nsid w:val="21D46A8C"/>
    <w:multiLevelType w:val="hybridMultilevel"/>
    <w:tmpl w:val="84AAD8C6"/>
    <w:lvl w:ilvl="0" w:tplc="A22AC0E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842FD1"/>
    <w:multiLevelType w:val="hybridMultilevel"/>
    <w:tmpl w:val="4C48F272"/>
    <w:lvl w:ilvl="0" w:tplc="87F67128">
      <w:start w:val="1"/>
      <w:numFmt w:val="decimal"/>
      <w:lvlText w:val="%1."/>
      <w:lvlJc w:val="left"/>
      <w:pPr>
        <w:ind w:left="1020" w:hanging="360"/>
      </w:pPr>
    </w:lvl>
    <w:lvl w:ilvl="1" w:tplc="6422E7AA">
      <w:start w:val="1"/>
      <w:numFmt w:val="decimal"/>
      <w:lvlText w:val="%2."/>
      <w:lvlJc w:val="left"/>
      <w:pPr>
        <w:ind w:left="1020" w:hanging="360"/>
      </w:pPr>
    </w:lvl>
    <w:lvl w:ilvl="2" w:tplc="1C2AEF72">
      <w:start w:val="1"/>
      <w:numFmt w:val="decimal"/>
      <w:lvlText w:val="%3."/>
      <w:lvlJc w:val="left"/>
      <w:pPr>
        <w:ind w:left="1020" w:hanging="360"/>
      </w:pPr>
    </w:lvl>
    <w:lvl w:ilvl="3" w:tplc="95A0B046">
      <w:start w:val="1"/>
      <w:numFmt w:val="decimal"/>
      <w:lvlText w:val="%4."/>
      <w:lvlJc w:val="left"/>
      <w:pPr>
        <w:ind w:left="1020" w:hanging="360"/>
      </w:pPr>
    </w:lvl>
    <w:lvl w:ilvl="4" w:tplc="F60CC400">
      <w:start w:val="1"/>
      <w:numFmt w:val="decimal"/>
      <w:lvlText w:val="%5."/>
      <w:lvlJc w:val="left"/>
      <w:pPr>
        <w:ind w:left="1020" w:hanging="360"/>
      </w:pPr>
    </w:lvl>
    <w:lvl w:ilvl="5" w:tplc="B99418E6">
      <w:start w:val="1"/>
      <w:numFmt w:val="decimal"/>
      <w:lvlText w:val="%6."/>
      <w:lvlJc w:val="left"/>
      <w:pPr>
        <w:ind w:left="1020" w:hanging="360"/>
      </w:pPr>
    </w:lvl>
    <w:lvl w:ilvl="6" w:tplc="86D2B31E">
      <w:start w:val="1"/>
      <w:numFmt w:val="decimal"/>
      <w:lvlText w:val="%7."/>
      <w:lvlJc w:val="left"/>
      <w:pPr>
        <w:ind w:left="1020" w:hanging="360"/>
      </w:pPr>
    </w:lvl>
    <w:lvl w:ilvl="7" w:tplc="FA44B0B6">
      <w:start w:val="1"/>
      <w:numFmt w:val="decimal"/>
      <w:lvlText w:val="%8."/>
      <w:lvlJc w:val="left"/>
      <w:pPr>
        <w:ind w:left="1020" w:hanging="360"/>
      </w:pPr>
    </w:lvl>
    <w:lvl w:ilvl="8" w:tplc="DDF6EA9E">
      <w:start w:val="1"/>
      <w:numFmt w:val="decimal"/>
      <w:lvlText w:val="%9."/>
      <w:lvlJc w:val="left"/>
      <w:pPr>
        <w:ind w:left="1020" w:hanging="360"/>
      </w:pPr>
    </w:lvl>
  </w:abstractNum>
  <w:abstractNum w:abstractNumId="3"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2126"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3"/>
  </w:num>
  <w:num w:numId="2" w16cid:durableId="765492621">
    <w:abstractNumId w:val="4"/>
  </w:num>
  <w:num w:numId="3" w16cid:durableId="65688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947201933">
    <w:abstractNumId w:val="0"/>
  </w:num>
  <w:num w:numId="9" w16cid:durableId="517348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B5A"/>
    <w:rsid w:val="00001229"/>
    <w:rsid w:val="00003926"/>
    <w:rsid w:val="00012BB7"/>
    <w:rsid w:val="00017C12"/>
    <w:rsid w:val="000223D1"/>
    <w:rsid w:val="000239BA"/>
    <w:rsid w:val="00027057"/>
    <w:rsid w:val="00032F04"/>
    <w:rsid w:val="000409F1"/>
    <w:rsid w:val="00044CC8"/>
    <w:rsid w:val="00047EC7"/>
    <w:rsid w:val="00050AB9"/>
    <w:rsid w:val="00057385"/>
    <w:rsid w:val="00060D2F"/>
    <w:rsid w:val="00061A02"/>
    <w:rsid w:val="000710C5"/>
    <w:rsid w:val="000713FC"/>
    <w:rsid w:val="00081D7E"/>
    <w:rsid w:val="00086F10"/>
    <w:rsid w:val="00087FA2"/>
    <w:rsid w:val="00094F4A"/>
    <w:rsid w:val="00095563"/>
    <w:rsid w:val="00096DE9"/>
    <w:rsid w:val="000973A6"/>
    <w:rsid w:val="000A086A"/>
    <w:rsid w:val="000A4472"/>
    <w:rsid w:val="000A5A83"/>
    <w:rsid w:val="000B3134"/>
    <w:rsid w:val="000B3673"/>
    <w:rsid w:val="000B398C"/>
    <w:rsid w:val="000B41DB"/>
    <w:rsid w:val="000B4A2F"/>
    <w:rsid w:val="000B50AD"/>
    <w:rsid w:val="000D18A5"/>
    <w:rsid w:val="000D5637"/>
    <w:rsid w:val="000D6374"/>
    <w:rsid w:val="000E4379"/>
    <w:rsid w:val="000F000D"/>
    <w:rsid w:val="001026BB"/>
    <w:rsid w:val="00105A6D"/>
    <w:rsid w:val="00111D75"/>
    <w:rsid w:val="0011252B"/>
    <w:rsid w:val="00123001"/>
    <w:rsid w:val="001306DB"/>
    <w:rsid w:val="001345F7"/>
    <w:rsid w:val="00136D21"/>
    <w:rsid w:val="00141FD0"/>
    <w:rsid w:val="00142533"/>
    <w:rsid w:val="00145D4F"/>
    <w:rsid w:val="0014617B"/>
    <w:rsid w:val="00151E1B"/>
    <w:rsid w:val="0015462E"/>
    <w:rsid w:val="001562FC"/>
    <w:rsid w:val="001614A8"/>
    <w:rsid w:val="00192FC9"/>
    <w:rsid w:val="0019595C"/>
    <w:rsid w:val="001A618A"/>
    <w:rsid w:val="001B1EEE"/>
    <w:rsid w:val="001C4CF6"/>
    <w:rsid w:val="001D538F"/>
    <w:rsid w:val="001E1B13"/>
    <w:rsid w:val="001E4A06"/>
    <w:rsid w:val="001E7AF5"/>
    <w:rsid w:val="001E7C3C"/>
    <w:rsid w:val="001F06F7"/>
    <w:rsid w:val="001F122D"/>
    <w:rsid w:val="001F4834"/>
    <w:rsid w:val="001F51BD"/>
    <w:rsid w:val="002016F8"/>
    <w:rsid w:val="00203A18"/>
    <w:rsid w:val="00205B25"/>
    <w:rsid w:val="002130D6"/>
    <w:rsid w:val="00215938"/>
    <w:rsid w:val="00216AAD"/>
    <w:rsid w:val="002220E9"/>
    <w:rsid w:val="00223C1B"/>
    <w:rsid w:val="00230AD5"/>
    <w:rsid w:val="0023463E"/>
    <w:rsid w:val="002456AC"/>
    <w:rsid w:val="002528E9"/>
    <w:rsid w:val="002573A6"/>
    <w:rsid w:val="0026296C"/>
    <w:rsid w:val="00266408"/>
    <w:rsid w:val="0026765A"/>
    <w:rsid w:val="002728B2"/>
    <w:rsid w:val="00276FCB"/>
    <w:rsid w:val="002860A0"/>
    <w:rsid w:val="00294F01"/>
    <w:rsid w:val="00294FF0"/>
    <w:rsid w:val="002A2FEF"/>
    <w:rsid w:val="002A617A"/>
    <w:rsid w:val="002A698F"/>
    <w:rsid w:val="002B0DD6"/>
    <w:rsid w:val="002B5C35"/>
    <w:rsid w:val="002C08EB"/>
    <w:rsid w:val="002C6FD2"/>
    <w:rsid w:val="002D791F"/>
    <w:rsid w:val="002E3F3C"/>
    <w:rsid w:val="002F6068"/>
    <w:rsid w:val="00301089"/>
    <w:rsid w:val="003163B5"/>
    <w:rsid w:val="003215E5"/>
    <w:rsid w:val="00330899"/>
    <w:rsid w:val="00333D26"/>
    <w:rsid w:val="00334BEC"/>
    <w:rsid w:val="00336ED1"/>
    <w:rsid w:val="00340D04"/>
    <w:rsid w:val="00344CBA"/>
    <w:rsid w:val="00346793"/>
    <w:rsid w:val="00354C8B"/>
    <w:rsid w:val="00360C08"/>
    <w:rsid w:val="00360F15"/>
    <w:rsid w:val="00363019"/>
    <w:rsid w:val="00365CD6"/>
    <w:rsid w:val="00366379"/>
    <w:rsid w:val="00373960"/>
    <w:rsid w:val="00373AEA"/>
    <w:rsid w:val="00385699"/>
    <w:rsid w:val="00392B68"/>
    <w:rsid w:val="003B122C"/>
    <w:rsid w:val="003C1EF2"/>
    <w:rsid w:val="003C236D"/>
    <w:rsid w:val="003C6189"/>
    <w:rsid w:val="003D5670"/>
    <w:rsid w:val="003D6375"/>
    <w:rsid w:val="003E088C"/>
    <w:rsid w:val="003E0FBE"/>
    <w:rsid w:val="003E3B26"/>
    <w:rsid w:val="003E46F5"/>
    <w:rsid w:val="003E47EE"/>
    <w:rsid w:val="003F07CD"/>
    <w:rsid w:val="003F3E0A"/>
    <w:rsid w:val="00401CDF"/>
    <w:rsid w:val="00402B09"/>
    <w:rsid w:val="00403FF6"/>
    <w:rsid w:val="00405DF6"/>
    <w:rsid w:val="00421676"/>
    <w:rsid w:val="004239C6"/>
    <w:rsid w:val="00423CC5"/>
    <w:rsid w:val="00425EC1"/>
    <w:rsid w:val="0043332D"/>
    <w:rsid w:val="00440CAF"/>
    <w:rsid w:val="004419C9"/>
    <w:rsid w:val="00447994"/>
    <w:rsid w:val="004551DB"/>
    <w:rsid w:val="00462E70"/>
    <w:rsid w:val="00463257"/>
    <w:rsid w:val="00463E5D"/>
    <w:rsid w:val="004648FD"/>
    <w:rsid w:val="004673B2"/>
    <w:rsid w:val="00470B6A"/>
    <w:rsid w:val="00481608"/>
    <w:rsid w:val="004900FD"/>
    <w:rsid w:val="0049232C"/>
    <w:rsid w:val="004931E9"/>
    <w:rsid w:val="004A63EE"/>
    <w:rsid w:val="004B092F"/>
    <w:rsid w:val="004B3DE8"/>
    <w:rsid w:val="004D300A"/>
    <w:rsid w:val="004E3633"/>
    <w:rsid w:val="004F6D30"/>
    <w:rsid w:val="00501F41"/>
    <w:rsid w:val="005022B9"/>
    <w:rsid w:val="005049BB"/>
    <w:rsid w:val="00507FA5"/>
    <w:rsid w:val="00510DB4"/>
    <w:rsid w:val="00513934"/>
    <w:rsid w:val="0051668E"/>
    <w:rsid w:val="00522232"/>
    <w:rsid w:val="005245E6"/>
    <w:rsid w:val="0052499A"/>
    <w:rsid w:val="00535B61"/>
    <w:rsid w:val="00553206"/>
    <w:rsid w:val="005570A6"/>
    <w:rsid w:val="00565446"/>
    <w:rsid w:val="0056743D"/>
    <w:rsid w:val="005778F7"/>
    <w:rsid w:val="0058408E"/>
    <w:rsid w:val="00584ED9"/>
    <w:rsid w:val="00586543"/>
    <w:rsid w:val="00587D38"/>
    <w:rsid w:val="005902D9"/>
    <w:rsid w:val="00593032"/>
    <w:rsid w:val="005A028F"/>
    <w:rsid w:val="005A22DF"/>
    <w:rsid w:val="005A44B7"/>
    <w:rsid w:val="005A6EFC"/>
    <w:rsid w:val="005A78C2"/>
    <w:rsid w:val="005B116D"/>
    <w:rsid w:val="005C43B0"/>
    <w:rsid w:val="005C4F9F"/>
    <w:rsid w:val="005D0F2D"/>
    <w:rsid w:val="005D1726"/>
    <w:rsid w:val="005D7283"/>
    <w:rsid w:val="005E1BF3"/>
    <w:rsid w:val="005E582F"/>
    <w:rsid w:val="005F41CC"/>
    <w:rsid w:val="005F5735"/>
    <w:rsid w:val="005F5964"/>
    <w:rsid w:val="005F59B5"/>
    <w:rsid w:val="005F62A8"/>
    <w:rsid w:val="005F65BC"/>
    <w:rsid w:val="005F7A47"/>
    <w:rsid w:val="0060265D"/>
    <w:rsid w:val="00604880"/>
    <w:rsid w:val="006165A5"/>
    <w:rsid w:val="00626D42"/>
    <w:rsid w:val="0063085B"/>
    <w:rsid w:val="00637A21"/>
    <w:rsid w:val="006447AD"/>
    <w:rsid w:val="00656E84"/>
    <w:rsid w:val="00662A93"/>
    <w:rsid w:val="00662ECD"/>
    <w:rsid w:val="00667B97"/>
    <w:rsid w:val="00671C3D"/>
    <w:rsid w:val="00683DCA"/>
    <w:rsid w:val="006848D3"/>
    <w:rsid w:val="00686378"/>
    <w:rsid w:val="006874E8"/>
    <w:rsid w:val="00687BB2"/>
    <w:rsid w:val="00695414"/>
    <w:rsid w:val="006A5B96"/>
    <w:rsid w:val="006A66D4"/>
    <w:rsid w:val="006A70E0"/>
    <w:rsid w:val="006D395C"/>
    <w:rsid w:val="006D6979"/>
    <w:rsid w:val="006E6DD0"/>
    <w:rsid w:val="006F324F"/>
    <w:rsid w:val="006F5854"/>
    <w:rsid w:val="00703125"/>
    <w:rsid w:val="00704600"/>
    <w:rsid w:val="00716C00"/>
    <w:rsid w:val="00716D3E"/>
    <w:rsid w:val="00716ECA"/>
    <w:rsid w:val="007238A7"/>
    <w:rsid w:val="00732AFA"/>
    <w:rsid w:val="00733D91"/>
    <w:rsid w:val="00740DE5"/>
    <w:rsid w:val="007438DB"/>
    <w:rsid w:val="00746FE1"/>
    <w:rsid w:val="00754B84"/>
    <w:rsid w:val="007577AE"/>
    <w:rsid w:val="007616A1"/>
    <w:rsid w:val="0076437F"/>
    <w:rsid w:val="00767368"/>
    <w:rsid w:val="00771CB0"/>
    <w:rsid w:val="00771F05"/>
    <w:rsid w:val="0077573E"/>
    <w:rsid w:val="00780CFA"/>
    <w:rsid w:val="007827E9"/>
    <w:rsid w:val="00784DCB"/>
    <w:rsid w:val="00785925"/>
    <w:rsid w:val="0079205D"/>
    <w:rsid w:val="007A05A7"/>
    <w:rsid w:val="007A4159"/>
    <w:rsid w:val="007A6717"/>
    <w:rsid w:val="007A78AB"/>
    <w:rsid w:val="007B243B"/>
    <w:rsid w:val="007C08F3"/>
    <w:rsid w:val="007C1589"/>
    <w:rsid w:val="007E576D"/>
    <w:rsid w:val="007E7BC7"/>
    <w:rsid w:val="007F2179"/>
    <w:rsid w:val="007F4A16"/>
    <w:rsid w:val="007F51AD"/>
    <w:rsid w:val="007F6B0C"/>
    <w:rsid w:val="00803C74"/>
    <w:rsid w:val="00804305"/>
    <w:rsid w:val="00811BE5"/>
    <w:rsid w:val="0082743C"/>
    <w:rsid w:val="0083221C"/>
    <w:rsid w:val="008327F7"/>
    <w:rsid w:val="00834230"/>
    <w:rsid w:val="00836812"/>
    <w:rsid w:val="00840034"/>
    <w:rsid w:val="00842F25"/>
    <w:rsid w:val="00843A02"/>
    <w:rsid w:val="0084631E"/>
    <w:rsid w:val="008548A6"/>
    <w:rsid w:val="008575CE"/>
    <w:rsid w:val="0086737E"/>
    <w:rsid w:val="008738FB"/>
    <w:rsid w:val="00881161"/>
    <w:rsid w:val="00894B01"/>
    <w:rsid w:val="008A529A"/>
    <w:rsid w:val="008A6CA3"/>
    <w:rsid w:val="008C4A5F"/>
    <w:rsid w:val="008D0954"/>
    <w:rsid w:val="008D1286"/>
    <w:rsid w:val="008D3089"/>
    <w:rsid w:val="008D3B66"/>
    <w:rsid w:val="008D7EF1"/>
    <w:rsid w:val="008E2964"/>
    <w:rsid w:val="008F3272"/>
    <w:rsid w:val="008F5687"/>
    <w:rsid w:val="008F6B0A"/>
    <w:rsid w:val="009009C3"/>
    <w:rsid w:val="0090126A"/>
    <w:rsid w:val="009059D2"/>
    <w:rsid w:val="00914E2B"/>
    <w:rsid w:val="00926D2C"/>
    <w:rsid w:val="00931A07"/>
    <w:rsid w:val="00932794"/>
    <w:rsid w:val="00934ACC"/>
    <w:rsid w:val="00937AA2"/>
    <w:rsid w:val="009400BA"/>
    <w:rsid w:val="00944EE2"/>
    <w:rsid w:val="0095513F"/>
    <w:rsid w:val="00956FB1"/>
    <w:rsid w:val="00960648"/>
    <w:rsid w:val="00962F4A"/>
    <w:rsid w:val="00966987"/>
    <w:rsid w:val="00966FB8"/>
    <w:rsid w:val="00973F06"/>
    <w:rsid w:val="0097787A"/>
    <w:rsid w:val="009800C4"/>
    <w:rsid w:val="00980F9E"/>
    <w:rsid w:val="00985755"/>
    <w:rsid w:val="00985EE6"/>
    <w:rsid w:val="00991D6F"/>
    <w:rsid w:val="009972EC"/>
    <w:rsid w:val="00997EDF"/>
    <w:rsid w:val="009A43CE"/>
    <w:rsid w:val="009A5519"/>
    <w:rsid w:val="009B042A"/>
    <w:rsid w:val="009B3B5A"/>
    <w:rsid w:val="009B7B30"/>
    <w:rsid w:val="009C42A8"/>
    <w:rsid w:val="009C4C3B"/>
    <w:rsid w:val="009C7FF1"/>
    <w:rsid w:val="009D0B10"/>
    <w:rsid w:val="009D1C41"/>
    <w:rsid w:val="009E0DC1"/>
    <w:rsid w:val="009F18AE"/>
    <w:rsid w:val="009F2C75"/>
    <w:rsid w:val="00A153B9"/>
    <w:rsid w:val="00A24CF1"/>
    <w:rsid w:val="00A35387"/>
    <w:rsid w:val="00A3662E"/>
    <w:rsid w:val="00A41A3B"/>
    <w:rsid w:val="00A457E8"/>
    <w:rsid w:val="00A45CCD"/>
    <w:rsid w:val="00A51024"/>
    <w:rsid w:val="00A53A85"/>
    <w:rsid w:val="00A56918"/>
    <w:rsid w:val="00A57663"/>
    <w:rsid w:val="00A64981"/>
    <w:rsid w:val="00A72A98"/>
    <w:rsid w:val="00A8178F"/>
    <w:rsid w:val="00A81AB2"/>
    <w:rsid w:val="00A84BBF"/>
    <w:rsid w:val="00A9270F"/>
    <w:rsid w:val="00AA0A2F"/>
    <w:rsid w:val="00AA1C50"/>
    <w:rsid w:val="00AA4809"/>
    <w:rsid w:val="00AA5F6E"/>
    <w:rsid w:val="00AB0BEE"/>
    <w:rsid w:val="00AC4B00"/>
    <w:rsid w:val="00AD31E6"/>
    <w:rsid w:val="00AD65E6"/>
    <w:rsid w:val="00AE2407"/>
    <w:rsid w:val="00AE3FE5"/>
    <w:rsid w:val="00AE7DEA"/>
    <w:rsid w:val="00AF06D9"/>
    <w:rsid w:val="00AF1582"/>
    <w:rsid w:val="00AF236D"/>
    <w:rsid w:val="00AF65AB"/>
    <w:rsid w:val="00AF6E8C"/>
    <w:rsid w:val="00B11D95"/>
    <w:rsid w:val="00B11F1F"/>
    <w:rsid w:val="00B22E69"/>
    <w:rsid w:val="00B27F7B"/>
    <w:rsid w:val="00B31CE7"/>
    <w:rsid w:val="00B400EE"/>
    <w:rsid w:val="00B42744"/>
    <w:rsid w:val="00B62A29"/>
    <w:rsid w:val="00B62B07"/>
    <w:rsid w:val="00B800A3"/>
    <w:rsid w:val="00B85E98"/>
    <w:rsid w:val="00BA4679"/>
    <w:rsid w:val="00BA52FC"/>
    <w:rsid w:val="00BA7D22"/>
    <w:rsid w:val="00BB311D"/>
    <w:rsid w:val="00BB3763"/>
    <w:rsid w:val="00BC22DC"/>
    <w:rsid w:val="00BD0D4D"/>
    <w:rsid w:val="00BD6672"/>
    <w:rsid w:val="00BE1F55"/>
    <w:rsid w:val="00BE2E01"/>
    <w:rsid w:val="00BF0E8D"/>
    <w:rsid w:val="00BF41BD"/>
    <w:rsid w:val="00C13664"/>
    <w:rsid w:val="00C21566"/>
    <w:rsid w:val="00C2284A"/>
    <w:rsid w:val="00C23D14"/>
    <w:rsid w:val="00C24AC4"/>
    <w:rsid w:val="00C31AC7"/>
    <w:rsid w:val="00C378F8"/>
    <w:rsid w:val="00C443AC"/>
    <w:rsid w:val="00C523D5"/>
    <w:rsid w:val="00C54D54"/>
    <w:rsid w:val="00C5530F"/>
    <w:rsid w:val="00C66E83"/>
    <w:rsid w:val="00C73633"/>
    <w:rsid w:val="00C74D66"/>
    <w:rsid w:val="00C75404"/>
    <w:rsid w:val="00C902AC"/>
    <w:rsid w:val="00C918E3"/>
    <w:rsid w:val="00CA0A7A"/>
    <w:rsid w:val="00CA20CB"/>
    <w:rsid w:val="00CA78AB"/>
    <w:rsid w:val="00CB0187"/>
    <w:rsid w:val="00CB35B8"/>
    <w:rsid w:val="00CB559F"/>
    <w:rsid w:val="00CC18A1"/>
    <w:rsid w:val="00CC2171"/>
    <w:rsid w:val="00CC367A"/>
    <w:rsid w:val="00CC4EF0"/>
    <w:rsid w:val="00CD3BD9"/>
    <w:rsid w:val="00CD5D22"/>
    <w:rsid w:val="00CF43D0"/>
    <w:rsid w:val="00CF6323"/>
    <w:rsid w:val="00CF7AE3"/>
    <w:rsid w:val="00D02919"/>
    <w:rsid w:val="00D07390"/>
    <w:rsid w:val="00D1410C"/>
    <w:rsid w:val="00D21BEB"/>
    <w:rsid w:val="00D26119"/>
    <w:rsid w:val="00D32BE4"/>
    <w:rsid w:val="00D4242A"/>
    <w:rsid w:val="00D62DEF"/>
    <w:rsid w:val="00D650D1"/>
    <w:rsid w:val="00D65DEF"/>
    <w:rsid w:val="00D71E03"/>
    <w:rsid w:val="00D85D9A"/>
    <w:rsid w:val="00D877FF"/>
    <w:rsid w:val="00D91FB8"/>
    <w:rsid w:val="00D9677D"/>
    <w:rsid w:val="00D977B7"/>
    <w:rsid w:val="00DA3CF0"/>
    <w:rsid w:val="00DB008E"/>
    <w:rsid w:val="00DB01EA"/>
    <w:rsid w:val="00DB385B"/>
    <w:rsid w:val="00DB66D4"/>
    <w:rsid w:val="00DB784C"/>
    <w:rsid w:val="00DC561A"/>
    <w:rsid w:val="00DC5631"/>
    <w:rsid w:val="00DD083C"/>
    <w:rsid w:val="00DD34CF"/>
    <w:rsid w:val="00DD3C90"/>
    <w:rsid w:val="00DD7FBF"/>
    <w:rsid w:val="00DE0492"/>
    <w:rsid w:val="00DE1F09"/>
    <w:rsid w:val="00DE3861"/>
    <w:rsid w:val="00DE5516"/>
    <w:rsid w:val="00DE671B"/>
    <w:rsid w:val="00DF41E4"/>
    <w:rsid w:val="00E01DB4"/>
    <w:rsid w:val="00E1197B"/>
    <w:rsid w:val="00E12853"/>
    <w:rsid w:val="00E17ECD"/>
    <w:rsid w:val="00E27CAA"/>
    <w:rsid w:val="00E3140C"/>
    <w:rsid w:val="00E31CBB"/>
    <w:rsid w:val="00E36793"/>
    <w:rsid w:val="00E3696A"/>
    <w:rsid w:val="00E37278"/>
    <w:rsid w:val="00E37A29"/>
    <w:rsid w:val="00E61778"/>
    <w:rsid w:val="00E66620"/>
    <w:rsid w:val="00E70723"/>
    <w:rsid w:val="00E76F9E"/>
    <w:rsid w:val="00E818D0"/>
    <w:rsid w:val="00E87883"/>
    <w:rsid w:val="00E87C72"/>
    <w:rsid w:val="00E91DB7"/>
    <w:rsid w:val="00E956C8"/>
    <w:rsid w:val="00EA6CA5"/>
    <w:rsid w:val="00EC1D6E"/>
    <w:rsid w:val="00EC3F04"/>
    <w:rsid w:val="00EC5D46"/>
    <w:rsid w:val="00ED0DE6"/>
    <w:rsid w:val="00ED77C1"/>
    <w:rsid w:val="00EF6956"/>
    <w:rsid w:val="00F018B2"/>
    <w:rsid w:val="00F02379"/>
    <w:rsid w:val="00F02FD5"/>
    <w:rsid w:val="00F10222"/>
    <w:rsid w:val="00F1192F"/>
    <w:rsid w:val="00F13DD7"/>
    <w:rsid w:val="00F15FC7"/>
    <w:rsid w:val="00F205C5"/>
    <w:rsid w:val="00F21ADD"/>
    <w:rsid w:val="00F26848"/>
    <w:rsid w:val="00F306D8"/>
    <w:rsid w:val="00F30773"/>
    <w:rsid w:val="00F30F87"/>
    <w:rsid w:val="00F3140E"/>
    <w:rsid w:val="00F3441F"/>
    <w:rsid w:val="00F41584"/>
    <w:rsid w:val="00F51202"/>
    <w:rsid w:val="00F518D7"/>
    <w:rsid w:val="00F530B3"/>
    <w:rsid w:val="00F5647B"/>
    <w:rsid w:val="00F62777"/>
    <w:rsid w:val="00F639B6"/>
    <w:rsid w:val="00F72923"/>
    <w:rsid w:val="00F7466A"/>
    <w:rsid w:val="00F75A2C"/>
    <w:rsid w:val="00F8030A"/>
    <w:rsid w:val="00F81D28"/>
    <w:rsid w:val="00F84CD0"/>
    <w:rsid w:val="00F861E6"/>
    <w:rsid w:val="00F8643C"/>
    <w:rsid w:val="00F91ECF"/>
    <w:rsid w:val="00FA055C"/>
    <w:rsid w:val="00FA17E5"/>
    <w:rsid w:val="00FA32EC"/>
    <w:rsid w:val="00FA7AE0"/>
    <w:rsid w:val="00FB1572"/>
    <w:rsid w:val="00FB240E"/>
    <w:rsid w:val="00FB54B8"/>
    <w:rsid w:val="00FC76D2"/>
    <w:rsid w:val="00FD37FA"/>
    <w:rsid w:val="00FE0D35"/>
    <w:rsid w:val="00FF5110"/>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D97B8"/>
  <w15:docId w15:val="{BD561C1E-BE4B-46C6-902A-0E560901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BA52FC"/>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unhideWhenUsed/>
    <w:rsid w:val="009B3B5A"/>
    <w:rPr>
      <w:sz w:val="16"/>
      <w:szCs w:val="16"/>
    </w:rPr>
  </w:style>
  <w:style w:type="paragraph" w:styleId="CommentText">
    <w:name w:val="annotation text"/>
    <w:basedOn w:val="Normal"/>
    <w:link w:val="CommentTextChar"/>
    <w:uiPriority w:val="99"/>
    <w:unhideWhenUsed/>
    <w:rsid w:val="009B3B5A"/>
    <w:rPr>
      <w:sz w:val="20"/>
      <w:szCs w:val="20"/>
    </w:rPr>
  </w:style>
  <w:style w:type="character" w:customStyle="1" w:styleId="CommentTextChar">
    <w:name w:val="Comment Text Char"/>
    <w:basedOn w:val="DefaultParagraphFont"/>
    <w:link w:val="CommentText"/>
    <w:uiPriority w:val="99"/>
    <w:rsid w:val="009B3B5A"/>
    <w:rPr>
      <w:rFonts w:ascii="Times New Roman" w:hAnsi="Times New Roman"/>
      <w:sz w:val="20"/>
      <w:szCs w:val="20"/>
    </w:rPr>
  </w:style>
  <w:style w:type="paragraph" w:styleId="FootnoteText">
    <w:name w:val="footnote text"/>
    <w:basedOn w:val="Normal"/>
    <w:link w:val="FootnoteTextChar"/>
    <w:uiPriority w:val="99"/>
    <w:unhideWhenUsed/>
    <w:rsid w:val="009B3B5A"/>
    <w:rPr>
      <w:rFonts w:eastAsia="Times New Roman" w:cs="Times New Roman"/>
      <w:sz w:val="20"/>
      <w:szCs w:val="20"/>
      <w:lang w:val="en-GB" w:eastAsia="en-US"/>
    </w:rPr>
  </w:style>
  <w:style w:type="character" w:customStyle="1" w:styleId="FootnoteTextChar">
    <w:name w:val="Footnote Text Char"/>
    <w:basedOn w:val="DefaultParagraphFont"/>
    <w:link w:val="FootnoteText"/>
    <w:uiPriority w:val="99"/>
    <w:rsid w:val="009B3B5A"/>
    <w:rPr>
      <w:rFonts w:ascii="Times New Roman" w:eastAsia="Times New Roman" w:hAnsi="Times New Roman" w:cs="Times New Roman"/>
      <w:sz w:val="20"/>
      <w:szCs w:val="20"/>
      <w:lang w:val="en-GB" w:eastAsia="en-US"/>
    </w:rPr>
  </w:style>
  <w:style w:type="character" w:styleId="FootnoteReference">
    <w:name w:val="footnote reference"/>
    <w:uiPriority w:val="99"/>
    <w:semiHidden/>
    <w:unhideWhenUsed/>
    <w:rsid w:val="009B3B5A"/>
    <w:rPr>
      <w:vertAlign w:val="superscript"/>
    </w:rPr>
  </w:style>
  <w:style w:type="paragraph" w:customStyle="1" w:styleId="Teksts2">
    <w:name w:val="Teksts2"/>
    <w:basedOn w:val="Normal"/>
    <w:rsid w:val="009B3B5A"/>
    <w:pPr>
      <w:jc w:val="both"/>
    </w:pPr>
    <w:rPr>
      <w:rFonts w:eastAsia="Times New Roman" w:cs="Times New Roman"/>
      <w:szCs w:val="20"/>
      <w:lang w:eastAsia="en-US"/>
    </w:rPr>
  </w:style>
  <w:style w:type="paragraph" w:styleId="Revision">
    <w:name w:val="Revision"/>
    <w:hidden/>
    <w:uiPriority w:val="99"/>
    <w:semiHidden/>
    <w:rsid w:val="0011252B"/>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AE2407"/>
    <w:rPr>
      <w:b/>
      <w:bCs/>
    </w:rPr>
  </w:style>
  <w:style w:type="character" w:customStyle="1" w:styleId="CommentSubjectChar">
    <w:name w:val="Comment Subject Char"/>
    <w:basedOn w:val="CommentTextChar"/>
    <w:link w:val="CommentSubject"/>
    <w:uiPriority w:val="99"/>
    <w:semiHidden/>
    <w:rsid w:val="00AE2407"/>
    <w:rPr>
      <w:rFonts w:ascii="Times New Roman" w:hAnsi="Times New Roman"/>
      <w:b/>
      <w:bCs/>
      <w:sz w:val="20"/>
      <w:szCs w:val="20"/>
    </w:rPr>
  </w:style>
  <w:style w:type="character" w:styleId="Hyperlink">
    <w:name w:val="Hyperlink"/>
    <w:basedOn w:val="DefaultParagraphFont"/>
    <w:uiPriority w:val="99"/>
    <w:unhideWhenUsed/>
    <w:rsid w:val="00686378"/>
    <w:rPr>
      <w:color w:val="0000FF" w:themeColor="hyperlink"/>
      <w:u w:val="single"/>
    </w:rPr>
  </w:style>
  <w:style w:type="character" w:styleId="UnresolvedMention">
    <w:name w:val="Unresolved Mention"/>
    <w:basedOn w:val="DefaultParagraphFont"/>
    <w:uiPriority w:val="99"/>
    <w:semiHidden/>
    <w:unhideWhenUsed/>
    <w:rsid w:val="00686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165937148854CB78E9A4979A413A505"/>
        <w:category>
          <w:name w:val="General"/>
          <w:gallery w:val="placeholder"/>
        </w:category>
        <w:types>
          <w:type w:val="bbPlcHdr"/>
        </w:types>
        <w:behaviors>
          <w:behavior w:val="content"/>
        </w:behaviors>
        <w:guid w:val="{4C9F7F6A-B657-48C3-86AF-DFFBB1CDC09A}"/>
      </w:docPartPr>
      <w:docPartBody>
        <w:p w:rsidR="002B1D46" w:rsidRDefault="00F14298" w:rsidP="00F14298">
          <w:pPr>
            <w:pStyle w:val="F165937148854CB78E9A4979A413A505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1ECFD4F89AA41CFA024256ECAD27BE9"/>
        <w:category>
          <w:name w:val="General"/>
          <w:gallery w:val="placeholder"/>
        </w:category>
        <w:types>
          <w:type w:val="bbPlcHdr"/>
        </w:types>
        <w:behaviors>
          <w:behavior w:val="content"/>
        </w:behaviors>
        <w:guid w:val="{B1768A03-6CD7-4593-BEC6-E21B38962E3D}"/>
      </w:docPartPr>
      <w:docPartBody>
        <w:p w:rsidR="002B1D46" w:rsidRDefault="00F14298" w:rsidP="00F14298">
          <w:pPr>
            <w:pStyle w:val="61ECFD4F89AA41CFA024256ECAD27BE91"/>
          </w:pPr>
          <w:r w:rsidRPr="00811BE5">
            <w:rPr>
              <w:color w:val="808080" w:themeColor="background1" w:themeShade="80"/>
            </w:rPr>
            <w:t>[Datums]</w:t>
          </w:r>
        </w:p>
      </w:docPartBody>
    </w:docPart>
    <w:docPart>
      <w:docPartPr>
        <w:name w:val="B93859E3119746628CD91D529920C16A"/>
        <w:category>
          <w:name w:val="General"/>
          <w:gallery w:val="placeholder"/>
        </w:category>
        <w:types>
          <w:type w:val="bbPlcHdr"/>
        </w:types>
        <w:behaviors>
          <w:behavior w:val="content"/>
        </w:behaviors>
        <w:guid w:val="{4EA748EF-73BC-4A15-B01A-ABDDE839A77F}"/>
      </w:docPartPr>
      <w:docPartBody>
        <w:p w:rsidR="002B1D46" w:rsidRDefault="00F14298">
          <w:pPr>
            <w:pStyle w:val="B93859E3119746628CD91D529920C16A"/>
          </w:pPr>
          <w:r>
            <w:t xml:space="preserve">Noteikumi </w:t>
          </w:r>
        </w:p>
      </w:docPartBody>
    </w:docPart>
    <w:docPart>
      <w:docPartPr>
        <w:name w:val="610F9D24BE2645EFA676F5551656734B"/>
        <w:category>
          <w:name w:val="General"/>
          <w:gallery w:val="placeholder"/>
        </w:category>
        <w:types>
          <w:type w:val="bbPlcHdr"/>
        </w:types>
        <w:behaviors>
          <w:behavior w:val="content"/>
        </w:behaviors>
        <w:guid w:val="{7E96F2D1-9624-4816-825C-0A53C11EC7E0}"/>
      </w:docPartPr>
      <w:docPartBody>
        <w:p w:rsidR="002B1D46" w:rsidRDefault="00F14298">
          <w:pPr>
            <w:pStyle w:val="610F9D24BE2645EFA676F5551656734B"/>
          </w:pPr>
          <w:r>
            <w:t xml:space="preserve">Nr. </w:t>
          </w:r>
        </w:p>
      </w:docPartBody>
    </w:docPart>
    <w:docPart>
      <w:docPartPr>
        <w:name w:val="CB4650B500604778A4E5622F27D62908"/>
        <w:category>
          <w:name w:val="General"/>
          <w:gallery w:val="placeholder"/>
        </w:category>
        <w:types>
          <w:type w:val="bbPlcHdr"/>
        </w:types>
        <w:behaviors>
          <w:behavior w:val="content"/>
        </w:behaviors>
        <w:guid w:val="{5FC3DD68-515E-4B57-B196-4AF47AC3BDB9}"/>
      </w:docPartPr>
      <w:docPartBody>
        <w:p w:rsidR="002B1D46" w:rsidRDefault="00F14298">
          <w:pPr>
            <w:pStyle w:val="CB4650B500604778A4E5622F27D62908"/>
          </w:pPr>
          <w:r>
            <w:t>_____</w:t>
          </w:r>
        </w:p>
      </w:docPartBody>
    </w:docPart>
    <w:docPart>
      <w:docPartPr>
        <w:name w:val="07E3980D042B415597A60B4A0CC2BA65"/>
        <w:category>
          <w:name w:val="General"/>
          <w:gallery w:val="placeholder"/>
        </w:category>
        <w:types>
          <w:type w:val="bbPlcHdr"/>
        </w:types>
        <w:behaviors>
          <w:behavior w:val="content"/>
        </w:behaviors>
        <w:guid w:val="{FF21BAB6-A5B8-4544-B510-63479BC31B77}"/>
      </w:docPartPr>
      <w:docPartBody>
        <w:p w:rsidR="002B1D46" w:rsidRDefault="00F14298" w:rsidP="00F14298">
          <w:pPr>
            <w:pStyle w:val="07E3980D042B415597A60B4A0CC2BA651"/>
          </w:pPr>
          <w:r>
            <w:rPr>
              <w:rFonts w:cs="Times New Roman"/>
              <w:szCs w:val="24"/>
            </w:rPr>
            <w:t>Rīgā</w:t>
          </w:r>
        </w:p>
      </w:docPartBody>
    </w:docPart>
    <w:docPart>
      <w:docPartPr>
        <w:name w:val="7CB6786DDDCF439083AB927F4471A19E"/>
        <w:category>
          <w:name w:val="General"/>
          <w:gallery w:val="placeholder"/>
        </w:category>
        <w:types>
          <w:type w:val="bbPlcHdr"/>
        </w:types>
        <w:behaviors>
          <w:behavior w:val="content"/>
        </w:behaviors>
        <w:guid w:val="{5DB552A4-D702-456B-A862-C1FBB698E524}"/>
      </w:docPartPr>
      <w:docPartBody>
        <w:p w:rsidR="002B1D46" w:rsidRDefault="002B1D46">
          <w:pPr>
            <w:pStyle w:val="7CB6786DDDCF439083AB927F4471A19E"/>
          </w:pPr>
          <w:r w:rsidRPr="00F5647B">
            <w:rPr>
              <w:rStyle w:val="PlaceholderText"/>
              <w:b/>
            </w:rPr>
            <w:t>[Nosaukums]</w:t>
          </w:r>
        </w:p>
      </w:docPartBody>
    </w:docPart>
    <w:docPart>
      <w:docPartPr>
        <w:name w:val="52B2FA8A6F2E4A8B9AD2D820D9228EB4"/>
        <w:category>
          <w:name w:val="General"/>
          <w:gallery w:val="placeholder"/>
        </w:category>
        <w:types>
          <w:type w:val="bbPlcHdr"/>
        </w:types>
        <w:behaviors>
          <w:behavior w:val="content"/>
        </w:behaviors>
        <w:guid w:val="{B4083951-F8C0-44CB-AD59-00EE4E9D230F}"/>
      </w:docPartPr>
      <w:docPartBody>
        <w:p w:rsidR="002B1D46" w:rsidRDefault="00F14298" w:rsidP="00F14298">
          <w:pPr>
            <w:pStyle w:val="52B2FA8A6F2E4A8B9AD2D820D9228EB41"/>
          </w:pPr>
          <w:r>
            <w:rPr>
              <w:rFonts w:cs="Times New Roman"/>
              <w:szCs w:val="24"/>
            </w:rPr>
            <w:t xml:space="preserve">Izdoti </w:t>
          </w:r>
        </w:p>
      </w:docPartBody>
    </w:docPart>
    <w:docPart>
      <w:docPartPr>
        <w:name w:val="6418E174662448B09770F29E0A204BA2"/>
        <w:category>
          <w:name w:val="General"/>
          <w:gallery w:val="placeholder"/>
        </w:category>
        <w:types>
          <w:type w:val="bbPlcHdr"/>
        </w:types>
        <w:behaviors>
          <w:behavior w:val="content"/>
        </w:behaviors>
        <w:guid w:val="{1EF899F8-60DB-479F-9C39-2A142B7B5EF6}"/>
      </w:docPartPr>
      <w:docPartBody>
        <w:p w:rsidR="002B1D46" w:rsidRDefault="00F14298" w:rsidP="00F14298">
          <w:pPr>
            <w:pStyle w:val="6418E174662448B09770F29E0A204BA21"/>
          </w:pPr>
          <w:r>
            <w:rPr>
              <w:rFonts w:cs="Times New Roman"/>
              <w:szCs w:val="24"/>
            </w:rPr>
            <w:t>saskaņā ar</w:t>
          </w:r>
        </w:p>
      </w:docPartBody>
    </w:docPart>
    <w:docPart>
      <w:docPartPr>
        <w:name w:val="049CEC76491743D182650C978FA35F6A"/>
        <w:category>
          <w:name w:val="General"/>
          <w:gallery w:val="placeholder"/>
        </w:category>
        <w:types>
          <w:type w:val="bbPlcHdr"/>
        </w:types>
        <w:behaviors>
          <w:behavior w:val="content"/>
        </w:behaviors>
        <w:guid w:val="{04F996A2-BB45-4B5E-831C-B55133A0DF50}"/>
      </w:docPartPr>
      <w:docPartBody>
        <w:p w:rsidR="002B1D46" w:rsidRDefault="002B1D46">
          <w:pPr>
            <w:pStyle w:val="049CEC76491743D182650C978FA35F6A"/>
          </w:pPr>
          <w:r w:rsidRPr="00301089">
            <w:rPr>
              <w:rStyle w:val="PlaceholderText"/>
            </w:rPr>
            <w:t>[likuma]</w:t>
          </w:r>
        </w:p>
      </w:docPartBody>
    </w:docPart>
    <w:docPart>
      <w:docPartPr>
        <w:name w:val="70DEE2A30CFE42E18DB2A52AB1808CDD"/>
        <w:category>
          <w:name w:val="General"/>
          <w:gallery w:val="placeholder"/>
        </w:category>
        <w:types>
          <w:type w:val="bbPlcHdr"/>
        </w:types>
        <w:behaviors>
          <w:behavior w:val="content"/>
        </w:behaviors>
        <w:guid w:val="{2A139FF9-1B2C-4FAF-8F2D-DC160EED0B4C}"/>
      </w:docPartPr>
      <w:docPartBody>
        <w:p w:rsidR="002B1D46" w:rsidRDefault="002B1D46">
          <w:pPr>
            <w:pStyle w:val="70DEE2A30CFE42E18DB2A52AB1808CDD"/>
          </w:pPr>
          <w:r w:rsidRPr="007F4A16">
            <w:rPr>
              <w:rStyle w:val="PlaceholderText"/>
              <w:color w:val="808080" w:themeColor="background1" w:themeShade="80"/>
            </w:rPr>
            <w:t>[nr.]</w:t>
          </w:r>
        </w:p>
      </w:docPartBody>
    </w:docPart>
    <w:docPart>
      <w:docPartPr>
        <w:name w:val="F483D6E3B8B44004846E2845BB851233"/>
        <w:category>
          <w:name w:val="General"/>
          <w:gallery w:val="placeholder"/>
        </w:category>
        <w:types>
          <w:type w:val="bbPlcHdr"/>
        </w:types>
        <w:behaviors>
          <w:behavior w:val="content"/>
        </w:behaviors>
        <w:guid w:val="{613865FB-2AD4-4BCE-B8E0-42EA742AA747}"/>
      </w:docPartPr>
      <w:docPartBody>
        <w:p w:rsidR="002B1D46" w:rsidRDefault="002B1D46">
          <w:pPr>
            <w:pStyle w:val="F483D6E3B8B44004846E2845BB851233"/>
          </w:pPr>
          <w:r>
            <w:rPr>
              <w:rFonts w:cs="Times New Roman"/>
            </w:rPr>
            <w:t>. panta</w:t>
          </w:r>
        </w:p>
      </w:docPartBody>
    </w:docPart>
    <w:docPart>
      <w:docPartPr>
        <w:name w:val="22433ED5FBD84964B7F91A82BC86B73B"/>
        <w:category>
          <w:name w:val="General"/>
          <w:gallery w:val="placeholder"/>
        </w:category>
        <w:types>
          <w:type w:val="bbPlcHdr"/>
        </w:types>
        <w:behaviors>
          <w:behavior w:val="content"/>
        </w:behaviors>
        <w:guid w:val="{3EEA00C6-774E-419C-93D7-F1BE2A817022}"/>
      </w:docPartPr>
      <w:docPartBody>
        <w:p w:rsidR="002B1D46" w:rsidRDefault="002B1D46">
          <w:pPr>
            <w:pStyle w:val="22433ED5FBD84964B7F91A82BC86B73B"/>
          </w:pPr>
          <w:r w:rsidRPr="00DB385B">
            <w:rPr>
              <w:rStyle w:val="PlaceholderText"/>
            </w:rPr>
            <w:t>[vārdiem]</w:t>
          </w:r>
        </w:p>
      </w:docPartBody>
    </w:docPart>
    <w:docPart>
      <w:docPartPr>
        <w:name w:val="EA624226B605467D96FC45231B71839A"/>
        <w:category>
          <w:name w:val="General"/>
          <w:gallery w:val="placeholder"/>
        </w:category>
        <w:types>
          <w:type w:val="bbPlcHdr"/>
        </w:types>
        <w:behaviors>
          <w:behavior w:val="content"/>
        </w:behaviors>
        <w:guid w:val="{00270D03-D9AA-4B11-B125-07935CC8A25B}"/>
      </w:docPartPr>
      <w:docPartBody>
        <w:p w:rsidR="002B1D46" w:rsidRDefault="002B1D46">
          <w:pPr>
            <w:pStyle w:val="EA624226B605467D96FC45231B71839A"/>
          </w:pPr>
          <w:r>
            <w:rPr>
              <w:rFonts w:ascii="Times New Roman" w:hAnsi="Times New Roman" w:cs="Times New Roman"/>
            </w:rPr>
            <w:t>{amats}</w:t>
          </w:r>
        </w:p>
      </w:docPartBody>
    </w:docPart>
    <w:docPart>
      <w:docPartPr>
        <w:name w:val="6B529BF1DBCF468181E7B1E0746E50FB"/>
        <w:category>
          <w:name w:val="General"/>
          <w:gallery w:val="placeholder"/>
        </w:category>
        <w:types>
          <w:type w:val="bbPlcHdr"/>
        </w:types>
        <w:behaviors>
          <w:behavior w:val="content"/>
        </w:behaviors>
        <w:guid w:val="{112C7443-CA96-4E3A-AE76-BA75513A2865}"/>
      </w:docPartPr>
      <w:docPartBody>
        <w:p w:rsidR="002B1D46" w:rsidRDefault="002B1D46">
          <w:pPr>
            <w:pStyle w:val="6B529BF1DBCF468181E7B1E0746E50FB"/>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D46"/>
    <w:rsid w:val="002B1D46"/>
    <w:rsid w:val="00F142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3859E3119746628CD91D529920C16A">
    <w:name w:val="B93859E3119746628CD91D529920C16A"/>
  </w:style>
  <w:style w:type="paragraph" w:customStyle="1" w:styleId="610F9D24BE2645EFA676F5551656734B">
    <w:name w:val="610F9D24BE2645EFA676F5551656734B"/>
  </w:style>
  <w:style w:type="paragraph" w:customStyle="1" w:styleId="CB4650B500604778A4E5622F27D62908">
    <w:name w:val="CB4650B500604778A4E5622F27D62908"/>
  </w:style>
  <w:style w:type="character" w:styleId="PlaceholderText">
    <w:name w:val="Placeholder Text"/>
    <w:basedOn w:val="DefaultParagraphFont"/>
    <w:uiPriority w:val="99"/>
    <w:semiHidden/>
    <w:rsid w:val="00F14298"/>
    <w:rPr>
      <w:color w:val="808080"/>
    </w:rPr>
  </w:style>
  <w:style w:type="paragraph" w:customStyle="1" w:styleId="7CB6786DDDCF439083AB927F4471A19E">
    <w:name w:val="7CB6786DDDCF439083AB927F4471A19E"/>
  </w:style>
  <w:style w:type="paragraph" w:customStyle="1" w:styleId="049CEC76491743D182650C978FA35F6A">
    <w:name w:val="049CEC76491743D182650C978FA35F6A"/>
  </w:style>
  <w:style w:type="paragraph" w:customStyle="1" w:styleId="70DEE2A30CFE42E18DB2A52AB1808CDD">
    <w:name w:val="70DEE2A30CFE42E18DB2A52AB1808CDD"/>
  </w:style>
  <w:style w:type="paragraph" w:customStyle="1" w:styleId="F483D6E3B8B44004846E2845BB851233">
    <w:name w:val="F483D6E3B8B44004846E2845BB851233"/>
  </w:style>
  <w:style w:type="paragraph" w:customStyle="1" w:styleId="22433ED5FBD84964B7F91A82BC86B73B">
    <w:name w:val="22433ED5FBD84964B7F91A82BC86B73B"/>
  </w:style>
  <w:style w:type="paragraph" w:customStyle="1" w:styleId="EA624226B605467D96FC45231B71839A">
    <w:name w:val="EA624226B605467D96FC45231B71839A"/>
  </w:style>
  <w:style w:type="paragraph" w:customStyle="1" w:styleId="6B529BF1DBCF468181E7B1E0746E50FB">
    <w:name w:val="6B529BF1DBCF468181E7B1E0746E50FB"/>
  </w:style>
  <w:style w:type="paragraph" w:customStyle="1" w:styleId="F165937148854CB78E9A4979A413A5051">
    <w:name w:val="F165937148854CB78E9A4979A413A5051"/>
    <w:rsid w:val="00F14298"/>
    <w:pPr>
      <w:spacing w:after="0" w:line="240" w:lineRule="auto"/>
    </w:pPr>
    <w:rPr>
      <w:rFonts w:ascii="Times New Roman" w:hAnsi="Times New Roman"/>
      <w:kern w:val="0"/>
      <w:szCs w:val="22"/>
      <w14:ligatures w14:val="none"/>
    </w:rPr>
  </w:style>
  <w:style w:type="paragraph" w:customStyle="1" w:styleId="61ECFD4F89AA41CFA024256ECAD27BE91">
    <w:name w:val="61ECFD4F89AA41CFA024256ECAD27BE91"/>
    <w:rsid w:val="00F14298"/>
    <w:pPr>
      <w:spacing w:after="0" w:line="240" w:lineRule="auto"/>
    </w:pPr>
    <w:rPr>
      <w:rFonts w:ascii="Times New Roman" w:hAnsi="Times New Roman"/>
      <w:kern w:val="0"/>
      <w:szCs w:val="22"/>
      <w14:ligatures w14:val="none"/>
    </w:rPr>
  </w:style>
  <w:style w:type="paragraph" w:customStyle="1" w:styleId="07E3980D042B415597A60B4A0CC2BA651">
    <w:name w:val="07E3980D042B415597A60B4A0CC2BA651"/>
    <w:rsid w:val="00F14298"/>
    <w:pPr>
      <w:spacing w:after="0" w:line="240" w:lineRule="auto"/>
    </w:pPr>
    <w:rPr>
      <w:rFonts w:ascii="Times New Roman" w:hAnsi="Times New Roman"/>
      <w:kern w:val="0"/>
      <w:szCs w:val="22"/>
      <w14:ligatures w14:val="none"/>
    </w:rPr>
  </w:style>
  <w:style w:type="paragraph" w:customStyle="1" w:styleId="52B2FA8A6F2E4A8B9AD2D820D9228EB41">
    <w:name w:val="52B2FA8A6F2E4A8B9AD2D820D9228EB41"/>
    <w:rsid w:val="00F14298"/>
    <w:pPr>
      <w:spacing w:after="0" w:line="240" w:lineRule="auto"/>
    </w:pPr>
    <w:rPr>
      <w:rFonts w:ascii="Times New Roman" w:hAnsi="Times New Roman"/>
      <w:kern w:val="0"/>
      <w:szCs w:val="22"/>
      <w14:ligatures w14:val="none"/>
    </w:rPr>
  </w:style>
  <w:style w:type="paragraph" w:customStyle="1" w:styleId="6418E174662448B09770F29E0A204BA21">
    <w:name w:val="6418E174662448B09770F29E0A204BA21"/>
    <w:rsid w:val="00F14298"/>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TotalTime>
  <Pages>4</Pages>
  <Words>5901</Words>
  <Characters>3364</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Jermoloviča</dc:creator>
  <cp:lastModifiedBy>Ilze Grava</cp:lastModifiedBy>
  <cp:revision>4</cp:revision>
  <cp:lastPrinted>2010-12-20T19:45:00Z</cp:lastPrinted>
  <dcterms:created xsi:type="dcterms:W3CDTF">2024-03-27T09:29:00Z</dcterms:created>
  <dcterms:modified xsi:type="dcterms:W3CDTF">2024-04-29T13:28:00Z</dcterms:modified>
</cp:coreProperties>
</file>