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8B8C3" w14:textId="2C7E19CF" w:rsidR="009B27BE" w:rsidRPr="002864E4" w:rsidRDefault="00CA28AB" w:rsidP="00920831">
      <w:pPr>
        <w:spacing w:after="0" w:line="240" w:lineRule="auto"/>
        <w:jc w:val="center"/>
        <w:rPr>
          <w:rFonts w:ascii="Times New Roman" w:hAnsi="Times New Roman" w:cs="Times New Roman"/>
          <w:b/>
          <w:bCs/>
          <w:sz w:val="24"/>
          <w:szCs w:val="24"/>
        </w:rPr>
      </w:pPr>
      <w:r w:rsidRPr="002864E4">
        <w:rPr>
          <w:rFonts w:ascii="Times New Roman" w:hAnsi="Times New Roman" w:cs="Times New Roman"/>
          <w:b/>
          <w:bCs/>
          <w:sz w:val="24"/>
          <w:szCs w:val="24"/>
        </w:rPr>
        <w:t xml:space="preserve">Latvijas Bankas noteikumu projekta </w:t>
      </w:r>
      <w:r w:rsidR="006E5E1C">
        <w:rPr>
          <w:rFonts w:ascii="Times New Roman" w:hAnsi="Times New Roman" w:cs="Times New Roman"/>
          <w:b/>
          <w:bCs/>
          <w:sz w:val="24"/>
          <w:szCs w:val="24"/>
        </w:rPr>
        <w:t>"</w:t>
      </w:r>
      <w:r w:rsidR="00590032">
        <w:rPr>
          <w:rFonts w:ascii="Times New Roman" w:hAnsi="Times New Roman" w:cs="Times New Roman"/>
          <w:b/>
          <w:bCs/>
          <w:sz w:val="24"/>
          <w:szCs w:val="24"/>
        </w:rPr>
        <w:t>Prasības n</w:t>
      </w:r>
      <w:r w:rsidR="00313F62" w:rsidRPr="002864E4">
        <w:rPr>
          <w:rFonts w:ascii="Times New Roman" w:hAnsi="Times New Roman" w:cs="Times New Roman"/>
          <w:b/>
          <w:bCs/>
          <w:sz w:val="24"/>
          <w:szCs w:val="24"/>
        </w:rPr>
        <w:t>oziedzīgi iegūtu līdzekļu legalizācijas un terorisma un proliferācijas finansēšanas novēršanas</w:t>
      </w:r>
      <w:r w:rsidR="005F2929">
        <w:rPr>
          <w:rFonts w:ascii="Times New Roman" w:hAnsi="Times New Roman" w:cs="Times New Roman"/>
          <w:b/>
          <w:bCs/>
          <w:sz w:val="24"/>
          <w:szCs w:val="24"/>
        </w:rPr>
        <w:t xml:space="preserve"> metodoloģijai </w:t>
      </w:r>
      <w:r w:rsidR="008C5D09">
        <w:rPr>
          <w:rFonts w:ascii="Times New Roman" w:hAnsi="Times New Roman" w:cs="Times New Roman"/>
          <w:b/>
          <w:bCs/>
          <w:sz w:val="24"/>
          <w:szCs w:val="24"/>
        </w:rPr>
        <w:t>un sankciju riska pārvaldīšanas</w:t>
      </w:r>
      <w:r w:rsidR="005F2929">
        <w:rPr>
          <w:rFonts w:ascii="Times New Roman" w:hAnsi="Times New Roman" w:cs="Times New Roman"/>
          <w:b/>
          <w:bCs/>
          <w:sz w:val="24"/>
          <w:szCs w:val="24"/>
        </w:rPr>
        <w:t xml:space="preserve"> iekšējās kontroles sistēmai</w:t>
      </w:r>
      <w:r w:rsidR="008C5D09">
        <w:rPr>
          <w:rFonts w:ascii="Times New Roman" w:hAnsi="Times New Roman" w:cs="Times New Roman"/>
          <w:b/>
          <w:bCs/>
          <w:sz w:val="24"/>
          <w:szCs w:val="24"/>
        </w:rPr>
        <w:t xml:space="preserve"> </w:t>
      </w:r>
      <w:r w:rsidR="00590032" w:rsidRPr="00590032">
        <w:rPr>
          <w:rFonts w:ascii="Times New Roman" w:hAnsi="Times New Roman" w:cs="Times New Roman"/>
          <w:b/>
          <w:bCs/>
          <w:sz w:val="24"/>
          <w:szCs w:val="24"/>
        </w:rPr>
        <w:t xml:space="preserve">kredītiestādes maksātnespējas </w:t>
      </w:r>
      <w:r w:rsidR="005F2929">
        <w:rPr>
          <w:rFonts w:ascii="Times New Roman" w:hAnsi="Times New Roman" w:cs="Times New Roman"/>
          <w:b/>
          <w:bCs/>
          <w:sz w:val="24"/>
          <w:szCs w:val="24"/>
        </w:rPr>
        <w:t>vai</w:t>
      </w:r>
      <w:r w:rsidR="00590032" w:rsidRPr="00590032">
        <w:rPr>
          <w:rFonts w:ascii="Times New Roman" w:hAnsi="Times New Roman" w:cs="Times New Roman"/>
          <w:b/>
          <w:bCs/>
          <w:sz w:val="24"/>
          <w:szCs w:val="24"/>
        </w:rPr>
        <w:t xml:space="preserve"> likvidācijas procesā</w:t>
      </w:r>
      <w:r w:rsidR="006E5E1C">
        <w:rPr>
          <w:rFonts w:ascii="Times New Roman" w:hAnsi="Times New Roman" w:cs="Times New Roman"/>
          <w:b/>
          <w:bCs/>
          <w:sz w:val="24"/>
          <w:szCs w:val="24"/>
        </w:rPr>
        <w:t>"</w:t>
      </w:r>
      <w:r w:rsidR="003B481B" w:rsidRPr="002864E4">
        <w:rPr>
          <w:rFonts w:ascii="Times New Roman" w:hAnsi="Times New Roman" w:cs="Times New Roman"/>
          <w:b/>
          <w:bCs/>
          <w:sz w:val="24"/>
          <w:szCs w:val="24"/>
        </w:rPr>
        <w:t xml:space="preserve"> anotācija</w:t>
      </w:r>
    </w:p>
    <w:p w14:paraId="6CFBDAA7" w14:textId="77777777" w:rsidR="003B481B" w:rsidRPr="002864E4"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2864E4" w14:paraId="5016C45A" w14:textId="77777777" w:rsidTr="00E253DA">
        <w:trPr>
          <w:trHeight w:val="567"/>
        </w:trPr>
        <w:tc>
          <w:tcPr>
            <w:tcW w:w="1796" w:type="pct"/>
            <w:shd w:val="clear" w:color="auto" w:fill="auto"/>
            <w:hideMark/>
          </w:tcPr>
          <w:p w14:paraId="150030EE"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Nosaukums</w:t>
            </w:r>
          </w:p>
          <w:p w14:paraId="4361E278"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bookmarkStart w:id="0" w:name="_Hlk175742142"/>
        <w:tc>
          <w:tcPr>
            <w:tcW w:w="3204" w:type="pct"/>
            <w:shd w:val="clear" w:color="auto" w:fill="auto"/>
          </w:tcPr>
          <w:p w14:paraId="1D39DE6D" w14:textId="24C738F2" w:rsidR="00E53DE9" w:rsidRPr="002864E4" w:rsidRDefault="001843F2" w:rsidP="006E5E1C">
            <w:pPr>
              <w:spacing w:after="120" w:line="240" w:lineRule="auto"/>
              <w:jc w:val="both"/>
              <w:rPr>
                <w:rFonts w:ascii="Times New Roman" w:eastAsia="Times New Roman" w:hAnsi="Times New Roman" w:cs="Times New Roman"/>
                <w:sz w:val="24"/>
                <w:szCs w:val="24"/>
                <w:lang w:eastAsia="lv-LV"/>
              </w:rPr>
            </w:pPr>
            <w:sdt>
              <w:sdtPr>
                <w:rPr>
                  <w:rFonts w:cs="Times New Roman"/>
                  <w:b/>
                  <w:szCs w:val="24"/>
                </w:rPr>
                <w:alias w:val="Nosaukums"/>
                <w:tag w:val="Nosaukums"/>
                <w:id w:val="25447728"/>
                <w:placeholder>
                  <w:docPart w:val="7EC30E1C2E854EC2B6A820590A88A3FE"/>
                </w:placeholder>
              </w:sdtPr>
              <w:sdtEndPr>
                <w:rPr>
                  <w:rFonts w:ascii="Times New Roman" w:hAnsi="Times New Roman"/>
                  <w:b w:val="0"/>
                  <w:bCs/>
                  <w:sz w:val="24"/>
                </w:rPr>
              </w:sdtEndPr>
              <w:sdtContent>
                <w:sdt>
                  <w:sdtPr>
                    <w:rPr>
                      <w:rFonts w:cs="Times New Roman"/>
                      <w:b/>
                      <w:szCs w:val="24"/>
                    </w:rPr>
                    <w:alias w:val="Nosaukums"/>
                    <w:tag w:val="Nosaukums"/>
                    <w:id w:val="-147514323"/>
                    <w:placeholder>
                      <w:docPart w:val="1622B47CBA4A4A17ACC842596F68960B"/>
                    </w:placeholder>
                  </w:sdtPr>
                  <w:sdtEndPr>
                    <w:rPr>
                      <w:rFonts w:ascii="Times New Roman" w:hAnsi="Times New Roman"/>
                      <w:b w:val="0"/>
                      <w:bCs/>
                      <w:sz w:val="24"/>
                    </w:rPr>
                  </w:sdtEndPr>
                  <w:sdtContent>
                    <w:r w:rsidR="005F2929" w:rsidRPr="005F2929">
                      <w:rPr>
                        <w:rFonts w:ascii="Times New Roman" w:hAnsi="Times New Roman" w:cs="Times New Roman"/>
                        <w:bCs/>
                        <w:sz w:val="24"/>
                        <w:szCs w:val="24"/>
                      </w:rPr>
                      <w:t>Prasības noziedzīgi iegūtu līdzekļu legalizācijas un terorisma un proliferācijas finansēšanas novēršanas metodoloģijai un sankciju riska pārvaldīšanas iekšējās kontroles sistēmai kredītiestādes maksātnespējas vai likvidācijas procesā</w:t>
                    </w:r>
                  </w:sdtContent>
                </w:sdt>
                <w:r w:rsidR="002864E4" w:rsidRPr="005F2929">
                  <w:rPr>
                    <w:rFonts w:ascii="Times New Roman" w:hAnsi="Times New Roman" w:cs="Times New Roman"/>
                    <w:bCs/>
                    <w:sz w:val="24"/>
                    <w:szCs w:val="24"/>
                  </w:rPr>
                  <w:t xml:space="preserve"> (turpmāk</w:t>
                </w:r>
                <w:r w:rsidR="006E5E1C" w:rsidRPr="005F2929">
                  <w:rPr>
                    <w:rFonts w:ascii="Times New Roman" w:hAnsi="Times New Roman" w:cs="Times New Roman"/>
                    <w:bCs/>
                    <w:sz w:val="24"/>
                    <w:szCs w:val="24"/>
                  </w:rPr>
                  <w:t> </w:t>
                </w:r>
                <w:r w:rsidR="002864E4" w:rsidRPr="005F2929">
                  <w:rPr>
                    <w:rFonts w:ascii="Times New Roman" w:hAnsi="Times New Roman" w:cs="Times New Roman"/>
                    <w:bCs/>
                    <w:sz w:val="24"/>
                    <w:szCs w:val="24"/>
                  </w:rPr>
                  <w:t>– Noteikumu projekts).</w:t>
                </w:r>
              </w:sdtContent>
            </w:sdt>
            <w:bookmarkEnd w:id="0"/>
          </w:p>
        </w:tc>
      </w:tr>
      <w:tr w:rsidR="000B4E0A" w:rsidRPr="002864E4" w14:paraId="3198CF01" w14:textId="77777777" w:rsidTr="00E253DA">
        <w:trPr>
          <w:trHeight w:val="567"/>
        </w:trPr>
        <w:tc>
          <w:tcPr>
            <w:tcW w:w="1796" w:type="pct"/>
            <w:shd w:val="clear" w:color="auto" w:fill="auto"/>
            <w:hideMark/>
          </w:tcPr>
          <w:p w14:paraId="147798D9"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Dokumenta veids</w:t>
            </w:r>
          </w:p>
          <w:p w14:paraId="4B2F82BD"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8B7788E" w14:textId="585951D2" w:rsidR="00E53DE9" w:rsidRPr="002864E4" w:rsidRDefault="002864E4" w:rsidP="006E5E1C">
            <w:pPr>
              <w:spacing w:after="120" w:line="240" w:lineRule="auto"/>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Latvijas Bankas noteikumi</w:t>
            </w:r>
          </w:p>
        </w:tc>
      </w:tr>
      <w:tr w:rsidR="000B4E0A" w:rsidRPr="002864E4" w14:paraId="24FD2629" w14:textId="77777777" w:rsidTr="00E253DA">
        <w:trPr>
          <w:trHeight w:val="567"/>
        </w:trPr>
        <w:tc>
          <w:tcPr>
            <w:tcW w:w="1796" w:type="pct"/>
            <w:shd w:val="clear" w:color="auto" w:fill="auto"/>
            <w:hideMark/>
          </w:tcPr>
          <w:p w14:paraId="4E4A3719"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 xml:space="preserve">Izdošanas pamatojums </w:t>
            </w:r>
          </w:p>
          <w:p w14:paraId="10309CD7"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1019BBF" w14:textId="69CA950A" w:rsidR="002864E4" w:rsidRPr="006E5E1C" w:rsidRDefault="008C5D09" w:rsidP="00BF2431">
            <w:pPr>
              <w:numPr>
                <w:ilvl w:val="0"/>
                <w:numId w:val="2"/>
              </w:numPr>
              <w:tabs>
                <w:tab w:val="left" w:pos="320"/>
              </w:tabs>
              <w:spacing w:after="120" w:line="240" w:lineRule="auto"/>
              <w:ind w:left="-109" w:firstLine="0"/>
              <w:jc w:val="both"/>
              <w:rPr>
                <w:rFonts w:ascii="Times New Roman" w:eastAsia="Times New Roman" w:hAnsi="Times New Roman" w:cs="Times New Roman"/>
                <w:sz w:val="24"/>
                <w:szCs w:val="24"/>
                <w:lang w:eastAsia="lv-LV"/>
              </w:rPr>
            </w:pPr>
            <w:r w:rsidRPr="006E5E1C">
              <w:rPr>
                <w:rFonts w:ascii="Times New Roman" w:eastAsia="Times New Roman" w:hAnsi="Times New Roman" w:cs="Times New Roman"/>
                <w:sz w:val="24"/>
                <w:szCs w:val="24"/>
                <w:lang w:eastAsia="lv-LV"/>
              </w:rPr>
              <w:t>Kredītiestāžu likuma 126.</w:t>
            </w:r>
            <w:r w:rsidRPr="006E5E1C">
              <w:rPr>
                <w:rFonts w:ascii="Times New Roman" w:eastAsia="Times New Roman" w:hAnsi="Times New Roman" w:cs="Times New Roman"/>
                <w:sz w:val="24"/>
                <w:szCs w:val="24"/>
                <w:vertAlign w:val="superscript"/>
                <w:lang w:eastAsia="lv-LV"/>
              </w:rPr>
              <w:t>2</w:t>
            </w:r>
            <w:r w:rsidR="006E5E1C">
              <w:rPr>
                <w:rFonts w:ascii="Times New Roman" w:eastAsia="Times New Roman" w:hAnsi="Times New Roman" w:cs="Times New Roman"/>
                <w:sz w:val="24"/>
                <w:szCs w:val="24"/>
                <w:vertAlign w:val="superscript"/>
                <w:lang w:eastAsia="lv-LV"/>
              </w:rPr>
              <w:t> </w:t>
            </w:r>
            <w:r w:rsidRPr="006E5E1C">
              <w:rPr>
                <w:rFonts w:ascii="Times New Roman" w:eastAsia="Times New Roman" w:hAnsi="Times New Roman" w:cs="Times New Roman"/>
                <w:sz w:val="24"/>
                <w:szCs w:val="24"/>
                <w:lang w:eastAsia="lv-LV"/>
              </w:rPr>
              <w:t>panta ceturtā daļa</w:t>
            </w:r>
            <w:r w:rsidR="006E5E1C" w:rsidRPr="006E5E1C">
              <w:rPr>
                <w:rFonts w:ascii="Times New Roman" w:eastAsia="Times New Roman" w:hAnsi="Times New Roman" w:cs="Times New Roman"/>
                <w:sz w:val="24"/>
                <w:szCs w:val="24"/>
                <w:lang w:eastAsia="lv-LV"/>
              </w:rPr>
              <w:t xml:space="preserve"> </w:t>
            </w:r>
            <w:r w:rsidRPr="006E5E1C">
              <w:rPr>
                <w:rFonts w:ascii="Times New Roman" w:eastAsia="Times New Roman" w:hAnsi="Times New Roman" w:cs="Times New Roman"/>
                <w:sz w:val="24"/>
                <w:szCs w:val="24"/>
                <w:lang w:eastAsia="lv-LV"/>
              </w:rPr>
              <w:t>un 146.</w:t>
            </w:r>
            <w:r w:rsidRPr="006E5E1C">
              <w:rPr>
                <w:rFonts w:ascii="Times New Roman" w:eastAsia="Times New Roman" w:hAnsi="Times New Roman" w:cs="Times New Roman"/>
                <w:sz w:val="24"/>
                <w:szCs w:val="24"/>
                <w:vertAlign w:val="superscript"/>
                <w:lang w:eastAsia="lv-LV"/>
              </w:rPr>
              <w:t>1</w:t>
            </w:r>
            <w:r w:rsidR="006E5E1C">
              <w:rPr>
                <w:rFonts w:ascii="Times New Roman" w:eastAsia="Times New Roman" w:hAnsi="Times New Roman" w:cs="Times New Roman"/>
                <w:sz w:val="24"/>
                <w:szCs w:val="24"/>
                <w:lang w:eastAsia="lv-LV"/>
              </w:rPr>
              <w:t> </w:t>
            </w:r>
            <w:r w:rsidRPr="006E5E1C">
              <w:rPr>
                <w:rFonts w:ascii="Times New Roman" w:eastAsia="Times New Roman" w:hAnsi="Times New Roman" w:cs="Times New Roman"/>
                <w:sz w:val="24"/>
                <w:szCs w:val="24"/>
                <w:lang w:eastAsia="lv-LV"/>
              </w:rPr>
              <w:t>panta trešā daļa;</w:t>
            </w:r>
          </w:p>
          <w:p w14:paraId="7D2D1A3E" w14:textId="552ACC4B" w:rsidR="008C5D09" w:rsidRPr="008C5D09" w:rsidRDefault="008C5D09" w:rsidP="006E5E1C">
            <w:pPr>
              <w:pStyle w:val="ListParagraph"/>
              <w:numPr>
                <w:ilvl w:val="0"/>
                <w:numId w:val="2"/>
              </w:numPr>
              <w:tabs>
                <w:tab w:val="left" w:pos="320"/>
              </w:tabs>
              <w:spacing w:after="120" w:line="240" w:lineRule="auto"/>
              <w:ind w:left="-109" w:firstLine="0"/>
              <w:contextualSpacing w:val="0"/>
              <w:jc w:val="both"/>
              <w:rPr>
                <w:rFonts w:ascii="Times New Roman" w:eastAsia="Times New Roman" w:hAnsi="Times New Roman" w:cs="Times New Roman"/>
                <w:sz w:val="24"/>
                <w:szCs w:val="24"/>
                <w:lang w:eastAsia="lv-LV"/>
              </w:rPr>
            </w:pPr>
            <w:r w:rsidRPr="008C5D09">
              <w:rPr>
                <w:rFonts w:ascii="Times New Roman" w:eastAsia="Times New Roman" w:hAnsi="Times New Roman" w:cs="Times New Roman"/>
                <w:sz w:val="24"/>
                <w:szCs w:val="24"/>
                <w:lang w:eastAsia="lv-LV"/>
              </w:rPr>
              <w:t>Starptautisko un Latvijas Republikas nacionālo sankciju likuma</w:t>
            </w:r>
            <w:r>
              <w:rPr>
                <w:rFonts w:ascii="Times New Roman" w:eastAsia="Times New Roman" w:hAnsi="Times New Roman" w:cs="Times New Roman"/>
                <w:sz w:val="24"/>
                <w:szCs w:val="24"/>
                <w:lang w:eastAsia="lv-LV"/>
              </w:rPr>
              <w:t xml:space="preserve"> 13.</w:t>
            </w:r>
            <w:r w:rsidR="006E5E1C">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ceturtās daļas 3.</w:t>
            </w:r>
            <w:r w:rsidR="006E5E1C">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punkts un</w:t>
            </w:r>
          </w:p>
          <w:p w14:paraId="33FDA704" w14:textId="53E8473C" w:rsidR="00711FBE" w:rsidRPr="002864E4" w:rsidRDefault="002864E4" w:rsidP="006E5E1C">
            <w:pPr>
              <w:numPr>
                <w:ilvl w:val="0"/>
                <w:numId w:val="2"/>
              </w:numPr>
              <w:tabs>
                <w:tab w:val="left" w:pos="320"/>
              </w:tabs>
              <w:spacing w:after="120" w:line="240" w:lineRule="auto"/>
              <w:ind w:left="-109" w:firstLine="0"/>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Latvijas Bankas likuma pārejas noteikumu 3. punkts.</w:t>
            </w:r>
          </w:p>
        </w:tc>
      </w:tr>
      <w:tr w:rsidR="000B4E0A" w:rsidRPr="002864E4" w14:paraId="59028CAC" w14:textId="77777777" w:rsidTr="00E253DA">
        <w:trPr>
          <w:trHeight w:val="567"/>
        </w:trPr>
        <w:tc>
          <w:tcPr>
            <w:tcW w:w="1796" w:type="pct"/>
            <w:shd w:val="clear" w:color="auto" w:fill="auto"/>
            <w:hideMark/>
          </w:tcPr>
          <w:p w14:paraId="1EADC757"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Mērķis un būtība</w:t>
            </w:r>
          </w:p>
          <w:p w14:paraId="0BC52349"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CD3C9A7" w14:textId="539798CD" w:rsidR="00E53DE9" w:rsidRDefault="009567D8" w:rsidP="006E5E1C">
            <w:pPr>
              <w:pStyle w:val="NApunkts1"/>
              <w:numPr>
                <w:ilvl w:val="0"/>
                <w:numId w:val="0"/>
              </w:numPr>
              <w:spacing w:before="0" w:after="120"/>
            </w:pPr>
            <w:r>
              <w:t xml:space="preserve">Ņemot vērā </w:t>
            </w:r>
            <w:r w:rsidRPr="002864E4">
              <w:t>Latvijas Bankas likuma pārejas noteikumu 3. punkt</w:t>
            </w:r>
            <w:r>
              <w:t xml:space="preserve">u, kas nosaka, ka </w:t>
            </w:r>
            <w:r w:rsidRPr="009567D8">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6E5E1C">
              <w:t> </w:t>
            </w:r>
            <w:r w:rsidRPr="009567D8">
              <w:t>gada 31.</w:t>
            </w:r>
            <w:r w:rsidR="006E5E1C">
              <w:t> </w:t>
            </w:r>
            <w:r w:rsidRPr="009567D8">
              <w:t>decembrim</w:t>
            </w:r>
            <w:r>
              <w:t xml:space="preserve">, ir nepieciešams nodrošināt normatīvo regulējumu, kas </w:t>
            </w:r>
            <w:r w:rsidR="00590032">
              <w:t xml:space="preserve">izpilda Kredītiestāžu likuma </w:t>
            </w:r>
            <w:r w:rsidR="00590032" w:rsidRPr="00590032">
              <w:t>126.</w:t>
            </w:r>
            <w:r w:rsidR="00590032" w:rsidRPr="00590032">
              <w:rPr>
                <w:vertAlign w:val="superscript"/>
              </w:rPr>
              <w:t>2</w:t>
            </w:r>
            <w:r w:rsidR="00590032">
              <w:rPr>
                <w:vertAlign w:val="superscript"/>
              </w:rPr>
              <w:t> </w:t>
            </w:r>
            <w:r w:rsidR="00590032" w:rsidRPr="00590032">
              <w:t>panta ceturt</w:t>
            </w:r>
            <w:r w:rsidR="00590032">
              <w:t>aj</w:t>
            </w:r>
            <w:r w:rsidR="00590032" w:rsidRPr="00590032">
              <w:t>ā daļ</w:t>
            </w:r>
            <w:r w:rsidR="00590032">
              <w:t>ā</w:t>
            </w:r>
            <w:r w:rsidR="00590032" w:rsidRPr="00590032">
              <w:t xml:space="preserve"> un 146.</w:t>
            </w:r>
            <w:r w:rsidR="00590032" w:rsidRPr="00590032">
              <w:rPr>
                <w:vertAlign w:val="superscript"/>
              </w:rPr>
              <w:t>1</w:t>
            </w:r>
            <w:r w:rsidR="00590032">
              <w:rPr>
                <w:vertAlign w:val="superscript"/>
              </w:rPr>
              <w:t> </w:t>
            </w:r>
            <w:r w:rsidR="00590032" w:rsidRPr="00590032">
              <w:t>panta treš</w:t>
            </w:r>
            <w:r w:rsidR="00590032">
              <w:t>aj</w:t>
            </w:r>
            <w:r w:rsidR="00590032" w:rsidRPr="00590032">
              <w:t>ā daļ</w:t>
            </w:r>
            <w:r w:rsidR="00590032">
              <w:t>ā</w:t>
            </w:r>
            <w:r w:rsidR="005F2929">
              <w:t>, kā arī</w:t>
            </w:r>
            <w:r w:rsidR="00DD3B64">
              <w:t xml:space="preserve"> </w:t>
            </w:r>
            <w:r w:rsidR="00DD3B64" w:rsidRPr="008C5D09">
              <w:t>Starptautisko un Latvijas Republikas nacionālo sankciju likuma</w:t>
            </w:r>
            <w:r w:rsidR="00DD3B64">
              <w:t xml:space="preserve"> 13. panta ceturtās daļas 3. punktā</w:t>
            </w:r>
            <w:r w:rsidR="00590032">
              <w:t xml:space="preserve"> ietverto deleģējumu Latvijas Bankai</w:t>
            </w:r>
            <w:r w:rsidR="008654E5">
              <w:t>.</w:t>
            </w:r>
          </w:p>
          <w:p w14:paraId="68507921" w14:textId="0A5ABB9D" w:rsidR="006C5AD8" w:rsidRDefault="006C5AD8" w:rsidP="006E5E1C">
            <w:pPr>
              <w:pStyle w:val="NApunkts1"/>
              <w:numPr>
                <w:ilvl w:val="0"/>
                <w:numId w:val="0"/>
              </w:numPr>
              <w:spacing w:before="0" w:after="120"/>
              <w:rPr>
                <w:bCs/>
              </w:rPr>
            </w:pPr>
            <w:r>
              <w:t>Ievērojot Kredītiestāžu likum</w:t>
            </w:r>
            <w:r w:rsidR="005671B4">
              <w:t>a 126.</w:t>
            </w:r>
            <w:r w:rsidR="005671B4" w:rsidRPr="006C5AD8">
              <w:rPr>
                <w:vertAlign w:val="superscript"/>
              </w:rPr>
              <w:t>2</w:t>
            </w:r>
            <w:r w:rsidR="005671B4">
              <w:rPr>
                <w:vertAlign w:val="superscript"/>
              </w:rPr>
              <w:t> </w:t>
            </w:r>
            <w:r w:rsidR="005671B4">
              <w:t>panta ceturtajā daļā un 146.</w:t>
            </w:r>
            <w:r w:rsidR="005671B4">
              <w:rPr>
                <w:vertAlign w:val="superscript"/>
              </w:rPr>
              <w:t>1 </w:t>
            </w:r>
            <w:r w:rsidR="005671B4">
              <w:t>panta trešajā daļā</w:t>
            </w:r>
            <w:r>
              <w:t xml:space="preserve"> noteikto deleģējumu, </w:t>
            </w:r>
            <w:r w:rsidR="005671B4">
              <w:t xml:space="preserve">Noteikumu projekts </w:t>
            </w:r>
            <w:r>
              <w:t xml:space="preserve">nosaka </w:t>
            </w:r>
            <w:r w:rsidR="005671B4">
              <w:t xml:space="preserve">prasības </w:t>
            </w:r>
            <w:r w:rsidR="005671B4">
              <w:rPr>
                <w:bCs/>
              </w:rPr>
              <w:t>n</w:t>
            </w:r>
            <w:r w:rsidR="005671B4" w:rsidRPr="002864E4">
              <w:rPr>
                <w:bCs/>
              </w:rPr>
              <w:t>oziedzīgi iegūtu līdzekļu legalizācijas un terorisma un proliferācijas finansēšanas novēršanas</w:t>
            </w:r>
            <w:r w:rsidR="005671B4">
              <w:rPr>
                <w:bCs/>
              </w:rPr>
              <w:t xml:space="preserve"> prasību izpildes metodoloģijai</w:t>
            </w:r>
            <w:r w:rsidR="006C74A9">
              <w:rPr>
                <w:bCs/>
              </w:rPr>
              <w:t xml:space="preserve"> (turpmāk – metodoloģija)</w:t>
            </w:r>
            <w:r w:rsidR="005671B4">
              <w:rPr>
                <w:bCs/>
              </w:rPr>
              <w:t xml:space="preserve"> </w:t>
            </w:r>
            <w:r w:rsidR="005671B4" w:rsidRPr="005671B4">
              <w:rPr>
                <w:bCs/>
              </w:rPr>
              <w:t>kredītiestādes maksātnespējas vai likvidācijas (arī pašlikvidācijas) procesā</w:t>
            </w:r>
            <w:r w:rsidR="00DD3B64">
              <w:rPr>
                <w:bCs/>
              </w:rPr>
              <w:t xml:space="preserve">. </w:t>
            </w:r>
          </w:p>
          <w:p w14:paraId="1343004F" w14:textId="08BD1F23" w:rsidR="00DD3B64" w:rsidRDefault="008D39D2" w:rsidP="006E5E1C">
            <w:pPr>
              <w:pStyle w:val="NApunkts1"/>
              <w:numPr>
                <w:ilvl w:val="0"/>
                <w:numId w:val="0"/>
              </w:numPr>
              <w:spacing w:before="0" w:after="120"/>
              <w:rPr>
                <w:bCs/>
              </w:rPr>
            </w:pPr>
            <w:r>
              <w:t>Vienlaikus</w:t>
            </w:r>
            <w:r w:rsidR="00DD3B64">
              <w:t xml:space="preserve">, ievērojot </w:t>
            </w:r>
            <w:r w:rsidR="00DD3B64" w:rsidRPr="008C5D09">
              <w:t>Starptautisko un Latvijas Republikas nacionālo sankciju likuma</w:t>
            </w:r>
            <w:r w:rsidR="00DD3B64">
              <w:t xml:space="preserve"> 13. panta ceturtās daļas 3. punktā noteikto deleģējumu, Noteikumu projekts nosaka prasības </w:t>
            </w:r>
            <w:r w:rsidR="00DD3B64" w:rsidRPr="005F2929">
              <w:rPr>
                <w:bCs/>
              </w:rPr>
              <w:t xml:space="preserve">sankciju riska pārvaldīšanas iekšējās kontroles sistēmai kredītiestādes maksātnespējas vai likvidācijas </w:t>
            </w:r>
            <w:r w:rsidR="00DD3B64">
              <w:rPr>
                <w:bCs/>
              </w:rPr>
              <w:t xml:space="preserve">(arī pašlikvidācijas) </w:t>
            </w:r>
            <w:r w:rsidR="00DD3B64" w:rsidRPr="005F2929">
              <w:rPr>
                <w:bCs/>
              </w:rPr>
              <w:t>proces</w:t>
            </w:r>
            <w:r w:rsidR="00DD3B64">
              <w:rPr>
                <w:bCs/>
              </w:rPr>
              <w:t>ā.</w:t>
            </w:r>
          </w:p>
          <w:p w14:paraId="7958BEE1" w14:textId="24361BCA" w:rsidR="009567D8" w:rsidRDefault="006C5AD8" w:rsidP="006E5E1C">
            <w:pPr>
              <w:pStyle w:val="NApunkts1"/>
              <w:numPr>
                <w:ilvl w:val="0"/>
                <w:numId w:val="0"/>
              </w:numPr>
              <w:spacing w:before="0" w:after="120"/>
            </w:pPr>
            <w:r>
              <w:t>Noteiku</w:t>
            </w:r>
            <w:r w:rsidR="00C375B6">
              <w:t>mu projekts aizstās Fi</w:t>
            </w:r>
            <w:r w:rsidR="009567D8" w:rsidRPr="002864E4">
              <w:t xml:space="preserve">nanšu un kapitāla tirgus komisijas </w:t>
            </w:r>
            <w:r w:rsidR="00CF1A09">
              <w:t>2020. gada 11. augusta</w:t>
            </w:r>
            <w:r w:rsidR="009567D8" w:rsidRPr="002864E4">
              <w:t xml:space="preserve"> normatīv</w:t>
            </w:r>
            <w:r w:rsidR="00C375B6">
              <w:t>os</w:t>
            </w:r>
            <w:r w:rsidR="009567D8" w:rsidRPr="002864E4">
              <w:t xml:space="preserve"> noteikum</w:t>
            </w:r>
            <w:r w:rsidR="00C375B6">
              <w:t>us</w:t>
            </w:r>
            <w:r w:rsidR="009567D8" w:rsidRPr="002864E4">
              <w:t xml:space="preserve"> Nr.</w:t>
            </w:r>
            <w:r w:rsidR="006E5E1C">
              <w:t> </w:t>
            </w:r>
            <w:r w:rsidR="009567D8" w:rsidRPr="002864E4">
              <w:t>1</w:t>
            </w:r>
            <w:r w:rsidR="008654E5">
              <w:t>27</w:t>
            </w:r>
            <w:r w:rsidR="009567D8" w:rsidRPr="002864E4">
              <w:t xml:space="preserve"> "</w:t>
            </w:r>
            <w:r w:rsidR="008654E5" w:rsidRPr="000B5F7A">
              <w:t xml:space="preserve">Noziedzīgi iegūtu līdzekļu legalizācijas un terorisma un proliferācijas finansēšanas novēršanas </w:t>
            </w:r>
            <w:r w:rsidR="008654E5">
              <w:t xml:space="preserve">un sankciju riska pārvaldīšanas prasību izpildes </w:t>
            </w:r>
            <w:r w:rsidR="008654E5">
              <w:lastRenderedPageBreak/>
              <w:t>metodoloģijas izstrādes</w:t>
            </w:r>
            <w:r w:rsidR="008654E5" w:rsidRPr="000B5F7A">
              <w:t xml:space="preserve"> normatīvie noteikumi</w:t>
            </w:r>
            <w:r w:rsidR="009567D8" w:rsidRPr="002864E4">
              <w:t>"</w:t>
            </w:r>
            <w:r w:rsidR="009567D8">
              <w:t xml:space="preserve"> (turpmāk</w:t>
            </w:r>
            <w:r w:rsidR="006E5E1C">
              <w:t> </w:t>
            </w:r>
            <w:r w:rsidR="009567D8">
              <w:t>– Noteikumi Nr.</w:t>
            </w:r>
            <w:r w:rsidR="006E5E1C">
              <w:t> </w:t>
            </w:r>
            <w:r w:rsidR="009567D8">
              <w:t>1</w:t>
            </w:r>
            <w:r w:rsidR="008654E5">
              <w:t>27</w:t>
            </w:r>
            <w:r w:rsidR="009567D8">
              <w:t>).</w:t>
            </w:r>
          </w:p>
          <w:p w14:paraId="6986D1D3" w14:textId="61F5202A" w:rsidR="008D39D2" w:rsidRDefault="008D39D2" w:rsidP="008D39D2">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projektā ietvertās prasības, salīdzinot ar Noteikumu Nr.</w:t>
            </w:r>
            <w:r w:rsidR="00AB62B3">
              <w:rPr>
                <w:rFonts w:ascii="Times New Roman" w:eastAsia="Times New Roman" w:hAnsi="Times New Roman" w:cs="Times New Roman"/>
                <w:sz w:val="24"/>
                <w:szCs w:val="24"/>
              </w:rPr>
              <w:t> </w:t>
            </w:r>
            <w:r>
              <w:rPr>
                <w:rFonts w:ascii="Times New Roman" w:eastAsia="Times New Roman" w:hAnsi="Times New Roman" w:cs="Times New Roman"/>
                <w:sz w:val="24"/>
                <w:szCs w:val="24"/>
              </w:rPr>
              <w:t>127 prasībām, pēc būtības</w:t>
            </w:r>
            <w:r w:rsidR="00F760FD">
              <w:rPr>
                <w:rFonts w:ascii="Times New Roman" w:eastAsia="Times New Roman" w:hAnsi="Times New Roman" w:cs="Times New Roman"/>
                <w:sz w:val="24"/>
                <w:szCs w:val="24"/>
              </w:rPr>
              <w:t xml:space="preserve"> un satura</w:t>
            </w:r>
            <w:r>
              <w:rPr>
                <w:rFonts w:ascii="Times New Roman" w:eastAsia="Times New Roman" w:hAnsi="Times New Roman" w:cs="Times New Roman"/>
                <w:sz w:val="24"/>
                <w:szCs w:val="24"/>
              </w:rPr>
              <w:t xml:space="preserve"> neatšķiras. Vienlaikus, ievērojot deleģējumu struktūru, kas </w:t>
            </w:r>
            <w:r w:rsidR="007846B5">
              <w:rPr>
                <w:rFonts w:ascii="Times New Roman" w:eastAsia="Times New Roman" w:hAnsi="Times New Roman" w:cs="Times New Roman"/>
                <w:sz w:val="24"/>
                <w:szCs w:val="24"/>
              </w:rPr>
              <w:t>no</w:t>
            </w:r>
            <w:r w:rsidR="001843F2">
              <w:rPr>
                <w:rFonts w:ascii="Times New Roman" w:eastAsia="Times New Roman" w:hAnsi="Times New Roman" w:cs="Times New Roman"/>
                <w:sz w:val="24"/>
                <w:szCs w:val="24"/>
              </w:rPr>
              <w:t>šķ</w:t>
            </w:r>
            <w:r w:rsidR="007846B5">
              <w:rPr>
                <w:rFonts w:ascii="Times New Roman" w:eastAsia="Times New Roman" w:hAnsi="Times New Roman" w:cs="Times New Roman"/>
                <w:sz w:val="24"/>
                <w:szCs w:val="24"/>
              </w:rPr>
              <w:t>ir</w:t>
            </w:r>
            <w:r>
              <w:rPr>
                <w:rFonts w:ascii="Times New Roman" w:eastAsia="Times New Roman" w:hAnsi="Times New Roman" w:cs="Times New Roman"/>
                <w:sz w:val="24"/>
                <w:szCs w:val="24"/>
              </w:rPr>
              <w:t xml:space="preserve"> prasības metodoloģija</w:t>
            </w:r>
            <w:r w:rsidR="00F760FD">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un prasības sankciju riska pārvaldīšanas iekšējās kontroles sistēmas izveidei, Noteikumu projekta prasības ir strukturētas blok</w:t>
            </w:r>
            <w:r w:rsidR="007846B5">
              <w:rPr>
                <w:rFonts w:ascii="Times New Roman" w:eastAsia="Times New Roman" w:hAnsi="Times New Roman" w:cs="Times New Roman"/>
                <w:sz w:val="24"/>
                <w:szCs w:val="24"/>
              </w:rPr>
              <w:t>os</w:t>
            </w:r>
            <w:r>
              <w:rPr>
                <w:rFonts w:ascii="Times New Roman" w:eastAsia="Times New Roman" w:hAnsi="Times New Roman" w:cs="Times New Roman"/>
                <w:sz w:val="24"/>
                <w:szCs w:val="24"/>
              </w:rPr>
              <w:t>:</w:t>
            </w:r>
          </w:p>
          <w:p w14:paraId="65827CB1" w14:textId="5BEE703B" w:rsidR="008D39D2" w:rsidRPr="00A17CFD" w:rsidRDefault="008D39D2" w:rsidP="00A17CFD">
            <w:pPr>
              <w:pStyle w:val="ListParagraph"/>
              <w:numPr>
                <w:ilvl w:val="0"/>
                <w:numId w:val="11"/>
              </w:num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AB62B3">
              <w:rPr>
                <w:rFonts w:ascii="Times New Roman" w:eastAsia="Times New Roman" w:hAnsi="Times New Roman" w:cs="Times New Roman"/>
                <w:sz w:val="24"/>
                <w:szCs w:val="24"/>
              </w:rPr>
              <w:t> </w:t>
            </w:r>
            <w:r>
              <w:rPr>
                <w:rFonts w:ascii="Times New Roman" w:eastAsia="Times New Roman" w:hAnsi="Times New Roman" w:cs="Times New Roman"/>
                <w:sz w:val="24"/>
                <w:szCs w:val="24"/>
              </w:rPr>
              <w:t>nodaļa</w:t>
            </w:r>
            <w:r w:rsidR="00AB62B3">
              <w:rPr>
                <w:rFonts w:ascii="Times New Roman" w:eastAsia="Times New Roman" w:hAnsi="Times New Roman" w:cs="Times New Roman"/>
                <w:sz w:val="24"/>
                <w:szCs w:val="24"/>
              </w:rPr>
              <w:t> </w:t>
            </w:r>
            <w:r w:rsidR="00F760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F760FD">
              <w:rPr>
                <w:rFonts w:ascii="Times New Roman" w:eastAsia="Times New Roman" w:hAnsi="Times New Roman" w:cs="Times New Roman"/>
                <w:sz w:val="24"/>
                <w:szCs w:val="24"/>
              </w:rPr>
              <w:t>vispārīgais jautājums, kas skaidro Noteikumu projekta mērķi;</w:t>
            </w:r>
          </w:p>
          <w:p w14:paraId="7DE3AD1E" w14:textId="30C13C66" w:rsidR="00F760FD" w:rsidRDefault="008D39D2" w:rsidP="00F760FD">
            <w:pPr>
              <w:pStyle w:val="ListParagraph"/>
              <w:numPr>
                <w:ilvl w:val="0"/>
                <w:numId w:val="11"/>
              </w:numPr>
              <w:spacing w:after="120" w:line="240" w:lineRule="auto"/>
              <w:jc w:val="both"/>
              <w:rPr>
                <w:rFonts w:ascii="Times New Roman" w:eastAsia="Times New Roman" w:hAnsi="Times New Roman" w:cs="Times New Roman"/>
                <w:sz w:val="24"/>
                <w:szCs w:val="24"/>
              </w:rPr>
            </w:pPr>
            <w:r w:rsidRPr="008D39D2">
              <w:rPr>
                <w:rFonts w:ascii="Times New Roman" w:eastAsia="Times New Roman" w:hAnsi="Times New Roman" w:cs="Times New Roman"/>
                <w:sz w:val="24"/>
                <w:szCs w:val="24"/>
              </w:rPr>
              <w:t>2.</w:t>
            </w:r>
            <w:r w:rsidR="00AB62B3">
              <w:rPr>
                <w:rFonts w:ascii="Times New Roman" w:eastAsia="Times New Roman" w:hAnsi="Times New Roman" w:cs="Times New Roman"/>
                <w:sz w:val="24"/>
                <w:szCs w:val="24"/>
              </w:rPr>
              <w:t> </w:t>
            </w:r>
            <w:r w:rsidRPr="008D39D2">
              <w:rPr>
                <w:rFonts w:ascii="Times New Roman" w:eastAsia="Times New Roman" w:hAnsi="Times New Roman" w:cs="Times New Roman"/>
                <w:sz w:val="24"/>
                <w:szCs w:val="24"/>
              </w:rPr>
              <w:t>nodaļa</w:t>
            </w:r>
            <w:r w:rsidR="00AB62B3">
              <w:rPr>
                <w:rFonts w:ascii="Times New Roman" w:eastAsia="Times New Roman" w:hAnsi="Times New Roman" w:cs="Times New Roman"/>
                <w:sz w:val="24"/>
                <w:szCs w:val="24"/>
              </w:rPr>
              <w:t> –</w:t>
            </w:r>
            <w:r w:rsidR="00F760FD">
              <w:rPr>
                <w:rFonts w:ascii="Times New Roman" w:eastAsia="Times New Roman" w:hAnsi="Times New Roman" w:cs="Times New Roman"/>
                <w:sz w:val="24"/>
                <w:szCs w:val="24"/>
              </w:rPr>
              <w:t xml:space="preserve"> </w:t>
            </w:r>
            <w:r w:rsidRPr="008D39D2">
              <w:rPr>
                <w:rFonts w:ascii="Times New Roman" w:eastAsia="Times New Roman" w:hAnsi="Times New Roman" w:cs="Times New Roman"/>
                <w:sz w:val="24"/>
                <w:szCs w:val="24"/>
              </w:rPr>
              <w:t>p</w:t>
            </w:r>
            <w:r w:rsidRPr="00A17CFD">
              <w:rPr>
                <w:rFonts w:ascii="Times New Roman" w:eastAsia="Times New Roman" w:hAnsi="Times New Roman" w:cs="Times New Roman"/>
                <w:sz w:val="24"/>
                <w:szCs w:val="24"/>
              </w:rPr>
              <w:t>rasības noziedzīgi iegūtu līdzekļu legalizācijas un terorisma un proliferācijas finansēšanas novēršanas riska pārvaldīšanas metodoloģijai. 2.</w:t>
            </w:r>
            <w:r w:rsidR="00AB62B3">
              <w:rPr>
                <w:rFonts w:ascii="Times New Roman" w:eastAsia="Times New Roman" w:hAnsi="Times New Roman" w:cs="Times New Roman"/>
                <w:sz w:val="24"/>
                <w:szCs w:val="24"/>
              </w:rPr>
              <w:t> </w:t>
            </w:r>
            <w:r w:rsidRPr="00A17CFD">
              <w:rPr>
                <w:rFonts w:ascii="Times New Roman" w:eastAsia="Times New Roman" w:hAnsi="Times New Roman" w:cs="Times New Roman"/>
                <w:sz w:val="24"/>
                <w:szCs w:val="24"/>
              </w:rPr>
              <w:t>nodaļa ietver trīs apakšnodaļas</w:t>
            </w:r>
            <w:r w:rsidR="00AB62B3">
              <w:rPr>
                <w:rFonts w:ascii="Times New Roman" w:eastAsia="Times New Roman" w:hAnsi="Times New Roman" w:cs="Times New Roman"/>
                <w:sz w:val="24"/>
                <w:szCs w:val="24"/>
              </w:rPr>
              <w:t> </w:t>
            </w:r>
            <w:r w:rsidRPr="00A17CFD">
              <w:rPr>
                <w:rFonts w:ascii="Times New Roman" w:eastAsia="Times New Roman" w:hAnsi="Times New Roman" w:cs="Times New Roman"/>
                <w:sz w:val="24"/>
                <w:szCs w:val="24"/>
              </w:rPr>
              <w:t>– vispārīgās prasības metodoloģijai, metodoloģijā ietveramās prasības attiecībā uz klientu (kreditoru) izpēti un metodoloģijā ietveramā</w:t>
            </w:r>
            <w:r w:rsidR="00A17CFD">
              <w:rPr>
                <w:rFonts w:ascii="Times New Roman" w:eastAsia="Times New Roman" w:hAnsi="Times New Roman" w:cs="Times New Roman"/>
                <w:sz w:val="24"/>
                <w:szCs w:val="24"/>
              </w:rPr>
              <w:t>s</w:t>
            </w:r>
            <w:r w:rsidRPr="00A17CFD">
              <w:rPr>
                <w:rFonts w:ascii="Times New Roman" w:eastAsia="Times New Roman" w:hAnsi="Times New Roman" w:cs="Times New Roman"/>
                <w:sz w:val="24"/>
                <w:szCs w:val="24"/>
              </w:rPr>
              <w:t xml:space="preserve"> prasības attiecībā uz aktīvu atsavināšanas darījumiem</w:t>
            </w:r>
            <w:r w:rsidR="00F760FD">
              <w:rPr>
                <w:rFonts w:ascii="Times New Roman" w:eastAsia="Times New Roman" w:hAnsi="Times New Roman" w:cs="Times New Roman"/>
                <w:sz w:val="24"/>
                <w:szCs w:val="24"/>
              </w:rPr>
              <w:t>;</w:t>
            </w:r>
          </w:p>
          <w:p w14:paraId="24E7505C" w14:textId="4ECC1ADB" w:rsidR="00793961" w:rsidRPr="00C12B23" w:rsidRDefault="00F760FD" w:rsidP="002F3578">
            <w:pPr>
              <w:pStyle w:val="ListParagraph"/>
              <w:numPr>
                <w:ilvl w:val="0"/>
                <w:numId w:val="11"/>
              </w:numPr>
              <w:spacing w:after="120" w:line="240" w:lineRule="auto"/>
              <w:jc w:val="both"/>
              <w:rPr>
                <w:rFonts w:ascii="Times New Roman" w:hAnsi="Times New Roman" w:cs="Times New Roman"/>
              </w:rPr>
            </w:pPr>
            <w:r w:rsidRPr="00F760FD">
              <w:rPr>
                <w:rFonts w:ascii="Times New Roman" w:eastAsia="Times New Roman" w:hAnsi="Times New Roman" w:cs="Times New Roman"/>
                <w:sz w:val="24"/>
                <w:szCs w:val="24"/>
              </w:rPr>
              <w:t>3.</w:t>
            </w:r>
            <w:r w:rsidR="00AB62B3">
              <w:rPr>
                <w:rFonts w:ascii="Times New Roman" w:eastAsia="Times New Roman" w:hAnsi="Times New Roman" w:cs="Times New Roman"/>
                <w:sz w:val="24"/>
                <w:szCs w:val="24"/>
              </w:rPr>
              <w:t> </w:t>
            </w:r>
            <w:r w:rsidRPr="00F760FD">
              <w:rPr>
                <w:rFonts w:ascii="Times New Roman" w:eastAsia="Times New Roman" w:hAnsi="Times New Roman" w:cs="Times New Roman"/>
                <w:sz w:val="24"/>
                <w:szCs w:val="24"/>
              </w:rPr>
              <w:t>nodaļa</w:t>
            </w:r>
            <w:r w:rsidR="00AB62B3">
              <w:rPr>
                <w:rFonts w:ascii="Times New Roman" w:eastAsia="Times New Roman" w:hAnsi="Times New Roman" w:cs="Times New Roman"/>
                <w:sz w:val="24"/>
                <w:szCs w:val="24"/>
              </w:rPr>
              <w:t> –</w:t>
            </w:r>
            <w:r w:rsidRPr="00F76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w:t>
            </w:r>
            <w:r w:rsidRPr="00A17CFD">
              <w:rPr>
                <w:rFonts w:ascii="Times New Roman" w:eastAsia="Times New Roman" w:hAnsi="Times New Roman" w:cs="Times New Roman"/>
                <w:sz w:val="24"/>
                <w:szCs w:val="24"/>
              </w:rPr>
              <w:t>rasības sankciju riska pārvaldīšanas iekšējās kontroles sistēmas izstrādei</w:t>
            </w:r>
            <w:r w:rsidR="00AB62B3">
              <w:rPr>
                <w:rFonts w:ascii="Times New Roman" w:eastAsia="Times New Roman" w:hAnsi="Times New Roman" w:cs="Times New Roman"/>
                <w:sz w:val="24"/>
                <w:szCs w:val="24"/>
              </w:rPr>
              <w:t>.</w:t>
            </w:r>
          </w:p>
        </w:tc>
      </w:tr>
      <w:tr w:rsidR="000B4E0A" w:rsidRPr="002864E4" w14:paraId="5DF75A70" w14:textId="77777777" w:rsidTr="00E253DA">
        <w:trPr>
          <w:trHeight w:val="567"/>
        </w:trPr>
        <w:tc>
          <w:tcPr>
            <w:tcW w:w="1796" w:type="pct"/>
            <w:shd w:val="clear" w:color="auto" w:fill="auto"/>
            <w:hideMark/>
          </w:tcPr>
          <w:p w14:paraId="51DB859D" w14:textId="77777777" w:rsidR="00A42788" w:rsidRPr="002864E4" w:rsidRDefault="00A42788" w:rsidP="000B4E0A">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lastRenderedPageBreak/>
              <w:t>Leģitīmais mērķis</w:t>
            </w:r>
          </w:p>
          <w:p w14:paraId="6DA1BDC9" w14:textId="77777777" w:rsidR="00CA28AB" w:rsidRPr="002864E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7958C15" w14:textId="77777777" w:rsidR="00C375B6" w:rsidRPr="00F96501" w:rsidRDefault="00C375B6" w:rsidP="006E5E1C">
            <w:pPr>
              <w:pStyle w:val="ListParagraph"/>
              <w:shd w:val="clear" w:color="auto" w:fill="FFFFFF"/>
              <w:tabs>
                <w:tab w:val="left" w:pos="284"/>
                <w:tab w:val="left" w:pos="426"/>
              </w:tabs>
              <w:spacing w:after="120" w:line="240" w:lineRule="auto"/>
              <w:ind w:left="0"/>
              <w:contextualSpacing w:val="0"/>
              <w:jc w:val="both"/>
              <w:rPr>
                <w:rFonts w:ascii="Times New Roman" w:hAnsi="Times New Roman" w:cs="Times New Roman"/>
                <w:sz w:val="24"/>
                <w:szCs w:val="24"/>
              </w:rPr>
            </w:pPr>
            <w:r w:rsidRPr="00F96501">
              <w:rPr>
                <w:rFonts w:ascii="Times New Roman" w:hAnsi="Times New Roman" w:cs="Times New Roman"/>
                <w:sz w:val="24"/>
                <w:szCs w:val="24"/>
              </w:rPr>
              <w:t>Noteikumu projekta leģitīmais mērķis ir citu personu tiesību aizsardzība un sabiedrības labklājības nodrošināšana.</w:t>
            </w:r>
          </w:p>
          <w:p w14:paraId="7C53A6B0" w14:textId="1DAA968D" w:rsidR="008F5CD7" w:rsidRDefault="00C375B6" w:rsidP="006E5E1C">
            <w:pPr>
              <w:pStyle w:val="Teksts1"/>
              <w:spacing w:after="120"/>
              <w:rPr>
                <w:szCs w:val="24"/>
              </w:rPr>
            </w:pPr>
            <w:r w:rsidRPr="00F96501">
              <w:rPr>
                <w:szCs w:val="24"/>
              </w:rPr>
              <w:t xml:space="preserve">Noteikumu projekts nepieciešams, lai </w:t>
            </w:r>
            <w:r w:rsidR="00A17CFD">
              <w:rPr>
                <w:szCs w:val="24"/>
              </w:rPr>
              <w:t>n</w:t>
            </w:r>
            <w:r w:rsidR="006C74A9">
              <w:rPr>
                <w:szCs w:val="24"/>
              </w:rPr>
              <w:t xml:space="preserve">odrošinātu, ka maksātnespējas procesa </w:t>
            </w:r>
            <w:r w:rsidR="006C74A9" w:rsidRPr="008C3028">
              <w:rPr>
                <w:szCs w:val="24"/>
              </w:rPr>
              <w:t xml:space="preserve">administrators </w:t>
            </w:r>
            <w:r w:rsidR="006C74A9">
              <w:rPr>
                <w:szCs w:val="24"/>
              </w:rPr>
              <w:t>vai likvidators</w:t>
            </w:r>
            <w:r w:rsidR="00F760FD">
              <w:rPr>
                <w:szCs w:val="24"/>
              </w:rPr>
              <w:t>, izstrādājot metodoloģiju,</w:t>
            </w:r>
            <w:r w:rsidR="006C74A9">
              <w:rPr>
                <w:szCs w:val="24"/>
              </w:rPr>
              <w:t xml:space="preserve"> ievērotu prasības noziedzīgi iegūtu līdzekļu legalizācijas un terorisma un proliferācijas jomā, ievērojot kredītiestādes darbību, kas ir specifiska kredītiestādes likvidācijas (arī pašlikvidācijas) vai maksātnespējas  procesā. </w:t>
            </w:r>
            <w:r w:rsidR="00E1721C" w:rsidRPr="008C3028">
              <w:rPr>
                <w:szCs w:val="24"/>
              </w:rPr>
              <w:t xml:space="preserve">Tādējādi </w:t>
            </w:r>
            <w:r w:rsidR="00E1721C">
              <w:rPr>
                <w:szCs w:val="24"/>
              </w:rPr>
              <w:t>N</w:t>
            </w:r>
            <w:r w:rsidR="00E1721C" w:rsidRPr="008C3028">
              <w:rPr>
                <w:szCs w:val="24"/>
              </w:rPr>
              <w:t xml:space="preserve">oteikumu projekts </w:t>
            </w:r>
            <w:r w:rsidR="006C74A9" w:rsidRPr="008C3028">
              <w:rPr>
                <w:szCs w:val="24"/>
              </w:rPr>
              <w:t>nodrošin</w:t>
            </w:r>
            <w:r w:rsidR="006C74A9">
              <w:rPr>
                <w:szCs w:val="24"/>
              </w:rPr>
              <w:t>a</w:t>
            </w:r>
            <w:r w:rsidR="008F5CD7">
              <w:rPr>
                <w:szCs w:val="24"/>
              </w:rPr>
              <w:t xml:space="preserve"> vienveidīgas prasības un to </w:t>
            </w:r>
            <w:r w:rsidR="00F760FD">
              <w:rPr>
                <w:szCs w:val="24"/>
              </w:rPr>
              <w:t>piemērošanu</w:t>
            </w:r>
            <w:r w:rsidR="006C74A9" w:rsidRPr="008C3028">
              <w:rPr>
                <w:szCs w:val="24"/>
              </w:rPr>
              <w:t xml:space="preserve"> </w:t>
            </w:r>
            <w:r w:rsidR="00E1721C" w:rsidRPr="008C3028">
              <w:rPr>
                <w:szCs w:val="24"/>
              </w:rPr>
              <w:t>likvidatora</w:t>
            </w:r>
            <w:r w:rsidR="008F5CD7">
              <w:rPr>
                <w:szCs w:val="24"/>
              </w:rPr>
              <w:t>m</w:t>
            </w:r>
            <w:r w:rsidR="00E1721C" w:rsidRPr="008C3028">
              <w:rPr>
                <w:szCs w:val="24"/>
              </w:rPr>
              <w:t xml:space="preserve"> vai </w:t>
            </w:r>
            <w:r w:rsidR="00E1721C">
              <w:rPr>
                <w:szCs w:val="24"/>
              </w:rPr>
              <w:t xml:space="preserve">maksātnespējas procesa </w:t>
            </w:r>
            <w:r w:rsidR="00E1721C" w:rsidRPr="008C3028">
              <w:rPr>
                <w:szCs w:val="24"/>
              </w:rPr>
              <w:t>administratora</w:t>
            </w:r>
            <w:r w:rsidR="008F5CD7">
              <w:rPr>
                <w:szCs w:val="24"/>
              </w:rPr>
              <w:t xml:space="preserve">m </w:t>
            </w:r>
            <w:r w:rsidR="00E1721C" w:rsidRPr="008C3028">
              <w:rPr>
                <w:szCs w:val="24"/>
              </w:rPr>
              <w:t xml:space="preserve"> </w:t>
            </w:r>
            <w:r w:rsidR="008F5CD7">
              <w:rPr>
                <w:szCs w:val="24"/>
              </w:rPr>
              <w:t xml:space="preserve">ar </w:t>
            </w:r>
            <w:r w:rsidR="00E1721C" w:rsidRPr="008C3028">
              <w:rPr>
                <w:szCs w:val="24"/>
              </w:rPr>
              <w:t xml:space="preserve">mērķi </w:t>
            </w:r>
            <w:r w:rsidR="00E1721C" w:rsidRPr="001A220E">
              <w:rPr>
                <w:szCs w:val="24"/>
              </w:rPr>
              <w:t xml:space="preserve">pārvaldīt </w:t>
            </w:r>
            <w:r w:rsidR="005671B4">
              <w:rPr>
                <w:bCs/>
                <w:szCs w:val="24"/>
              </w:rPr>
              <w:t>n</w:t>
            </w:r>
            <w:r w:rsidR="005671B4" w:rsidRPr="002864E4">
              <w:rPr>
                <w:bCs/>
                <w:szCs w:val="24"/>
              </w:rPr>
              <w:t xml:space="preserve">oziedzīgi iegūtu līdzekļu legalizācijas un terorisma un proliferācijas finansēšanas </w:t>
            </w:r>
            <w:r w:rsidR="00E1721C" w:rsidRPr="001A220E">
              <w:rPr>
                <w:szCs w:val="24"/>
              </w:rPr>
              <w:t>risku</w:t>
            </w:r>
            <w:r w:rsidR="008F5CD7">
              <w:rPr>
                <w:szCs w:val="24"/>
              </w:rPr>
              <w:t xml:space="preserve"> kredītiestādēs, kas ir likvidācijas (arī pašlikvidācijas) vai maksātnespējas procesā</w:t>
            </w:r>
            <w:r w:rsidR="00B97E4B">
              <w:rPr>
                <w:szCs w:val="24"/>
              </w:rPr>
              <w:t xml:space="preserve">. </w:t>
            </w:r>
          </w:p>
          <w:p w14:paraId="70FABB7B" w14:textId="00DC66A1" w:rsidR="00E53DE9" w:rsidRPr="002864E4" w:rsidRDefault="00B97E4B" w:rsidP="006E5E1C">
            <w:pPr>
              <w:pStyle w:val="Teksts1"/>
              <w:spacing w:after="120"/>
              <w:rPr>
                <w:szCs w:val="24"/>
                <w:lang w:eastAsia="lv-LV"/>
              </w:rPr>
            </w:pPr>
            <w:r>
              <w:rPr>
                <w:szCs w:val="24"/>
              </w:rPr>
              <w:t>Tāpat Noteikumu projekts</w:t>
            </w:r>
            <w:r w:rsidR="00934FAC">
              <w:rPr>
                <w:szCs w:val="24"/>
              </w:rPr>
              <w:t xml:space="preserve"> </w:t>
            </w:r>
            <w:r w:rsidR="00934FAC" w:rsidRPr="00934FAC">
              <w:rPr>
                <w:szCs w:val="24"/>
              </w:rPr>
              <w:t xml:space="preserve"> </w:t>
            </w:r>
            <w:r w:rsidR="00934FAC">
              <w:rPr>
                <w:szCs w:val="24"/>
              </w:rPr>
              <w:t>paredz</w:t>
            </w:r>
            <w:r w:rsidR="008F5CD7">
              <w:rPr>
                <w:szCs w:val="24"/>
              </w:rPr>
              <w:t xml:space="preserve"> prasības kredītiestādēm, kas</w:t>
            </w:r>
            <w:r w:rsidR="00934FAC">
              <w:rPr>
                <w:szCs w:val="24"/>
              </w:rPr>
              <w:t xml:space="preserve"> </w:t>
            </w:r>
            <w:r w:rsidR="008F5CD7">
              <w:rPr>
                <w:szCs w:val="24"/>
              </w:rPr>
              <w:t xml:space="preserve">ir </w:t>
            </w:r>
            <w:r w:rsidR="00934FAC" w:rsidRPr="00934FAC">
              <w:rPr>
                <w:szCs w:val="24"/>
              </w:rPr>
              <w:t>maksātnespējas vai likvidācijas (arī pašlikvidācijas) procesā</w:t>
            </w:r>
            <w:r w:rsidR="008F5CD7">
              <w:rPr>
                <w:szCs w:val="24"/>
              </w:rPr>
              <w:t xml:space="preserve">, </w:t>
            </w:r>
            <w:r w:rsidR="00A17CFD">
              <w:rPr>
                <w:szCs w:val="24"/>
              </w:rPr>
              <w:t>i</w:t>
            </w:r>
            <w:r w:rsidR="008F5CD7">
              <w:rPr>
                <w:szCs w:val="24"/>
              </w:rPr>
              <w:t>evērojot šādu kredītiestāžu darbības specifiku, lai atbilstoši izstrādātu sankcij</w:t>
            </w:r>
            <w:r w:rsidR="00A17CFD">
              <w:rPr>
                <w:szCs w:val="24"/>
              </w:rPr>
              <w:t>u</w:t>
            </w:r>
            <w:r w:rsidR="008F5CD7">
              <w:rPr>
                <w:szCs w:val="24"/>
              </w:rPr>
              <w:t xml:space="preserve"> riska iekšējās kontroles sistēmu un nodrošinātu atbilstošu </w:t>
            </w:r>
            <w:r w:rsidR="00934FAC" w:rsidRPr="00934FAC">
              <w:rPr>
                <w:szCs w:val="24"/>
              </w:rPr>
              <w:t xml:space="preserve">sankciju riska </w:t>
            </w:r>
            <w:r w:rsidR="008F5CD7" w:rsidRPr="00934FAC">
              <w:rPr>
                <w:szCs w:val="24"/>
              </w:rPr>
              <w:t>pārvaldīšan</w:t>
            </w:r>
            <w:r w:rsidR="008F5CD7">
              <w:rPr>
                <w:szCs w:val="24"/>
              </w:rPr>
              <w:t xml:space="preserve">u. </w:t>
            </w:r>
          </w:p>
        </w:tc>
      </w:tr>
      <w:tr w:rsidR="00B02250" w:rsidRPr="002864E4" w14:paraId="2653E741" w14:textId="77777777" w:rsidTr="00E253DA">
        <w:trPr>
          <w:trHeight w:val="567"/>
        </w:trPr>
        <w:tc>
          <w:tcPr>
            <w:tcW w:w="1796" w:type="pct"/>
            <w:shd w:val="clear" w:color="auto" w:fill="auto"/>
            <w:hideMark/>
          </w:tcPr>
          <w:p w14:paraId="75556528"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Samērīgums</w:t>
            </w:r>
          </w:p>
          <w:p w14:paraId="6816B401"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8B4D39" w14:textId="1775D49B" w:rsidR="00B02250" w:rsidRPr="00567932" w:rsidRDefault="00B02250" w:rsidP="006E5E1C">
            <w:pPr>
              <w:spacing w:after="120" w:line="240" w:lineRule="auto"/>
              <w:jc w:val="both"/>
              <w:rPr>
                <w:rFonts w:ascii="Times New Roman" w:hAnsi="Times New Roman" w:cs="Times New Roman"/>
                <w:sz w:val="24"/>
                <w:szCs w:val="24"/>
                <w:shd w:val="clear" w:color="auto" w:fill="FFFFFF"/>
              </w:rPr>
            </w:pPr>
            <w:r w:rsidRPr="004E3F4A">
              <w:rPr>
                <w:rFonts w:ascii="Times New Roman" w:hAnsi="Times New Roman" w:cs="Times New Roman"/>
                <w:sz w:val="24"/>
                <w:szCs w:val="24"/>
              </w:rPr>
              <w:t>Atbilstošākais veids, kā noteikt vienotas prasības</w:t>
            </w:r>
            <w:r w:rsidR="00567932" w:rsidRPr="008412F6">
              <w:rPr>
                <w:rFonts w:ascii="Times New Roman" w:hAnsi="Times New Roman" w:cs="Times New Roman"/>
                <w:sz w:val="24"/>
                <w:szCs w:val="24"/>
                <w:shd w:val="clear" w:color="auto" w:fill="FFFFFF"/>
              </w:rPr>
              <w:t xml:space="preserve"> metodoloģijai</w:t>
            </w:r>
            <w:r w:rsidR="00934FAC">
              <w:rPr>
                <w:rFonts w:ascii="Times New Roman" w:hAnsi="Times New Roman" w:cs="Times New Roman"/>
                <w:sz w:val="24"/>
                <w:szCs w:val="24"/>
                <w:shd w:val="clear" w:color="auto" w:fill="FFFFFF"/>
              </w:rPr>
              <w:t>, kā arī sankciju riska pārvaldīšanas iekšējās kontroles sistēmas izstrādei</w:t>
            </w:r>
            <w:r w:rsidR="00567932" w:rsidRPr="008412F6">
              <w:rPr>
                <w:rFonts w:ascii="Times New Roman" w:hAnsi="Times New Roman" w:cs="Times New Roman"/>
                <w:sz w:val="24"/>
                <w:szCs w:val="24"/>
                <w:shd w:val="clear" w:color="auto" w:fill="FFFFFF"/>
              </w:rPr>
              <w:t xml:space="preserve"> kredītiestādes likvidācijas (arī pašlikvidācijas) vai maksātnespējas procesā</w:t>
            </w:r>
            <w:r w:rsidR="00005331">
              <w:rPr>
                <w:rFonts w:ascii="Times New Roman" w:hAnsi="Times New Roman" w:cs="Times New Roman"/>
                <w:sz w:val="24"/>
                <w:szCs w:val="24"/>
                <w:shd w:val="clear" w:color="auto" w:fill="FFFFFF"/>
              </w:rPr>
              <w:t>,</w:t>
            </w:r>
            <w:r w:rsidR="00567932" w:rsidRPr="008412F6">
              <w:rPr>
                <w:rFonts w:ascii="Times New Roman" w:hAnsi="Times New Roman" w:cs="Times New Roman"/>
                <w:sz w:val="24"/>
                <w:szCs w:val="24"/>
                <w:shd w:val="clear" w:color="auto" w:fill="FFFFFF"/>
              </w:rPr>
              <w:t xml:space="preserve"> </w:t>
            </w:r>
            <w:r w:rsidR="00616063">
              <w:rPr>
                <w:rFonts w:ascii="Times New Roman" w:hAnsi="Times New Roman" w:cs="Times New Roman"/>
                <w:sz w:val="24"/>
                <w:szCs w:val="24"/>
                <w:shd w:val="clear" w:color="auto" w:fill="FFFFFF"/>
              </w:rPr>
              <w:t>ir izdot ārēju normatīvo aktu (noteikumus)</w:t>
            </w:r>
            <w:r w:rsidR="00567932" w:rsidRPr="008412F6">
              <w:rPr>
                <w:rFonts w:ascii="Times New Roman" w:hAnsi="Times New Roman" w:cs="Times New Roman"/>
                <w:sz w:val="24"/>
                <w:szCs w:val="24"/>
                <w:shd w:val="clear" w:color="auto" w:fill="FFFFFF"/>
              </w:rPr>
              <w:t>.</w:t>
            </w:r>
          </w:p>
          <w:p w14:paraId="541E5BBF" w14:textId="77777777" w:rsidR="00B02250" w:rsidRPr="004E3F4A" w:rsidRDefault="00B02250" w:rsidP="006E5E1C">
            <w:pPr>
              <w:autoSpaceDE w:val="0"/>
              <w:autoSpaceDN w:val="0"/>
              <w:adjustRightInd w:val="0"/>
              <w:spacing w:after="12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lastRenderedPageBreak/>
              <w:t>Noteikumu p</w:t>
            </w:r>
            <w:r w:rsidRPr="004E3F4A">
              <w:rPr>
                <w:rFonts w:ascii="Times New Roman" w:eastAsia="Times New Roman" w:hAnsi="Times New Roman" w:cs="Times New Roman"/>
                <w:sz w:val="24"/>
                <w:szCs w:val="24"/>
                <w:lang w:eastAsia="lv-LV"/>
              </w:rPr>
              <w:t xml:space="preserve">rojekts kopumā un tajā ietvertās tiesību normas atbilst </w:t>
            </w:r>
            <w:r w:rsidRPr="004E3F4A">
              <w:rPr>
                <w:rFonts w:ascii="Times New Roman" w:hAnsi="Times New Roman" w:cs="Times New Roman"/>
                <w:sz w:val="24"/>
                <w:szCs w:val="24"/>
              </w:rPr>
              <w:t>samērīguma principam, jo:</w:t>
            </w:r>
          </w:p>
          <w:p w14:paraId="2BB298A3" w14:textId="7C49382F" w:rsidR="00B02250" w:rsidRPr="004E3F4A" w:rsidRDefault="00B02250" w:rsidP="006E5E1C">
            <w:pPr>
              <w:pStyle w:val="NApunkts2"/>
              <w:numPr>
                <w:ilvl w:val="0"/>
                <w:numId w:val="5"/>
              </w:numPr>
              <w:tabs>
                <w:tab w:val="left" w:pos="269"/>
              </w:tabs>
              <w:spacing w:after="120"/>
              <w:ind w:left="0" w:firstLine="0"/>
            </w:pPr>
            <w:r w:rsidRPr="004E3F4A">
              <w:t xml:space="preserve">pirmkārt, ar </w:t>
            </w:r>
            <w:r w:rsidR="00CF1A09">
              <w:t>N</w:t>
            </w:r>
            <w:r>
              <w:t xml:space="preserve">oteikumu </w:t>
            </w:r>
            <w:r w:rsidRPr="004E3F4A">
              <w:t>projektu un tajā ietvertajām prasībām tiek sasniegts leģitīmais mērķis (citu personu tiesību un sabiedrības labklājības aizsardzība);</w:t>
            </w:r>
          </w:p>
          <w:p w14:paraId="7D966E6B" w14:textId="77777777" w:rsidR="00B02250" w:rsidRPr="004E3F4A" w:rsidRDefault="00B02250" w:rsidP="006E5E1C">
            <w:pPr>
              <w:pStyle w:val="NApunkts2"/>
              <w:numPr>
                <w:ilvl w:val="0"/>
                <w:numId w:val="5"/>
              </w:numPr>
              <w:tabs>
                <w:tab w:val="left" w:pos="269"/>
              </w:tabs>
              <w:spacing w:after="120"/>
              <w:ind w:left="0" w:firstLine="0"/>
            </w:pPr>
            <w:r w:rsidRPr="004E3F4A">
              <w:t xml:space="preserve">otrkārt, </w:t>
            </w:r>
            <w:r>
              <w:t xml:space="preserve">nav </w:t>
            </w:r>
            <w:r w:rsidRPr="004E3F4A">
              <w:t>tād</w:t>
            </w:r>
            <w:r>
              <w:t>u</w:t>
            </w:r>
            <w:r w:rsidRPr="004E3F4A">
              <w:t xml:space="preserve"> alternatīv</w:t>
            </w:r>
            <w:r>
              <w:t>u</w:t>
            </w:r>
            <w:r w:rsidRPr="004E3F4A">
              <w:t xml:space="preserve"> līdzekļ</w:t>
            </w:r>
            <w:r>
              <w:t>u</w:t>
            </w:r>
            <w:r w:rsidRPr="004E3F4A">
              <w:t xml:space="preserve">, </w:t>
            </w:r>
            <w:r>
              <w:t xml:space="preserve">lai </w:t>
            </w:r>
            <w:r w:rsidRPr="004E3F4A">
              <w:t>sasniegtu leģitīmo mērķi tādā pašā kvalitātē;</w:t>
            </w:r>
          </w:p>
          <w:p w14:paraId="0F16EA79" w14:textId="2007C903" w:rsidR="00B02250" w:rsidRPr="004E3F4A" w:rsidRDefault="00B02250" w:rsidP="006E5E1C">
            <w:pPr>
              <w:pStyle w:val="ListParagraph"/>
              <w:numPr>
                <w:ilvl w:val="0"/>
                <w:numId w:val="5"/>
              </w:numPr>
              <w:tabs>
                <w:tab w:val="left" w:pos="345"/>
              </w:tabs>
              <w:autoSpaceDE w:val="0"/>
              <w:autoSpaceDN w:val="0"/>
              <w:adjustRightInd w:val="0"/>
              <w:spacing w:after="120" w:line="240" w:lineRule="auto"/>
              <w:ind w:left="0" w:firstLine="0"/>
              <w:contextualSpacing w:val="0"/>
              <w:jc w:val="both"/>
              <w:rPr>
                <w:rFonts w:ascii="Times New Roman" w:hAnsi="Times New Roman" w:cs="Times New Roman"/>
                <w:sz w:val="24"/>
                <w:szCs w:val="24"/>
              </w:rPr>
            </w:pPr>
            <w:r w:rsidRPr="004E3F4A">
              <w:rPr>
                <w:rFonts w:ascii="Times New Roman" w:eastAsia="Times New Roman" w:hAnsi="Times New Roman" w:cs="Times New Roman"/>
                <w:sz w:val="24"/>
                <w:szCs w:val="24"/>
                <w:lang w:eastAsia="lv-LV"/>
              </w:rPr>
              <w:t xml:space="preserve">treškārt, labums, ko iegūs sabiedrība, būs lielāks par </w:t>
            </w:r>
            <w:r w:rsidR="00CF1A09">
              <w:rPr>
                <w:rFonts w:ascii="Times New Roman" w:eastAsia="Times New Roman" w:hAnsi="Times New Roman" w:cs="Times New Roman"/>
                <w:sz w:val="24"/>
                <w:szCs w:val="24"/>
                <w:lang w:eastAsia="lv-LV"/>
              </w:rPr>
              <w:t xml:space="preserve">Noteikumu </w:t>
            </w:r>
            <w:r w:rsidRPr="004E3F4A">
              <w:rPr>
                <w:rFonts w:ascii="Times New Roman" w:hAnsi="Times New Roman" w:cs="Times New Roman"/>
                <w:sz w:val="24"/>
                <w:szCs w:val="24"/>
              </w:rPr>
              <w:t>projektā</w:t>
            </w:r>
            <w:r w:rsidRPr="004E3F4A">
              <w:rPr>
                <w:rFonts w:ascii="Times New Roman" w:eastAsia="Times New Roman" w:hAnsi="Times New Roman" w:cs="Times New Roman"/>
                <w:sz w:val="24"/>
                <w:szCs w:val="24"/>
                <w:lang w:eastAsia="lv-LV"/>
              </w:rPr>
              <w:t xml:space="preserve"> ietverto prasību radītajām</w:t>
            </w:r>
            <w:r w:rsidRPr="004E3F4A">
              <w:rPr>
                <w:rFonts w:ascii="Times New Roman" w:hAnsi="Times New Roman" w:cs="Times New Roman"/>
                <w:sz w:val="24"/>
                <w:szCs w:val="24"/>
              </w:rPr>
              <w:t xml:space="preserve"> negatīvajām sekām.</w:t>
            </w:r>
          </w:p>
          <w:p w14:paraId="2A7F90EE" w14:textId="3BA4ED94" w:rsidR="00653AA5" w:rsidRDefault="00F719FC" w:rsidP="00F719FC">
            <w:pPr>
              <w:pStyle w:val="NApunkts2"/>
              <w:numPr>
                <w:ilvl w:val="0"/>
                <w:numId w:val="0"/>
              </w:numPr>
              <w:spacing w:after="120"/>
            </w:pPr>
            <w:r w:rsidRPr="00F719FC">
              <w:t>Noteikumu projekts nodrošina, ka Latvijas Banka var nodrošināt, ka maksātnespējas procesa administrators vai likvidators tam Kredītiestāžu likumā noteiktos pienākumus veiks, ievērojot vispārējās prasības par metodoloģijas saturu noziedzīgi iegūtu līdzekļu legalizācijas un terorisma un proliferācijas finansēšanas risk</w:t>
            </w:r>
            <w:r w:rsidR="001C2287">
              <w:t>a</w:t>
            </w:r>
            <w:r w:rsidRPr="00F719FC">
              <w:t xml:space="preserve"> pārvaldīšanas jomā. Šā mērķa sasniegšanai nav alternatīvu līdzekļu, jo Kredītiestāžu likums paredz tiešu deleģējumu Latvijas Bankai noteikt prasības attiecīgajās jomās, ko var īstenot, izdodot noteikumus</w:t>
            </w:r>
            <w:r w:rsidR="00B02250">
              <w:t>.</w:t>
            </w:r>
            <w:r w:rsidR="00934FAC">
              <w:t xml:space="preserve"> </w:t>
            </w:r>
          </w:p>
          <w:p w14:paraId="7D2DD123" w14:textId="4DE6066F" w:rsidR="00B02250" w:rsidRDefault="00934FAC" w:rsidP="00A17CFD">
            <w:pPr>
              <w:pStyle w:val="NApunkts2"/>
              <w:numPr>
                <w:ilvl w:val="0"/>
                <w:numId w:val="0"/>
              </w:numPr>
              <w:spacing w:after="120"/>
            </w:pPr>
            <w:r>
              <w:t xml:space="preserve">Savukārt </w:t>
            </w:r>
            <w:r>
              <w:rPr>
                <w:shd w:val="clear" w:color="auto" w:fill="FFFFFF"/>
              </w:rPr>
              <w:t>sankciju riska pārvaldīšanas iekšējās kontroles sistēmas izstrāde</w:t>
            </w:r>
            <w:r w:rsidR="00653AA5">
              <w:rPr>
                <w:shd w:val="clear" w:color="auto" w:fill="FFFFFF"/>
              </w:rPr>
              <w:t xml:space="preserve"> atbilstoši Noteikumu projekta prasībām</w:t>
            </w:r>
            <w:r w:rsidRPr="008412F6">
              <w:rPr>
                <w:shd w:val="clear" w:color="auto" w:fill="FFFFFF"/>
              </w:rPr>
              <w:t xml:space="preserve"> kredītiestādes likvidācijas (arī pašlikvidācijas) vai maksātnespējas procesā</w:t>
            </w:r>
            <w:r>
              <w:rPr>
                <w:shd w:val="clear" w:color="auto" w:fill="FFFFFF"/>
              </w:rPr>
              <w:t xml:space="preserve"> nodrošinās, ka sankciju risks tiek identificēts un pārvaldīts</w:t>
            </w:r>
            <w:r w:rsidR="00653AA5">
              <w:rPr>
                <w:shd w:val="clear" w:color="auto" w:fill="FFFFFF"/>
              </w:rPr>
              <w:t>, ievērojot kredītiestādes, kas ir likvidācijas (arī pašlikvidācijas) vai maksātnespējas procesā</w:t>
            </w:r>
            <w:r w:rsidR="00A17CFD">
              <w:rPr>
                <w:shd w:val="clear" w:color="auto" w:fill="FFFFFF"/>
              </w:rPr>
              <w:t>,</w:t>
            </w:r>
            <w:r w:rsidR="00653AA5">
              <w:rPr>
                <w:shd w:val="clear" w:color="auto" w:fill="FFFFFF"/>
              </w:rPr>
              <w:t xml:space="preserve"> </w:t>
            </w:r>
            <w:r w:rsidR="00A17CFD">
              <w:rPr>
                <w:shd w:val="clear" w:color="auto" w:fill="FFFFFF"/>
              </w:rPr>
              <w:t xml:space="preserve">darbības </w:t>
            </w:r>
            <w:r w:rsidR="00653AA5">
              <w:rPr>
                <w:shd w:val="clear" w:color="auto" w:fill="FFFFFF"/>
              </w:rPr>
              <w:t>specifiku.</w:t>
            </w:r>
            <w:r>
              <w:rPr>
                <w:shd w:val="clear" w:color="auto" w:fill="FFFFFF"/>
              </w:rPr>
              <w:t xml:space="preserve"> </w:t>
            </w:r>
            <w:r w:rsidR="006E7C02">
              <w:rPr>
                <w:shd w:val="clear" w:color="auto" w:fill="FFFFFF"/>
              </w:rPr>
              <w:t>Arī š</w:t>
            </w:r>
            <w:r w:rsidR="006E7C02">
              <w:t>ā mērķa sasniegšanai nav</w:t>
            </w:r>
            <w:r w:rsidR="006E7C02" w:rsidRPr="00863805">
              <w:t xml:space="preserve"> alternatīv</w:t>
            </w:r>
            <w:r w:rsidR="006E7C02">
              <w:t>u</w:t>
            </w:r>
            <w:r w:rsidR="006E7C02" w:rsidRPr="00863805">
              <w:t xml:space="preserve"> līdzekļ</w:t>
            </w:r>
            <w:r w:rsidR="006E7C02">
              <w:t>u</w:t>
            </w:r>
            <w:r w:rsidR="006E7C02" w:rsidRPr="00863805">
              <w:t xml:space="preserve">, jo </w:t>
            </w:r>
            <w:r w:rsidR="006E7C02" w:rsidRPr="006E7C02">
              <w:t xml:space="preserve">Starptautisko un Latvijas Republikas nacionālo sankciju </w:t>
            </w:r>
            <w:r w:rsidR="006E7C02">
              <w:t xml:space="preserve">likums </w:t>
            </w:r>
            <w:r w:rsidR="006E7C02" w:rsidRPr="00863805">
              <w:t>paredz tiešu deleģējumu Latvijas Bankai</w:t>
            </w:r>
            <w:r w:rsidR="006E7C02">
              <w:t xml:space="preserve"> noteikt prasības attiecīgajās jomās, ko var īstenot, izdodot noteikumus.</w:t>
            </w:r>
            <w:r w:rsidR="00653AA5">
              <w:t xml:space="preserve"> Savukārt spēkā esošie Latvijas Bankas </w:t>
            </w:r>
            <w:r w:rsidR="004F1B5B">
              <w:t xml:space="preserve">2024. gada 25. marta </w:t>
            </w:r>
            <w:r w:rsidR="00653AA5">
              <w:t>noteikumi Nr.</w:t>
            </w:r>
            <w:r w:rsidR="004F1B5B">
              <w:t> </w:t>
            </w:r>
            <w:r w:rsidR="00653AA5">
              <w:t xml:space="preserve">277 </w:t>
            </w:r>
            <w:r w:rsidR="004F1B5B" w:rsidRPr="004F1B5B">
              <w:t>"</w:t>
            </w:r>
            <w:r w:rsidR="00653AA5" w:rsidRPr="00A17CFD">
              <w:t>Sankciju riska pārvaldīšanas iekšējās kontroles sistēmas izveides un kontroles prasības</w:t>
            </w:r>
            <w:r w:rsidR="004F1B5B" w:rsidRPr="004F1B5B">
              <w:t>"</w:t>
            </w:r>
            <w:r w:rsidR="00653AA5">
              <w:t xml:space="preserve"> ir izdoti finanšu tirgus dalībniekiem, kas veic aktīvu saimniecisko darbību, un kuru darbības speci</w:t>
            </w:r>
            <w:r w:rsidR="001553F6">
              <w:t>f</w:t>
            </w:r>
            <w:r w:rsidR="00653AA5">
              <w:t>ika atšķiras no kredītiestādes, kas ir likvidācijas (arī pašlikvidācijas) vai maksātnespējas procesā, darbības modeļa, tādēļ nav vienādi piemērojam</w:t>
            </w:r>
            <w:r w:rsidR="00A17CFD">
              <w:t>i</w:t>
            </w:r>
            <w:r w:rsidR="00653AA5">
              <w:t xml:space="preserve"> attiecībā uz likvidējamu kredītiestādi. </w:t>
            </w:r>
          </w:p>
          <w:p w14:paraId="4A046999" w14:textId="019356E5" w:rsidR="00B02250" w:rsidRPr="00B02250" w:rsidRDefault="00B02250" w:rsidP="002F3578">
            <w:pPr>
              <w:pStyle w:val="NApunkts2"/>
              <w:numPr>
                <w:ilvl w:val="0"/>
                <w:numId w:val="0"/>
              </w:numPr>
              <w:spacing w:after="120"/>
            </w:pPr>
            <w:r w:rsidRPr="007E4315">
              <w:t>Atbilstošākais veids, kā noteikt vienotas un saistošas prasības</w:t>
            </w:r>
            <w:r w:rsidR="008D39D2">
              <w:t xml:space="preserve"> attiecībā uz noziedzīgi iegūtu līdzekļu legalizācijas un terorisma un proliferācijas finansēšanas un sankcij</w:t>
            </w:r>
            <w:r w:rsidR="00A17CFD">
              <w:t>u</w:t>
            </w:r>
            <w:r w:rsidR="008D39D2">
              <w:t xml:space="preserve"> riska pārvaldīšanu</w:t>
            </w:r>
            <w:r w:rsidRPr="007E4315">
              <w:t xml:space="preserve">, ir izdot saistošus noteikumus. Citas alternatīvas jautājuma noregulēšanai un vienotu prasību noteikšanai nebūtu efektīvas un nesasniegtu izvirzīto </w:t>
            </w:r>
            <w:r w:rsidRPr="00235C65">
              <w:t>mērķi, jo nenodrošinātu minēto prasību vienveidīgu piemērošanu.</w:t>
            </w:r>
          </w:p>
        </w:tc>
      </w:tr>
      <w:tr w:rsidR="00B02250" w:rsidRPr="002864E4" w14:paraId="491DBA69" w14:textId="77777777" w:rsidTr="00E253DA">
        <w:trPr>
          <w:trHeight w:val="567"/>
        </w:trPr>
        <w:tc>
          <w:tcPr>
            <w:tcW w:w="1796" w:type="pct"/>
            <w:shd w:val="clear" w:color="auto" w:fill="auto"/>
            <w:hideMark/>
          </w:tcPr>
          <w:p w14:paraId="7BDB65D4"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lastRenderedPageBreak/>
              <w:t>Spēkā stāšanās</w:t>
            </w:r>
          </w:p>
          <w:p w14:paraId="2ADE5F37"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FF79BB8" w14:textId="2C716FDC" w:rsidR="00B02250" w:rsidRPr="002864E4" w:rsidRDefault="007A52DB" w:rsidP="006E5E1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stāsies spēkā </w:t>
            </w:r>
            <w:r w:rsidR="00B02250" w:rsidRPr="002864E4">
              <w:rPr>
                <w:rFonts w:ascii="Times New Roman" w:eastAsia="Times New Roman" w:hAnsi="Times New Roman" w:cs="Times New Roman"/>
                <w:sz w:val="24"/>
                <w:szCs w:val="24"/>
                <w:lang w:eastAsia="lv-LV"/>
              </w:rPr>
              <w:t>2025.</w:t>
            </w:r>
            <w:r w:rsidR="006E5E1C">
              <w:rPr>
                <w:rFonts w:ascii="Times New Roman" w:eastAsia="Times New Roman" w:hAnsi="Times New Roman" w:cs="Times New Roman"/>
                <w:sz w:val="24"/>
                <w:szCs w:val="24"/>
                <w:lang w:eastAsia="lv-LV"/>
              </w:rPr>
              <w:t> </w:t>
            </w:r>
            <w:r w:rsidR="00B02250" w:rsidRPr="002864E4">
              <w:rPr>
                <w:rFonts w:ascii="Times New Roman" w:eastAsia="Times New Roman" w:hAnsi="Times New Roman" w:cs="Times New Roman"/>
                <w:sz w:val="24"/>
                <w:szCs w:val="24"/>
                <w:lang w:eastAsia="lv-LV"/>
              </w:rPr>
              <w:t>gada 1.</w:t>
            </w:r>
            <w:r w:rsidR="006E5E1C">
              <w:rPr>
                <w:rFonts w:ascii="Times New Roman" w:eastAsia="Times New Roman" w:hAnsi="Times New Roman" w:cs="Times New Roman"/>
                <w:sz w:val="24"/>
                <w:szCs w:val="24"/>
                <w:lang w:eastAsia="lv-LV"/>
              </w:rPr>
              <w:t> </w:t>
            </w:r>
            <w:r w:rsidR="00B02250" w:rsidRPr="002864E4">
              <w:rPr>
                <w:rFonts w:ascii="Times New Roman" w:eastAsia="Times New Roman" w:hAnsi="Times New Roman" w:cs="Times New Roman"/>
                <w:sz w:val="24"/>
                <w:szCs w:val="24"/>
                <w:lang w:eastAsia="lv-LV"/>
              </w:rPr>
              <w:t xml:space="preserve">janvārī, zaudējot spēku </w:t>
            </w:r>
            <w:r w:rsidR="006E5E1C">
              <w:rPr>
                <w:rFonts w:ascii="Times New Roman" w:eastAsia="Times New Roman" w:hAnsi="Times New Roman" w:cs="Times New Roman"/>
                <w:sz w:val="24"/>
                <w:szCs w:val="24"/>
                <w:lang w:eastAsia="lv-LV"/>
              </w:rPr>
              <w:t>N</w:t>
            </w:r>
            <w:r w:rsidR="006E5E1C" w:rsidRPr="002864E4">
              <w:rPr>
                <w:rFonts w:ascii="Times New Roman" w:eastAsia="Times New Roman" w:hAnsi="Times New Roman" w:cs="Times New Roman"/>
                <w:sz w:val="24"/>
                <w:szCs w:val="24"/>
                <w:lang w:eastAsia="lv-LV"/>
              </w:rPr>
              <w:t>oteikumiem Nr.</w:t>
            </w:r>
            <w:r w:rsidR="006E5E1C">
              <w:rPr>
                <w:rFonts w:ascii="Times New Roman" w:eastAsia="Times New Roman" w:hAnsi="Times New Roman" w:cs="Times New Roman"/>
                <w:sz w:val="24"/>
                <w:szCs w:val="24"/>
                <w:lang w:eastAsia="lv-LV"/>
              </w:rPr>
              <w:t> </w:t>
            </w:r>
            <w:r w:rsidR="006E5E1C" w:rsidRPr="00912695">
              <w:rPr>
                <w:rFonts w:ascii="Times New Roman" w:eastAsia="Times New Roman" w:hAnsi="Times New Roman" w:cs="Times New Roman"/>
                <w:sz w:val="24"/>
                <w:szCs w:val="24"/>
                <w:lang w:eastAsia="lv-LV"/>
              </w:rPr>
              <w:t>127</w:t>
            </w:r>
            <w:r w:rsidRPr="00912695">
              <w:rPr>
                <w:rFonts w:ascii="Times New Roman" w:eastAsia="Times New Roman" w:hAnsi="Times New Roman" w:cs="Times New Roman"/>
                <w:sz w:val="24"/>
                <w:szCs w:val="24"/>
                <w:lang w:eastAsia="lv-LV"/>
              </w:rPr>
              <w:t>.</w:t>
            </w:r>
          </w:p>
        </w:tc>
      </w:tr>
      <w:tr w:rsidR="00B02250" w:rsidRPr="002864E4" w14:paraId="0CCFA44D" w14:textId="77777777" w:rsidTr="00E253DA">
        <w:trPr>
          <w:trHeight w:val="567"/>
        </w:trPr>
        <w:tc>
          <w:tcPr>
            <w:tcW w:w="1796" w:type="pct"/>
            <w:shd w:val="clear" w:color="auto" w:fill="auto"/>
            <w:hideMark/>
          </w:tcPr>
          <w:p w14:paraId="14851C73"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Ietekme uz Latvijas Bankas budžetu</w:t>
            </w:r>
          </w:p>
          <w:p w14:paraId="51A11422"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B8E4A93" w14:textId="75F478A0" w:rsidR="00B02250" w:rsidRPr="002864E4" w:rsidRDefault="007A52DB" w:rsidP="006E5E1C">
            <w:pPr>
              <w:spacing w:after="120" w:line="240" w:lineRule="auto"/>
              <w:jc w:val="both"/>
              <w:rPr>
                <w:rFonts w:ascii="Times New Roman" w:eastAsia="Times New Roman" w:hAnsi="Times New Roman" w:cs="Times New Roman"/>
                <w:sz w:val="24"/>
                <w:szCs w:val="24"/>
                <w:lang w:eastAsia="lv-LV"/>
              </w:rPr>
            </w:pPr>
            <w:r w:rsidRPr="00E7790B">
              <w:rPr>
                <w:rFonts w:ascii="Times New Roman" w:eastAsia="Times New Roman" w:hAnsi="Times New Roman" w:cs="Times New Roman"/>
                <w:sz w:val="24"/>
                <w:szCs w:val="24"/>
              </w:rPr>
              <w:t>Noteikumu projekts neietekmē Latvijas Bankas budžeta ieņēmumus un izdevumus.</w:t>
            </w:r>
          </w:p>
        </w:tc>
      </w:tr>
      <w:tr w:rsidR="00B02250" w:rsidRPr="002864E4" w14:paraId="52C532EB" w14:textId="77777777" w:rsidTr="00E253DA">
        <w:trPr>
          <w:trHeight w:val="567"/>
        </w:trPr>
        <w:tc>
          <w:tcPr>
            <w:tcW w:w="1796" w:type="pct"/>
            <w:shd w:val="clear" w:color="auto" w:fill="auto"/>
            <w:hideMark/>
          </w:tcPr>
          <w:p w14:paraId="14DEC89C"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Administratīvā sloga un izmaksu novērtējums (tirgus dalībniekiem)</w:t>
            </w:r>
          </w:p>
          <w:p w14:paraId="41C2C9B6"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465DB22" w14:textId="270FFA67" w:rsidR="007A52DB" w:rsidRDefault="007A52DB" w:rsidP="006E5E1C">
            <w:pPr>
              <w:pStyle w:val="Default"/>
              <w:spacing w:after="120"/>
              <w:jc w:val="both"/>
            </w:pPr>
            <w:r w:rsidRPr="00A71226">
              <w:t>Noteikumu projektā paredzētās prasības nerada papildu administratīvo slogu finanšu tirgus dalībniekiem</w:t>
            </w:r>
            <w:r w:rsidR="001021C4">
              <w:t>.</w:t>
            </w:r>
          </w:p>
          <w:p w14:paraId="68C11811" w14:textId="1217C178" w:rsidR="00B02250" w:rsidRPr="002864E4" w:rsidRDefault="00B02250" w:rsidP="006E5E1C">
            <w:pPr>
              <w:spacing w:after="120" w:line="240" w:lineRule="auto"/>
              <w:jc w:val="both"/>
              <w:rPr>
                <w:rFonts w:ascii="Times New Roman" w:eastAsia="Times New Roman" w:hAnsi="Times New Roman" w:cs="Times New Roman"/>
                <w:sz w:val="24"/>
                <w:szCs w:val="24"/>
                <w:lang w:eastAsia="lv-LV"/>
              </w:rPr>
            </w:pPr>
          </w:p>
        </w:tc>
      </w:tr>
      <w:tr w:rsidR="00B02250" w:rsidRPr="002864E4" w14:paraId="5E2023EA" w14:textId="77777777" w:rsidTr="00E253DA">
        <w:trPr>
          <w:trHeight w:val="567"/>
        </w:trPr>
        <w:tc>
          <w:tcPr>
            <w:tcW w:w="1796" w:type="pct"/>
            <w:shd w:val="clear" w:color="auto" w:fill="auto"/>
            <w:hideMark/>
          </w:tcPr>
          <w:p w14:paraId="723F4D0A"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Saistītie dokumenti</w:t>
            </w:r>
          </w:p>
          <w:p w14:paraId="017B7983"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3F97B5D" w14:textId="33FED827" w:rsidR="007A52DB" w:rsidRDefault="006E5E1C" w:rsidP="006E5E1C">
            <w:pPr>
              <w:pStyle w:val="ListParagraph"/>
              <w:numPr>
                <w:ilvl w:val="0"/>
                <w:numId w:val="7"/>
              </w:numPr>
              <w:tabs>
                <w:tab w:val="left" w:pos="316"/>
              </w:tabs>
              <w:spacing w:after="120" w:line="240" w:lineRule="auto"/>
              <w:ind w:left="0" w:firstLine="0"/>
              <w:contextualSpacing w:val="0"/>
              <w:jc w:val="both"/>
              <w:rPr>
                <w:rFonts w:ascii="Times New Roman" w:eastAsia="Times New Roman" w:hAnsi="Times New Roman" w:cs="Times New Roman"/>
                <w:sz w:val="24"/>
                <w:szCs w:val="24"/>
                <w:lang w:eastAsia="lv-LV"/>
              </w:rPr>
            </w:pPr>
            <w:hyperlink r:id="rId11" w:history="1">
              <w:r>
                <w:rPr>
                  <w:rStyle w:val="Hyperlink"/>
                  <w:rFonts w:ascii="Times New Roman" w:hAnsi="Times New Roman" w:cs="Times New Roman"/>
                  <w:sz w:val="24"/>
                  <w:szCs w:val="24"/>
                </w:rPr>
                <w:t>Kredītiestāžu likums</w:t>
              </w:r>
            </w:hyperlink>
            <w:r w:rsidR="007A52DB">
              <w:rPr>
                <w:rFonts w:ascii="Times New Roman" w:eastAsia="Times New Roman" w:hAnsi="Times New Roman" w:cs="Times New Roman"/>
                <w:sz w:val="24"/>
                <w:szCs w:val="24"/>
                <w:lang w:eastAsia="lv-LV"/>
              </w:rPr>
              <w:t>;</w:t>
            </w:r>
          </w:p>
          <w:p w14:paraId="05DAD78D" w14:textId="4C1FD495" w:rsidR="006E7C02" w:rsidRPr="00A17CFD" w:rsidRDefault="004F1B5B" w:rsidP="006E5E1C">
            <w:pPr>
              <w:pStyle w:val="ListParagraph"/>
              <w:numPr>
                <w:ilvl w:val="0"/>
                <w:numId w:val="7"/>
              </w:numPr>
              <w:tabs>
                <w:tab w:val="left" w:pos="316"/>
              </w:tabs>
              <w:spacing w:after="120" w:line="240" w:lineRule="auto"/>
              <w:ind w:left="0" w:firstLine="0"/>
              <w:contextualSpacing w:val="0"/>
              <w:jc w:val="both"/>
              <w:rPr>
                <w:rStyle w:val="Hyperlink"/>
                <w:rFonts w:ascii="Times New Roman" w:eastAsia="Times New Roman" w:hAnsi="Times New Roman" w:cs="Times New Roman"/>
                <w:color w:val="auto"/>
                <w:sz w:val="24"/>
                <w:szCs w:val="24"/>
                <w:u w:val="none"/>
                <w:lang w:eastAsia="lv-LV"/>
              </w:rPr>
            </w:pPr>
            <w:hyperlink r:id="rId12" w:history="1">
              <w:r>
                <w:rPr>
                  <w:rStyle w:val="Hyperlink"/>
                  <w:rFonts w:ascii="Times New Roman" w:eastAsia="Times New Roman" w:hAnsi="Times New Roman" w:cs="Times New Roman"/>
                  <w:sz w:val="24"/>
                  <w:szCs w:val="24"/>
                  <w:lang w:eastAsia="lv-LV"/>
                </w:rPr>
                <w:t>Starptautisko un Latvijas Republikas nacionālo sankciju likums</w:t>
              </w:r>
            </w:hyperlink>
            <w:r>
              <w:rPr>
                <w:rStyle w:val="Hyperlink"/>
                <w:rFonts w:ascii="Times New Roman" w:eastAsia="Times New Roman" w:hAnsi="Times New Roman" w:cs="Times New Roman"/>
                <w:sz w:val="24"/>
                <w:szCs w:val="24"/>
                <w:lang w:eastAsia="lv-LV"/>
              </w:rPr>
              <w:t>;</w:t>
            </w:r>
          </w:p>
          <w:p w14:paraId="5049B859" w14:textId="226D6EA5" w:rsidR="001553F6" w:rsidRPr="00A17CFD" w:rsidRDefault="004F1B5B" w:rsidP="006E5E1C">
            <w:pPr>
              <w:pStyle w:val="ListParagraph"/>
              <w:numPr>
                <w:ilvl w:val="0"/>
                <w:numId w:val="7"/>
              </w:numPr>
              <w:tabs>
                <w:tab w:val="left" w:pos="316"/>
              </w:tabs>
              <w:spacing w:after="120" w:line="240" w:lineRule="auto"/>
              <w:ind w:left="0" w:firstLine="0"/>
              <w:contextualSpacing w:val="0"/>
              <w:jc w:val="both"/>
              <w:rPr>
                <w:rStyle w:val="Hyperlink"/>
              </w:rPr>
            </w:pPr>
            <w:hyperlink r:id="rId13" w:history="1">
              <w:r>
                <w:rPr>
                  <w:rStyle w:val="Hyperlink"/>
                  <w:rFonts w:ascii="Times New Roman" w:eastAsia="Times New Roman" w:hAnsi="Times New Roman" w:cs="Times New Roman"/>
                  <w:sz w:val="24"/>
                  <w:szCs w:val="24"/>
                  <w:lang w:eastAsia="lv-LV"/>
                </w:rPr>
                <w:t xml:space="preserve">Latvijas Bankas 2024. gada 25. marta noteikumi Nr. 277 </w:t>
              </w:r>
              <w:r w:rsidRPr="004F1B5B">
                <w:rPr>
                  <w:rFonts w:ascii="Times New Roman" w:hAnsi="Times New Roman" w:cs="Times New Roman"/>
                  <w:sz w:val="24"/>
                  <w:szCs w:val="24"/>
                </w:rPr>
                <w:t>"</w:t>
              </w:r>
              <w:r>
                <w:rPr>
                  <w:rStyle w:val="Hyperlink"/>
                  <w:rFonts w:ascii="Times New Roman" w:eastAsia="Times New Roman" w:hAnsi="Times New Roman" w:cs="Times New Roman"/>
                  <w:sz w:val="24"/>
                  <w:szCs w:val="24"/>
                  <w:lang w:eastAsia="lv-LV"/>
                </w:rPr>
                <w:t>Sankciju riska pārvaldīšanas iekšējās kontroles sistēmas izveides un kontroles prasības</w:t>
              </w:r>
              <w:r w:rsidRPr="004F1B5B">
                <w:rPr>
                  <w:rFonts w:ascii="Times New Roman" w:hAnsi="Times New Roman" w:cs="Times New Roman"/>
                  <w:sz w:val="24"/>
                  <w:szCs w:val="24"/>
                </w:rPr>
                <w:t>"</w:t>
              </w:r>
            </w:hyperlink>
            <w:r>
              <w:rPr>
                <w:rStyle w:val="Hyperlink"/>
                <w:rFonts w:ascii="Times New Roman" w:eastAsia="Times New Roman" w:hAnsi="Times New Roman" w:cs="Times New Roman"/>
                <w:sz w:val="24"/>
                <w:szCs w:val="24"/>
                <w:lang w:eastAsia="lv-LV"/>
              </w:rPr>
              <w:t>;</w:t>
            </w:r>
          </w:p>
          <w:p w14:paraId="78F15A3F" w14:textId="52B726A2" w:rsidR="00C5201C" w:rsidRPr="007A52DB" w:rsidRDefault="006E5E1C" w:rsidP="006E5E1C">
            <w:pPr>
              <w:pStyle w:val="ListParagraph"/>
              <w:numPr>
                <w:ilvl w:val="0"/>
                <w:numId w:val="7"/>
              </w:numPr>
              <w:tabs>
                <w:tab w:val="left" w:pos="316"/>
              </w:tabs>
              <w:spacing w:after="120" w:line="240" w:lineRule="auto"/>
              <w:ind w:left="0" w:firstLine="0"/>
              <w:contextualSpacing w:val="0"/>
              <w:jc w:val="both"/>
              <w:rPr>
                <w:rFonts w:ascii="Times New Roman" w:eastAsia="Times New Roman" w:hAnsi="Times New Roman" w:cs="Times New Roman"/>
                <w:sz w:val="24"/>
                <w:szCs w:val="24"/>
                <w:lang w:eastAsia="lv-LV"/>
              </w:rPr>
            </w:pPr>
            <w:hyperlink r:id="rId14" w:history="1">
              <w:r>
                <w:rPr>
                  <w:rStyle w:val="Hyperlink"/>
                  <w:rFonts w:ascii="Times New Roman" w:hAnsi="Times New Roman" w:cs="Times New Roman"/>
                  <w:sz w:val="24"/>
                  <w:szCs w:val="24"/>
                </w:rPr>
                <w:t>Noteikumi Nr. 127</w:t>
              </w:r>
            </w:hyperlink>
            <w:r>
              <w:rPr>
                <w:rStyle w:val="Hyperlink"/>
                <w:rFonts w:ascii="Times New Roman" w:hAnsi="Times New Roman" w:cs="Times New Roman"/>
                <w:sz w:val="24"/>
                <w:szCs w:val="24"/>
              </w:rPr>
              <w:t>.</w:t>
            </w:r>
          </w:p>
        </w:tc>
      </w:tr>
      <w:tr w:rsidR="00B02250" w:rsidRPr="002864E4" w14:paraId="41E0B5C3" w14:textId="77777777" w:rsidTr="00E253DA">
        <w:trPr>
          <w:trHeight w:val="567"/>
        </w:trPr>
        <w:tc>
          <w:tcPr>
            <w:tcW w:w="1796" w:type="pct"/>
            <w:shd w:val="clear" w:color="auto" w:fill="auto"/>
            <w:hideMark/>
          </w:tcPr>
          <w:p w14:paraId="120EA526"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Saskaņošana ar Eiropas Centrālo banku</w:t>
            </w:r>
          </w:p>
          <w:p w14:paraId="56E24DD0"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2D00871" w14:textId="4968E305" w:rsidR="00B02250" w:rsidRPr="002864E4" w:rsidRDefault="00B02250" w:rsidP="006E5E1C">
            <w:pPr>
              <w:spacing w:after="120" w:line="240" w:lineRule="auto"/>
              <w:jc w:val="both"/>
              <w:rPr>
                <w:rFonts w:ascii="Times New Roman" w:eastAsia="Times New Roman" w:hAnsi="Times New Roman" w:cs="Times New Roman"/>
                <w:sz w:val="24"/>
                <w:szCs w:val="24"/>
                <w:lang w:eastAsia="lv-LV"/>
              </w:rPr>
            </w:pPr>
            <w:r w:rsidRPr="002864E4">
              <w:rPr>
                <w:rFonts w:ascii="Times New Roman" w:eastAsia="Times New Roman" w:hAnsi="Times New Roman" w:cs="Times New Roman"/>
                <w:sz w:val="24"/>
                <w:szCs w:val="24"/>
                <w:lang w:eastAsia="lv-LV"/>
              </w:rPr>
              <w:t>Nav nepieciešama</w:t>
            </w:r>
            <w:r w:rsidR="00FF48D1">
              <w:rPr>
                <w:rFonts w:ascii="Times New Roman" w:eastAsia="Times New Roman" w:hAnsi="Times New Roman" w:cs="Times New Roman"/>
                <w:sz w:val="24"/>
                <w:szCs w:val="24"/>
                <w:lang w:eastAsia="lv-LV"/>
              </w:rPr>
              <w:t>.</w:t>
            </w:r>
          </w:p>
        </w:tc>
      </w:tr>
      <w:tr w:rsidR="00B02250" w:rsidRPr="002864E4" w14:paraId="6D4723D2" w14:textId="77777777" w:rsidTr="00E253DA">
        <w:trPr>
          <w:trHeight w:val="567"/>
        </w:trPr>
        <w:tc>
          <w:tcPr>
            <w:tcW w:w="1796" w:type="pct"/>
            <w:shd w:val="clear" w:color="auto" w:fill="auto"/>
            <w:hideMark/>
          </w:tcPr>
          <w:p w14:paraId="64A9C418"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Saskaņošana ar citām publiskām un privātām personām</w:t>
            </w:r>
          </w:p>
          <w:p w14:paraId="5FD4A6C8" w14:textId="77777777" w:rsidR="00B02250" w:rsidRPr="002864E4" w:rsidRDefault="00B02250" w:rsidP="00B02250">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53EDCD8" w14:textId="19396399" w:rsidR="00917AF4" w:rsidRPr="00917AF4" w:rsidRDefault="00917AF4" w:rsidP="006E5E1C">
            <w:pPr>
              <w:spacing w:after="120" w:line="240" w:lineRule="auto"/>
              <w:jc w:val="both"/>
              <w:rPr>
                <w:rFonts w:ascii="Times New Roman" w:hAnsi="Times New Roman" w:cs="Times New Roman"/>
                <w:sz w:val="24"/>
                <w:szCs w:val="24"/>
              </w:rPr>
            </w:pPr>
            <w:r w:rsidRPr="00917AF4">
              <w:rPr>
                <w:rFonts w:ascii="Times New Roman" w:hAnsi="Times New Roman" w:cs="Times New Roman"/>
                <w:sz w:val="24"/>
                <w:szCs w:val="24"/>
              </w:rPr>
              <w:t>Noteikumu projekts</w:t>
            </w:r>
            <w:r w:rsidR="00494DC6">
              <w:rPr>
                <w:rFonts w:ascii="Times New Roman" w:hAnsi="Times New Roman" w:cs="Times New Roman"/>
                <w:sz w:val="24"/>
                <w:szCs w:val="24"/>
              </w:rPr>
              <w:t xml:space="preserve"> 2024.</w:t>
            </w:r>
            <w:r w:rsidR="001843F2">
              <w:rPr>
                <w:rFonts w:ascii="Times New Roman" w:hAnsi="Times New Roman" w:cs="Times New Roman"/>
                <w:sz w:val="24"/>
                <w:szCs w:val="24"/>
              </w:rPr>
              <w:t> </w:t>
            </w:r>
            <w:r w:rsidR="003355B0">
              <w:rPr>
                <w:rFonts w:ascii="Times New Roman" w:hAnsi="Times New Roman" w:cs="Times New Roman"/>
                <w:sz w:val="24"/>
                <w:szCs w:val="24"/>
              </w:rPr>
              <w:t>gada 16.</w:t>
            </w:r>
            <w:r w:rsidR="001843F2">
              <w:rPr>
                <w:rFonts w:ascii="Times New Roman" w:hAnsi="Times New Roman" w:cs="Times New Roman"/>
                <w:sz w:val="24"/>
                <w:szCs w:val="24"/>
              </w:rPr>
              <w:t> </w:t>
            </w:r>
            <w:r w:rsidR="003355B0">
              <w:rPr>
                <w:rFonts w:ascii="Times New Roman" w:hAnsi="Times New Roman" w:cs="Times New Roman"/>
                <w:sz w:val="24"/>
                <w:szCs w:val="24"/>
              </w:rPr>
              <w:t>oktobrī</w:t>
            </w:r>
            <w:r w:rsidRPr="00917AF4">
              <w:rPr>
                <w:rFonts w:ascii="Times New Roman" w:hAnsi="Times New Roman" w:cs="Times New Roman"/>
                <w:sz w:val="24"/>
                <w:szCs w:val="24"/>
              </w:rPr>
              <w:t xml:space="preserve"> tik</w:t>
            </w:r>
            <w:r w:rsidR="00494DC6">
              <w:rPr>
                <w:rFonts w:ascii="Times New Roman" w:hAnsi="Times New Roman" w:cs="Times New Roman"/>
                <w:sz w:val="24"/>
                <w:szCs w:val="24"/>
              </w:rPr>
              <w:t>a</w:t>
            </w:r>
            <w:r w:rsidRPr="00917AF4">
              <w:rPr>
                <w:rFonts w:ascii="Times New Roman" w:hAnsi="Times New Roman" w:cs="Times New Roman"/>
                <w:sz w:val="24"/>
                <w:szCs w:val="24"/>
              </w:rPr>
              <w:t xml:space="preserve"> publicēts Latvijas Bankas tīmekļvietnes </w:t>
            </w:r>
            <w:hyperlink r:id="rId15" w:history="1">
              <w:r w:rsidRPr="00917AF4">
                <w:rPr>
                  <w:rStyle w:val="Hyperlink"/>
                  <w:rFonts w:ascii="Times New Roman" w:hAnsi="Times New Roman" w:cs="Times New Roman"/>
                  <w:sz w:val="24"/>
                  <w:szCs w:val="24"/>
                </w:rPr>
                <w:t>www.bank.lv</w:t>
              </w:r>
            </w:hyperlink>
            <w:r w:rsidRPr="00917AF4">
              <w:rPr>
                <w:rFonts w:ascii="Times New Roman" w:hAnsi="Times New Roman" w:cs="Times New Roman"/>
                <w:sz w:val="24"/>
                <w:szCs w:val="24"/>
              </w:rPr>
              <w:t xml:space="preserve"> sadaļ</w:t>
            </w:r>
            <w:r w:rsidR="00AE04B1">
              <w:rPr>
                <w:rFonts w:ascii="Times New Roman" w:hAnsi="Times New Roman" w:cs="Times New Roman"/>
                <w:sz w:val="24"/>
                <w:szCs w:val="24"/>
              </w:rPr>
              <w:t xml:space="preserve">as </w:t>
            </w:r>
            <w:r w:rsidR="00AE04B1" w:rsidRPr="004F1B5B">
              <w:rPr>
                <w:rFonts w:ascii="Times New Roman" w:hAnsi="Times New Roman" w:cs="Times New Roman"/>
                <w:sz w:val="24"/>
                <w:szCs w:val="24"/>
              </w:rPr>
              <w:t>"</w:t>
            </w:r>
            <w:r w:rsidR="00AE04B1">
              <w:rPr>
                <w:rFonts w:ascii="Times New Roman" w:hAnsi="Times New Roman" w:cs="Times New Roman"/>
                <w:sz w:val="24"/>
                <w:szCs w:val="24"/>
              </w:rPr>
              <w:t>Tiesību akti</w:t>
            </w:r>
            <w:r w:rsidR="00AE04B1" w:rsidRPr="004F1B5B">
              <w:rPr>
                <w:rFonts w:ascii="Times New Roman" w:hAnsi="Times New Roman" w:cs="Times New Roman"/>
                <w:sz w:val="24"/>
                <w:szCs w:val="24"/>
              </w:rPr>
              <w:t>"</w:t>
            </w:r>
            <w:r w:rsidR="00AE04B1">
              <w:rPr>
                <w:rFonts w:ascii="Times New Roman" w:hAnsi="Times New Roman" w:cs="Times New Roman"/>
                <w:sz w:val="24"/>
                <w:szCs w:val="24"/>
              </w:rPr>
              <w:t xml:space="preserve"> </w:t>
            </w:r>
            <w:proofErr w:type="spellStart"/>
            <w:r w:rsidR="00AE04B1">
              <w:rPr>
                <w:rFonts w:ascii="Times New Roman" w:hAnsi="Times New Roman" w:cs="Times New Roman"/>
                <w:sz w:val="24"/>
                <w:szCs w:val="24"/>
              </w:rPr>
              <w:t>apakšsadaļ</w:t>
            </w:r>
            <w:r w:rsidRPr="00917AF4">
              <w:rPr>
                <w:rFonts w:ascii="Times New Roman" w:hAnsi="Times New Roman" w:cs="Times New Roman"/>
                <w:sz w:val="24"/>
                <w:szCs w:val="24"/>
              </w:rPr>
              <w:t>ā</w:t>
            </w:r>
            <w:proofErr w:type="spellEnd"/>
            <w:r w:rsidRPr="00917AF4">
              <w:rPr>
                <w:rFonts w:ascii="Times New Roman" w:hAnsi="Times New Roman" w:cs="Times New Roman"/>
                <w:sz w:val="24"/>
                <w:szCs w:val="24"/>
              </w:rPr>
              <w:t xml:space="preserve"> "Sabiedrības līdzdalība", </w:t>
            </w:r>
            <w:r w:rsidR="00494DC6" w:rsidRPr="00494DC6">
              <w:rPr>
                <w:rFonts w:ascii="Times New Roman" w:hAnsi="Times New Roman" w:cs="Times New Roman"/>
                <w:sz w:val="24"/>
                <w:szCs w:val="24"/>
              </w:rPr>
              <w:t>aicinot priekšlikumus iesniegt līdz</w:t>
            </w:r>
            <w:r w:rsidR="003355B0">
              <w:rPr>
                <w:rFonts w:ascii="Times New Roman" w:hAnsi="Times New Roman" w:cs="Times New Roman"/>
                <w:sz w:val="24"/>
                <w:szCs w:val="24"/>
              </w:rPr>
              <w:t xml:space="preserve"> </w:t>
            </w:r>
            <w:r w:rsidR="00494DC6" w:rsidRPr="00494DC6">
              <w:rPr>
                <w:rFonts w:ascii="Times New Roman" w:hAnsi="Times New Roman" w:cs="Times New Roman"/>
                <w:sz w:val="24"/>
                <w:szCs w:val="24"/>
              </w:rPr>
              <w:t>2024.</w:t>
            </w:r>
            <w:r w:rsidR="003355B0">
              <w:rPr>
                <w:rFonts w:ascii="Times New Roman" w:hAnsi="Times New Roman" w:cs="Times New Roman"/>
                <w:sz w:val="24"/>
                <w:szCs w:val="24"/>
              </w:rPr>
              <w:t> gada 30. oktobrim.</w:t>
            </w:r>
          </w:p>
          <w:p w14:paraId="7C0F2D3B" w14:textId="426F1051" w:rsidR="00B02250" w:rsidRPr="002864E4" w:rsidRDefault="00917AF4" w:rsidP="00494DC6">
            <w:pPr>
              <w:spacing w:after="120" w:line="240" w:lineRule="auto"/>
              <w:jc w:val="both"/>
              <w:rPr>
                <w:rFonts w:ascii="Times New Roman" w:eastAsia="Times New Roman" w:hAnsi="Times New Roman" w:cs="Times New Roman"/>
                <w:sz w:val="24"/>
                <w:szCs w:val="24"/>
                <w:lang w:eastAsia="lv-LV"/>
              </w:rPr>
            </w:pPr>
            <w:r w:rsidRPr="00917AF4">
              <w:rPr>
                <w:rFonts w:ascii="Times New Roman" w:hAnsi="Times New Roman" w:cs="Times New Roman"/>
                <w:sz w:val="24"/>
                <w:szCs w:val="24"/>
              </w:rPr>
              <w:t xml:space="preserve">Vienlaikus par </w:t>
            </w:r>
            <w:r w:rsidR="00CF1A09">
              <w:rPr>
                <w:rFonts w:ascii="Times New Roman" w:hAnsi="Times New Roman" w:cs="Times New Roman"/>
                <w:sz w:val="24"/>
                <w:szCs w:val="24"/>
              </w:rPr>
              <w:t>N</w:t>
            </w:r>
            <w:r w:rsidRPr="00917AF4">
              <w:rPr>
                <w:rFonts w:ascii="Times New Roman" w:hAnsi="Times New Roman" w:cs="Times New Roman"/>
                <w:sz w:val="24"/>
                <w:szCs w:val="24"/>
              </w:rPr>
              <w:t>oteikumu projektu un notiekošo sabiedrības līdzdalību tik</w:t>
            </w:r>
            <w:r w:rsidR="00494DC6">
              <w:rPr>
                <w:rFonts w:ascii="Times New Roman" w:hAnsi="Times New Roman" w:cs="Times New Roman"/>
                <w:sz w:val="24"/>
                <w:szCs w:val="24"/>
              </w:rPr>
              <w:t>a</w:t>
            </w:r>
            <w:r w:rsidRPr="00917AF4">
              <w:rPr>
                <w:rFonts w:ascii="Times New Roman" w:hAnsi="Times New Roman" w:cs="Times New Roman"/>
                <w:sz w:val="24"/>
                <w:szCs w:val="24"/>
              </w:rPr>
              <w:t xml:space="preserve"> informēt</w:t>
            </w:r>
            <w:r w:rsidR="006E0178">
              <w:rPr>
                <w:rFonts w:ascii="Times New Roman" w:hAnsi="Times New Roman" w:cs="Times New Roman"/>
                <w:sz w:val="24"/>
                <w:szCs w:val="24"/>
              </w:rPr>
              <w:t xml:space="preserve">as </w:t>
            </w:r>
            <w:r w:rsidR="006E0178" w:rsidRPr="006E0178">
              <w:rPr>
                <w:rFonts w:ascii="Times New Roman" w:hAnsi="Times New Roman" w:cs="Times New Roman"/>
                <w:sz w:val="24"/>
                <w:szCs w:val="24"/>
              </w:rPr>
              <w:t>kredītiestādes</w:t>
            </w:r>
            <w:r w:rsidR="006E7C02">
              <w:rPr>
                <w:rFonts w:ascii="Times New Roman" w:hAnsi="Times New Roman" w:cs="Times New Roman"/>
                <w:sz w:val="24"/>
                <w:szCs w:val="24"/>
              </w:rPr>
              <w:t>, kā arī</w:t>
            </w:r>
            <w:r w:rsidR="006E7C02">
              <w:t xml:space="preserve"> </w:t>
            </w:r>
            <w:r w:rsidR="006E7C02" w:rsidRPr="006E7C02">
              <w:rPr>
                <w:rFonts w:ascii="Times New Roman" w:hAnsi="Times New Roman" w:cs="Times New Roman"/>
                <w:sz w:val="24"/>
                <w:szCs w:val="24"/>
              </w:rPr>
              <w:t xml:space="preserve">biedrība </w:t>
            </w:r>
            <w:r w:rsidR="00AE04B1" w:rsidRPr="004F1B5B">
              <w:rPr>
                <w:rFonts w:ascii="Times New Roman" w:hAnsi="Times New Roman" w:cs="Times New Roman"/>
                <w:sz w:val="24"/>
                <w:szCs w:val="24"/>
              </w:rPr>
              <w:t>"</w:t>
            </w:r>
            <w:r w:rsidR="006E7C02" w:rsidRPr="006E7C02">
              <w:rPr>
                <w:rFonts w:ascii="Times New Roman" w:hAnsi="Times New Roman" w:cs="Times New Roman"/>
                <w:sz w:val="24"/>
                <w:szCs w:val="24"/>
              </w:rPr>
              <w:t>Maksātnespējas procesa administratoru asociācija</w:t>
            </w:r>
            <w:r w:rsidR="00AE04B1" w:rsidRPr="004F1B5B">
              <w:rPr>
                <w:rFonts w:ascii="Times New Roman" w:hAnsi="Times New Roman" w:cs="Times New Roman"/>
                <w:sz w:val="24"/>
                <w:szCs w:val="24"/>
              </w:rPr>
              <w:t>"</w:t>
            </w:r>
            <w:r w:rsidR="006E7C02" w:rsidRPr="006E7C02">
              <w:rPr>
                <w:rFonts w:ascii="Times New Roman" w:hAnsi="Times New Roman" w:cs="Times New Roman"/>
                <w:sz w:val="24"/>
                <w:szCs w:val="24"/>
              </w:rPr>
              <w:t xml:space="preserve"> un biedrība </w:t>
            </w:r>
            <w:r w:rsidR="00AE04B1" w:rsidRPr="004F1B5B">
              <w:rPr>
                <w:rFonts w:ascii="Times New Roman" w:hAnsi="Times New Roman" w:cs="Times New Roman"/>
                <w:sz w:val="24"/>
                <w:szCs w:val="24"/>
              </w:rPr>
              <w:t>"</w:t>
            </w:r>
            <w:r w:rsidR="006E7C02" w:rsidRPr="006E7C02">
              <w:rPr>
                <w:rFonts w:ascii="Times New Roman" w:hAnsi="Times New Roman" w:cs="Times New Roman"/>
                <w:sz w:val="24"/>
                <w:szCs w:val="24"/>
              </w:rPr>
              <w:t>Likvidatoru asociācija</w:t>
            </w:r>
            <w:r w:rsidR="00AE04B1" w:rsidRPr="004F1B5B">
              <w:rPr>
                <w:rFonts w:ascii="Times New Roman" w:hAnsi="Times New Roman" w:cs="Times New Roman"/>
                <w:sz w:val="24"/>
                <w:szCs w:val="24"/>
              </w:rPr>
              <w:t>"</w:t>
            </w:r>
            <w:r w:rsidR="006E7C02" w:rsidRPr="006E7C02">
              <w:rPr>
                <w:rFonts w:ascii="Times New Roman" w:hAnsi="Times New Roman" w:cs="Times New Roman"/>
                <w:sz w:val="24"/>
                <w:szCs w:val="24"/>
              </w:rPr>
              <w:t>.</w:t>
            </w:r>
            <w:r w:rsidR="006E7C02">
              <w:rPr>
                <w:rFonts w:ascii="Times New Roman" w:hAnsi="Times New Roman" w:cs="Times New Roman"/>
                <w:sz w:val="24"/>
                <w:szCs w:val="24"/>
              </w:rPr>
              <w:t xml:space="preserve"> </w:t>
            </w:r>
          </w:p>
        </w:tc>
      </w:tr>
      <w:tr w:rsidR="00494DC6" w:rsidRPr="002864E4" w14:paraId="2ABB2691" w14:textId="77777777" w:rsidTr="00E253DA">
        <w:trPr>
          <w:trHeight w:val="567"/>
        </w:trPr>
        <w:tc>
          <w:tcPr>
            <w:tcW w:w="1796" w:type="pct"/>
            <w:shd w:val="clear" w:color="auto" w:fill="auto"/>
            <w:hideMark/>
          </w:tcPr>
          <w:p w14:paraId="5D362500" w14:textId="77777777" w:rsidR="00494DC6" w:rsidRPr="002864E4" w:rsidRDefault="00494DC6" w:rsidP="00494DC6">
            <w:pPr>
              <w:spacing w:after="0" w:line="240" w:lineRule="auto"/>
              <w:rPr>
                <w:rFonts w:ascii="Times New Roman" w:eastAsia="Times New Roman" w:hAnsi="Times New Roman" w:cs="Times New Roman"/>
                <w:b/>
                <w:bCs/>
                <w:sz w:val="24"/>
                <w:szCs w:val="24"/>
                <w:lang w:eastAsia="lv-LV"/>
              </w:rPr>
            </w:pPr>
            <w:r w:rsidRPr="002864E4">
              <w:rPr>
                <w:rFonts w:ascii="Times New Roman" w:eastAsia="Times New Roman" w:hAnsi="Times New Roman" w:cs="Times New Roman"/>
                <w:b/>
                <w:bCs/>
                <w:sz w:val="24"/>
                <w:szCs w:val="24"/>
                <w:lang w:eastAsia="lv-LV"/>
              </w:rPr>
              <w:t>Saskaņošanas rezultāti</w:t>
            </w:r>
          </w:p>
          <w:p w14:paraId="013658A1" w14:textId="77777777" w:rsidR="00494DC6" w:rsidRPr="002864E4" w:rsidRDefault="00494DC6" w:rsidP="00494DC6">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CF2D3FC" w14:textId="760FA093" w:rsidR="00494DC6" w:rsidRPr="002864E4" w:rsidRDefault="00494DC6" w:rsidP="00494DC6">
            <w:pPr>
              <w:pStyle w:val="ListParagraph"/>
              <w:tabs>
                <w:tab w:val="left" w:pos="390"/>
              </w:tabs>
              <w:spacing w:after="120" w:line="240" w:lineRule="auto"/>
              <w:ind w:left="34"/>
              <w:contextualSpacing w:val="0"/>
              <w:jc w:val="both"/>
              <w:rPr>
                <w:rFonts w:ascii="Times New Roman" w:eastAsia="Times New Roman" w:hAnsi="Times New Roman" w:cs="Times New Roman"/>
                <w:sz w:val="24"/>
                <w:szCs w:val="24"/>
                <w:lang w:eastAsia="lv-LV"/>
              </w:rPr>
            </w:pPr>
            <w:r w:rsidRPr="002D4F4A">
              <w:rPr>
                <w:rFonts w:ascii="Times New Roman" w:hAnsi="Times New Roman" w:cs="Times New Roman"/>
                <w:sz w:val="24"/>
                <w:szCs w:val="24"/>
              </w:rPr>
              <w:t>Sabiedrības līdzdalības rezultātā par noteikumu projektu netika saņemti iebildumi vai priekšlikumi</w:t>
            </w:r>
            <w:r>
              <w:rPr>
                <w:rFonts w:ascii="Times New Roman" w:hAnsi="Times New Roman" w:cs="Times New Roman"/>
                <w:sz w:val="24"/>
                <w:szCs w:val="24"/>
              </w:rPr>
              <w:t>.</w:t>
            </w:r>
          </w:p>
        </w:tc>
      </w:tr>
    </w:tbl>
    <w:p w14:paraId="2977F145" w14:textId="77777777" w:rsidR="00E53DE9" w:rsidRPr="002864E4" w:rsidRDefault="00E53DE9" w:rsidP="001843F2">
      <w:pPr>
        <w:spacing w:after="0" w:line="240" w:lineRule="auto"/>
        <w:rPr>
          <w:rFonts w:ascii="Times New Roman" w:hAnsi="Times New Roman" w:cs="Times New Roman"/>
          <w:sz w:val="24"/>
          <w:szCs w:val="24"/>
        </w:rPr>
      </w:pPr>
    </w:p>
    <w:sectPr w:rsidR="00E53DE9" w:rsidRPr="002864E4" w:rsidSect="007E313B">
      <w:headerReference w:type="default" r:id="rId16"/>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7AC81" w14:textId="77777777" w:rsidR="00711FBE" w:rsidRDefault="00711FBE" w:rsidP="009B27BE">
      <w:pPr>
        <w:spacing w:after="0" w:line="240" w:lineRule="auto"/>
      </w:pPr>
      <w:r>
        <w:separator/>
      </w:r>
    </w:p>
  </w:endnote>
  <w:endnote w:type="continuationSeparator" w:id="0">
    <w:p w14:paraId="01892458" w14:textId="77777777" w:rsidR="00711FBE" w:rsidRDefault="00711FBE"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FAAB9" w14:textId="77777777" w:rsidR="00711FBE" w:rsidRDefault="00711FBE" w:rsidP="009B27BE">
      <w:pPr>
        <w:spacing w:after="0" w:line="240" w:lineRule="auto"/>
      </w:pPr>
      <w:r>
        <w:separator/>
      </w:r>
    </w:p>
  </w:footnote>
  <w:footnote w:type="continuationSeparator" w:id="0">
    <w:p w14:paraId="3BD38E8D" w14:textId="77777777" w:rsidR="00711FBE" w:rsidRDefault="00711FBE"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1D55CC9F"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F97B4BA"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17BAB"/>
    <w:multiLevelType w:val="hybridMultilevel"/>
    <w:tmpl w:val="329ABF2A"/>
    <w:lvl w:ilvl="0" w:tplc="5A7CB77E">
      <w:start w:val="1"/>
      <w:numFmt w:val="decimal"/>
      <w:lvlText w:val="%1)"/>
      <w:lvlJc w:val="left"/>
      <w:pPr>
        <w:ind w:left="720" w:hanging="360"/>
      </w:pPr>
    </w:lvl>
    <w:lvl w:ilvl="1" w:tplc="E94453A4">
      <w:start w:val="1"/>
      <w:numFmt w:val="decimal"/>
      <w:lvlText w:val="%2)"/>
      <w:lvlJc w:val="left"/>
      <w:pPr>
        <w:ind w:left="720" w:hanging="360"/>
      </w:pPr>
    </w:lvl>
    <w:lvl w:ilvl="2" w:tplc="1C12569E">
      <w:start w:val="1"/>
      <w:numFmt w:val="decimal"/>
      <w:lvlText w:val="%3)"/>
      <w:lvlJc w:val="left"/>
      <w:pPr>
        <w:ind w:left="720" w:hanging="360"/>
      </w:pPr>
    </w:lvl>
    <w:lvl w:ilvl="3" w:tplc="7D9A1D56">
      <w:start w:val="1"/>
      <w:numFmt w:val="decimal"/>
      <w:lvlText w:val="%4)"/>
      <w:lvlJc w:val="left"/>
      <w:pPr>
        <w:ind w:left="720" w:hanging="360"/>
      </w:pPr>
    </w:lvl>
    <w:lvl w:ilvl="4" w:tplc="C5DC20A6">
      <w:start w:val="1"/>
      <w:numFmt w:val="decimal"/>
      <w:lvlText w:val="%5)"/>
      <w:lvlJc w:val="left"/>
      <w:pPr>
        <w:ind w:left="720" w:hanging="360"/>
      </w:pPr>
    </w:lvl>
    <w:lvl w:ilvl="5" w:tplc="F328F520">
      <w:start w:val="1"/>
      <w:numFmt w:val="decimal"/>
      <w:lvlText w:val="%6)"/>
      <w:lvlJc w:val="left"/>
      <w:pPr>
        <w:ind w:left="720" w:hanging="360"/>
      </w:pPr>
    </w:lvl>
    <w:lvl w:ilvl="6" w:tplc="528660BE">
      <w:start w:val="1"/>
      <w:numFmt w:val="decimal"/>
      <w:lvlText w:val="%7)"/>
      <w:lvlJc w:val="left"/>
      <w:pPr>
        <w:ind w:left="720" w:hanging="360"/>
      </w:pPr>
    </w:lvl>
    <w:lvl w:ilvl="7" w:tplc="BC3E2C2A">
      <w:start w:val="1"/>
      <w:numFmt w:val="decimal"/>
      <w:lvlText w:val="%8)"/>
      <w:lvlJc w:val="left"/>
      <w:pPr>
        <w:ind w:left="720" w:hanging="360"/>
      </w:pPr>
    </w:lvl>
    <w:lvl w:ilvl="8" w:tplc="C770967A">
      <w:start w:val="1"/>
      <w:numFmt w:val="decimal"/>
      <w:lvlText w:val="%9)"/>
      <w:lvlJc w:val="left"/>
      <w:pPr>
        <w:ind w:left="720" w:hanging="360"/>
      </w:pPr>
    </w:lvl>
  </w:abstractNum>
  <w:abstractNum w:abstractNumId="1" w15:restartNumberingAfterBreak="0">
    <w:nsid w:val="1C6B6A87"/>
    <w:multiLevelType w:val="hybridMultilevel"/>
    <w:tmpl w:val="A6D23596"/>
    <w:lvl w:ilvl="0" w:tplc="546C033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1126226"/>
    <w:multiLevelType w:val="hybridMultilevel"/>
    <w:tmpl w:val="36665900"/>
    <w:lvl w:ilvl="0" w:tplc="B5A05394">
      <w:start w:val="1"/>
      <w:numFmt w:val="decimal"/>
      <w:lvlText w:val="%1)"/>
      <w:lvlJc w:val="left"/>
      <w:pPr>
        <w:ind w:left="720" w:hanging="360"/>
      </w:pPr>
    </w:lvl>
    <w:lvl w:ilvl="1" w:tplc="E59AEF64">
      <w:start w:val="1"/>
      <w:numFmt w:val="decimal"/>
      <w:lvlText w:val="%2)"/>
      <w:lvlJc w:val="left"/>
      <w:pPr>
        <w:ind w:left="720" w:hanging="360"/>
      </w:pPr>
    </w:lvl>
    <w:lvl w:ilvl="2" w:tplc="71AC4F14">
      <w:start w:val="1"/>
      <w:numFmt w:val="decimal"/>
      <w:lvlText w:val="%3)"/>
      <w:lvlJc w:val="left"/>
      <w:pPr>
        <w:ind w:left="720" w:hanging="360"/>
      </w:pPr>
    </w:lvl>
    <w:lvl w:ilvl="3" w:tplc="3F6A55DA">
      <w:start w:val="1"/>
      <w:numFmt w:val="decimal"/>
      <w:lvlText w:val="%4)"/>
      <w:lvlJc w:val="left"/>
      <w:pPr>
        <w:ind w:left="720" w:hanging="360"/>
      </w:pPr>
    </w:lvl>
    <w:lvl w:ilvl="4" w:tplc="E25C6012">
      <w:start w:val="1"/>
      <w:numFmt w:val="decimal"/>
      <w:lvlText w:val="%5)"/>
      <w:lvlJc w:val="left"/>
      <w:pPr>
        <w:ind w:left="720" w:hanging="360"/>
      </w:pPr>
    </w:lvl>
    <w:lvl w:ilvl="5" w:tplc="221857DA">
      <w:start w:val="1"/>
      <w:numFmt w:val="decimal"/>
      <w:lvlText w:val="%6)"/>
      <w:lvlJc w:val="left"/>
      <w:pPr>
        <w:ind w:left="720" w:hanging="360"/>
      </w:pPr>
    </w:lvl>
    <w:lvl w:ilvl="6" w:tplc="D52A2ED6">
      <w:start w:val="1"/>
      <w:numFmt w:val="decimal"/>
      <w:lvlText w:val="%7)"/>
      <w:lvlJc w:val="left"/>
      <w:pPr>
        <w:ind w:left="720" w:hanging="360"/>
      </w:pPr>
    </w:lvl>
    <w:lvl w:ilvl="7" w:tplc="33383614">
      <w:start w:val="1"/>
      <w:numFmt w:val="decimal"/>
      <w:lvlText w:val="%8)"/>
      <w:lvlJc w:val="left"/>
      <w:pPr>
        <w:ind w:left="720" w:hanging="360"/>
      </w:pPr>
    </w:lvl>
    <w:lvl w:ilvl="8" w:tplc="184EF18C">
      <w:start w:val="1"/>
      <w:numFmt w:val="decimal"/>
      <w:lvlText w:val="%9)"/>
      <w:lvlJc w:val="left"/>
      <w:pPr>
        <w:ind w:left="720" w:hanging="360"/>
      </w:pPr>
    </w:lvl>
  </w:abstractNum>
  <w:abstractNum w:abstractNumId="3" w15:restartNumberingAfterBreak="0">
    <w:nsid w:val="27285FD0"/>
    <w:multiLevelType w:val="hybridMultilevel"/>
    <w:tmpl w:val="0502581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EA93BB4"/>
    <w:multiLevelType w:val="hybridMultilevel"/>
    <w:tmpl w:val="436E1D5C"/>
    <w:lvl w:ilvl="0" w:tplc="AA784730">
      <w:start w:val="1"/>
      <w:numFmt w:val="decimal"/>
      <w:lvlText w:val="%1)"/>
      <w:lvlJc w:val="left"/>
      <w:pPr>
        <w:ind w:left="1020" w:hanging="360"/>
      </w:pPr>
    </w:lvl>
    <w:lvl w:ilvl="1" w:tplc="6EC27212">
      <w:start w:val="1"/>
      <w:numFmt w:val="decimal"/>
      <w:lvlText w:val="%2)"/>
      <w:lvlJc w:val="left"/>
      <w:pPr>
        <w:ind w:left="1020" w:hanging="360"/>
      </w:pPr>
    </w:lvl>
    <w:lvl w:ilvl="2" w:tplc="8AD6C504">
      <w:start w:val="1"/>
      <w:numFmt w:val="decimal"/>
      <w:lvlText w:val="%3)"/>
      <w:lvlJc w:val="left"/>
      <w:pPr>
        <w:ind w:left="1020" w:hanging="360"/>
      </w:pPr>
    </w:lvl>
    <w:lvl w:ilvl="3" w:tplc="D1E60022">
      <w:start w:val="1"/>
      <w:numFmt w:val="decimal"/>
      <w:lvlText w:val="%4)"/>
      <w:lvlJc w:val="left"/>
      <w:pPr>
        <w:ind w:left="1020" w:hanging="360"/>
      </w:pPr>
    </w:lvl>
    <w:lvl w:ilvl="4" w:tplc="688ACE96">
      <w:start w:val="1"/>
      <w:numFmt w:val="decimal"/>
      <w:lvlText w:val="%5)"/>
      <w:lvlJc w:val="left"/>
      <w:pPr>
        <w:ind w:left="1020" w:hanging="360"/>
      </w:pPr>
    </w:lvl>
    <w:lvl w:ilvl="5" w:tplc="E5D83494">
      <w:start w:val="1"/>
      <w:numFmt w:val="decimal"/>
      <w:lvlText w:val="%6)"/>
      <w:lvlJc w:val="left"/>
      <w:pPr>
        <w:ind w:left="1020" w:hanging="360"/>
      </w:pPr>
    </w:lvl>
    <w:lvl w:ilvl="6" w:tplc="5D68C1DE">
      <w:start w:val="1"/>
      <w:numFmt w:val="decimal"/>
      <w:lvlText w:val="%7)"/>
      <w:lvlJc w:val="left"/>
      <w:pPr>
        <w:ind w:left="1020" w:hanging="360"/>
      </w:pPr>
    </w:lvl>
    <w:lvl w:ilvl="7" w:tplc="E6E695E4">
      <w:start w:val="1"/>
      <w:numFmt w:val="decimal"/>
      <w:lvlText w:val="%8)"/>
      <w:lvlJc w:val="left"/>
      <w:pPr>
        <w:ind w:left="1020" w:hanging="360"/>
      </w:pPr>
    </w:lvl>
    <w:lvl w:ilvl="8" w:tplc="E3B08364">
      <w:start w:val="1"/>
      <w:numFmt w:val="decimal"/>
      <w:lvlText w:val="%9)"/>
      <w:lvlJc w:val="left"/>
      <w:pPr>
        <w:ind w:left="1020" w:hanging="360"/>
      </w:pPr>
    </w:lvl>
  </w:abstractNum>
  <w:abstractNum w:abstractNumId="5" w15:restartNumberingAfterBreak="0">
    <w:nsid w:val="308E6A26"/>
    <w:multiLevelType w:val="hybridMultilevel"/>
    <w:tmpl w:val="80C68DC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19D3A5C"/>
    <w:multiLevelType w:val="hybridMultilevel"/>
    <w:tmpl w:val="22FEAB02"/>
    <w:lvl w:ilvl="0" w:tplc="52C83B2A">
      <w:start w:val="2"/>
      <w:numFmt w:val="bullet"/>
      <w:lvlText w:val=""/>
      <w:lvlJc w:val="left"/>
      <w:pPr>
        <w:ind w:left="720" w:hanging="360"/>
      </w:pPr>
      <w:rPr>
        <w:rFonts w:ascii="Symbol" w:eastAsia="Times New Roman" w:hAnsi="Symbol" w:cs="Times New Roman" w:hint="default"/>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C550AB0"/>
    <w:multiLevelType w:val="hybridMultilevel"/>
    <w:tmpl w:val="D4E4CB7C"/>
    <w:lvl w:ilvl="0" w:tplc="D332B622">
      <w:start w:val="1"/>
      <w:numFmt w:val="decimal"/>
      <w:lvlText w:val="%1)"/>
      <w:lvlJc w:val="left"/>
      <w:pPr>
        <w:ind w:left="720" w:hanging="360"/>
      </w:pPr>
      <w:rPr>
        <w:rFonts w:hint="default"/>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65492621">
    <w:abstractNumId w:val="7"/>
  </w:num>
  <w:num w:numId="2" w16cid:durableId="476142724">
    <w:abstractNumId w:val="3"/>
  </w:num>
  <w:num w:numId="3" w16cid:durableId="369189840">
    <w:abstractNumId w:val="9"/>
  </w:num>
  <w:num w:numId="4" w16cid:durableId="931666002">
    <w:abstractNumId w:val="1"/>
  </w:num>
  <w:num w:numId="5" w16cid:durableId="2038892696">
    <w:abstractNumId w:val="8"/>
  </w:num>
  <w:num w:numId="6" w16cid:durableId="1487626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9802362">
    <w:abstractNumId w:val="5"/>
  </w:num>
  <w:num w:numId="8" w16cid:durableId="231474265">
    <w:abstractNumId w:val="4"/>
  </w:num>
  <w:num w:numId="9" w16cid:durableId="128521973">
    <w:abstractNumId w:val="2"/>
  </w:num>
  <w:num w:numId="10" w16cid:durableId="533154929">
    <w:abstractNumId w:val="0"/>
  </w:num>
  <w:num w:numId="11" w16cid:durableId="1051078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FBE"/>
    <w:rsid w:val="00005331"/>
    <w:rsid w:val="00007791"/>
    <w:rsid w:val="000263F5"/>
    <w:rsid w:val="000742AB"/>
    <w:rsid w:val="0008510E"/>
    <w:rsid w:val="0009616F"/>
    <w:rsid w:val="000B4E0A"/>
    <w:rsid w:val="001021C4"/>
    <w:rsid w:val="00121B42"/>
    <w:rsid w:val="00132070"/>
    <w:rsid w:val="00133F6A"/>
    <w:rsid w:val="00143A48"/>
    <w:rsid w:val="001553F6"/>
    <w:rsid w:val="001843F2"/>
    <w:rsid w:val="00194216"/>
    <w:rsid w:val="001A2A5C"/>
    <w:rsid w:val="001A5171"/>
    <w:rsid w:val="001C2287"/>
    <w:rsid w:val="001C539A"/>
    <w:rsid w:val="001C5D22"/>
    <w:rsid w:val="00205181"/>
    <w:rsid w:val="00236FAD"/>
    <w:rsid w:val="00260588"/>
    <w:rsid w:val="00260FA2"/>
    <w:rsid w:val="002864E4"/>
    <w:rsid w:val="002C4E1C"/>
    <w:rsid w:val="002C576C"/>
    <w:rsid w:val="002F3578"/>
    <w:rsid w:val="00313F62"/>
    <w:rsid w:val="00314950"/>
    <w:rsid w:val="003344C2"/>
    <w:rsid w:val="003355B0"/>
    <w:rsid w:val="003B481B"/>
    <w:rsid w:val="003F5A03"/>
    <w:rsid w:val="00405E60"/>
    <w:rsid w:val="0049248A"/>
    <w:rsid w:val="00494DC6"/>
    <w:rsid w:val="004F1B5B"/>
    <w:rsid w:val="00512A9C"/>
    <w:rsid w:val="005671B4"/>
    <w:rsid w:val="00567932"/>
    <w:rsid w:val="00590032"/>
    <w:rsid w:val="005B3E28"/>
    <w:rsid w:val="005E744A"/>
    <w:rsid w:val="005F2929"/>
    <w:rsid w:val="0060016E"/>
    <w:rsid w:val="00616063"/>
    <w:rsid w:val="00642172"/>
    <w:rsid w:val="00653AA5"/>
    <w:rsid w:val="006C5AD8"/>
    <w:rsid w:val="006C74A9"/>
    <w:rsid w:val="006E0178"/>
    <w:rsid w:val="006E3FE3"/>
    <w:rsid w:val="006E5E1C"/>
    <w:rsid w:val="006E7C02"/>
    <w:rsid w:val="007005C2"/>
    <w:rsid w:val="00711FBE"/>
    <w:rsid w:val="00756820"/>
    <w:rsid w:val="00762371"/>
    <w:rsid w:val="007846B5"/>
    <w:rsid w:val="00790CDB"/>
    <w:rsid w:val="00793961"/>
    <w:rsid w:val="007A52DB"/>
    <w:rsid w:val="007E313B"/>
    <w:rsid w:val="008015F8"/>
    <w:rsid w:val="0085387B"/>
    <w:rsid w:val="008654E5"/>
    <w:rsid w:val="00895ED7"/>
    <w:rsid w:val="008C1677"/>
    <w:rsid w:val="008C5D09"/>
    <w:rsid w:val="008D39D2"/>
    <w:rsid w:val="008E27D1"/>
    <w:rsid w:val="008E4DFE"/>
    <w:rsid w:val="008F15EE"/>
    <w:rsid w:val="008F5CD7"/>
    <w:rsid w:val="00912695"/>
    <w:rsid w:val="0091399A"/>
    <w:rsid w:val="00917AF4"/>
    <w:rsid w:val="00920831"/>
    <w:rsid w:val="00930EC4"/>
    <w:rsid w:val="00934FAC"/>
    <w:rsid w:val="009567D8"/>
    <w:rsid w:val="009A3695"/>
    <w:rsid w:val="009B27BE"/>
    <w:rsid w:val="009C6371"/>
    <w:rsid w:val="009D69BC"/>
    <w:rsid w:val="00A0418B"/>
    <w:rsid w:val="00A17CFD"/>
    <w:rsid w:val="00A42788"/>
    <w:rsid w:val="00AB62B3"/>
    <w:rsid w:val="00AD46DC"/>
    <w:rsid w:val="00AE04B1"/>
    <w:rsid w:val="00B02250"/>
    <w:rsid w:val="00B239A5"/>
    <w:rsid w:val="00B557C8"/>
    <w:rsid w:val="00B62244"/>
    <w:rsid w:val="00B63D55"/>
    <w:rsid w:val="00B95DAB"/>
    <w:rsid w:val="00B97E4B"/>
    <w:rsid w:val="00C12B23"/>
    <w:rsid w:val="00C375B6"/>
    <w:rsid w:val="00C5201C"/>
    <w:rsid w:val="00C85C34"/>
    <w:rsid w:val="00CA28AB"/>
    <w:rsid w:val="00CC4277"/>
    <w:rsid w:val="00CE3CB6"/>
    <w:rsid w:val="00CE5041"/>
    <w:rsid w:val="00CE7CDC"/>
    <w:rsid w:val="00CF1928"/>
    <w:rsid w:val="00CF1A09"/>
    <w:rsid w:val="00D17D5D"/>
    <w:rsid w:val="00D4619C"/>
    <w:rsid w:val="00D508D3"/>
    <w:rsid w:val="00D64220"/>
    <w:rsid w:val="00DD3B64"/>
    <w:rsid w:val="00E04474"/>
    <w:rsid w:val="00E1721C"/>
    <w:rsid w:val="00E253DA"/>
    <w:rsid w:val="00E42A3E"/>
    <w:rsid w:val="00E53DE9"/>
    <w:rsid w:val="00E60064"/>
    <w:rsid w:val="00E82170"/>
    <w:rsid w:val="00EA4396"/>
    <w:rsid w:val="00EB261C"/>
    <w:rsid w:val="00EB26D7"/>
    <w:rsid w:val="00EF28B2"/>
    <w:rsid w:val="00EF330D"/>
    <w:rsid w:val="00F42F2F"/>
    <w:rsid w:val="00F51345"/>
    <w:rsid w:val="00F719FC"/>
    <w:rsid w:val="00F760FD"/>
    <w:rsid w:val="00F86492"/>
    <w:rsid w:val="00FA4B91"/>
    <w:rsid w:val="00FA56C9"/>
    <w:rsid w:val="00FC3F54"/>
    <w:rsid w:val="00FD2770"/>
    <w:rsid w:val="00FF48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0477A"/>
  <w15:chartTrackingRefBased/>
  <w15:docId w15:val="{ED936445-0457-46F6-8CF4-2C1EE34E2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60FD"/>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NApunkts1">
    <w:name w:val="NA punkts 1"/>
    <w:basedOn w:val="Normal"/>
    <w:link w:val="NApunkts1Rakstz"/>
    <w:qFormat/>
    <w:rsid w:val="00711FBE"/>
    <w:pPr>
      <w:numPr>
        <w:numId w:val="1"/>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711FBE"/>
    <w:rPr>
      <w:rFonts w:ascii="Times New Roman" w:eastAsia="Times New Roman" w:hAnsi="Times New Roman" w:cs="Times New Roman"/>
      <w:sz w:val="24"/>
      <w:szCs w:val="24"/>
      <w:lang w:eastAsia="lv-LV"/>
    </w:rPr>
  </w:style>
  <w:style w:type="paragraph" w:customStyle="1" w:styleId="NApunkts2">
    <w:name w:val="NA punkts 2"/>
    <w:basedOn w:val="Normal"/>
    <w:qFormat/>
    <w:rsid w:val="00711FBE"/>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711FBE"/>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711FBE"/>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85387B"/>
    <w:pPr>
      <w:ind w:left="720"/>
      <w:contextualSpacing/>
    </w:pPr>
  </w:style>
  <w:style w:type="paragraph" w:customStyle="1" w:styleId="Default">
    <w:name w:val="Default"/>
    <w:rsid w:val="007A52D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7A52DB"/>
    <w:rPr>
      <w:color w:val="0000FF"/>
      <w:u w:val="single"/>
    </w:rPr>
  </w:style>
  <w:style w:type="character" w:styleId="UnresolvedMention">
    <w:name w:val="Unresolved Mention"/>
    <w:basedOn w:val="DefaultParagraphFont"/>
    <w:uiPriority w:val="99"/>
    <w:semiHidden/>
    <w:unhideWhenUsed/>
    <w:rsid w:val="007A52DB"/>
    <w:rPr>
      <w:color w:val="605E5C"/>
      <w:shd w:val="clear" w:color="auto" w:fill="E1DFDD"/>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917AF4"/>
  </w:style>
  <w:style w:type="paragraph" w:styleId="Revision">
    <w:name w:val="Revision"/>
    <w:hidden/>
    <w:uiPriority w:val="99"/>
    <w:semiHidden/>
    <w:rsid w:val="00EB26D7"/>
    <w:pPr>
      <w:spacing w:after="0" w:line="240" w:lineRule="auto"/>
    </w:pPr>
  </w:style>
  <w:style w:type="character" w:styleId="CommentReference">
    <w:name w:val="annotation reference"/>
    <w:basedOn w:val="DefaultParagraphFont"/>
    <w:uiPriority w:val="99"/>
    <w:semiHidden/>
    <w:unhideWhenUsed/>
    <w:rsid w:val="00C5201C"/>
    <w:rPr>
      <w:sz w:val="16"/>
      <w:szCs w:val="16"/>
    </w:rPr>
  </w:style>
  <w:style w:type="paragraph" w:styleId="CommentText">
    <w:name w:val="annotation text"/>
    <w:basedOn w:val="Normal"/>
    <w:link w:val="CommentTextChar"/>
    <w:uiPriority w:val="99"/>
    <w:unhideWhenUsed/>
    <w:rsid w:val="00C5201C"/>
    <w:pPr>
      <w:spacing w:line="240" w:lineRule="auto"/>
    </w:pPr>
    <w:rPr>
      <w:sz w:val="20"/>
      <w:szCs w:val="20"/>
    </w:rPr>
  </w:style>
  <w:style w:type="character" w:customStyle="1" w:styleId="CommentTextChar">
    <w:name w:val="Comment Text Char"/>
    <w:basedOn w:val="DefaultParagraphFont"/>
    <w:link w:val="CommentText"/>
    <w:uiPriority w:val="99"/>
    <w:rsid w:val="00C5201C"/>
    <w:rPr>
      <w:sz w:val="20"/>
      <w:szCs w:val="20"/>
    </w:rPr>
  </w:style>
  <w:style w:type="paragraph" w:styleId="CommentSubject">
    <w:name w:val="annotation subject"/>
    <w:basedOn w:val="CommentText"/>
    <w:next w:val="CommentText"/>
    <w:link w:val="CommentSubjectChar"/>
    <w:uiPriority w:val="99"/>
    <w:semiHidden/>
    <w:unhideWhenUsed/>
    <w:rsid w:val="00C5201C"/>
    <w:rPr>
      <w:b/>
      <w:bCs/>
    </w:rPr>
  </w:style>
  <w:style w:type="character" w:customStyle="1" w:styleId="CommentSubjectChar">
    <w:name w:val="Comment Subject Char"/>
    <w:basedOn w:val="CommentTextChar"/>
    <w:link w:val="CommentSubject"/>
    <w:uiPriority w:val="99"/>
    <w:semiHidden/>
    <w:rsid w:val="00C5201C"/>
    <w:rPr>
      <w:b/>
      <w:bCs/>
      <w:sz w:val="20"/>
      <w:szCs w:val="20"/>
    </w:rPr>
  </w:style>
  <w:style w:type="paragraph" w:customStyle="1" w:styleId="Teksts1">
    <w:name w:val="Teksts1"/>
    <w:basedOn w:val="Normal"/>
    <w:rsid w:val="00E1721C"/>
    <w:pPr>
      <w:suppressAutoHyphens/>
      <w:spacing w:after="320" w:line="240" w:lineRule="auto"/>
      <w:jc w:val="both"/>
    </w:pPr>
    <w:rPr>
      <w:rFonts w:ascii="Times New Roman" w:eastAsia="Times New Roman" w:hAnsi="Times New Roman" w:cs="Times New Roman"/>
      <w:sz w:val="24"/>
      <w:szCs w:val="20"/>
      <w:lang w:eastAsia="ar-SA"/>
    </w:rPr>
  </w:style>
  <w:style w:type="character" w:styleId="FollowedHyperlink">
    <w:name w:val="FollowedHyperlink"/>
    <w:basedOn w:val="DefaultParagraphFont"/>
    <w:uiPriority w:val="99"/>
    <w:semiHidden/>
    <w:unhideWhenUsed/>
    <w:rsid w:val="006E5E1C"/>
    <w:rPr>
      <w:color w:val="954F72" w:themeColor="followedHyperlink"/>
      <w:u w:val="single"/>
    </w:rPr>
  </w:style>
  <w:style w:type="character" w:customStyle="1" w:styleId="Heading1Char">
    <w:name w:val="Heading 1 Char"/>
    <w:basedOn w:val="DefaultParagraphFont"/>
    <w:link w:val="Heading1"/>
    <w:uiPriority w:val="9"/>
    <w:rsid w:val="00F760FD"/>
    <w:rPr>
      <w:rFonts w:asciiTheme="majorHAnsi" w:eastAsiaTheme="majorEastAsia" w:hAnsiTheme="majorHAnsi" w:cstheme="majorBidi"/>
      <w:color w:val="2F5496" w:themeColor="accent1" w:themeShade="BF"/>
      <w:sz w:val="32"/>
      <w:szCs w:val="32"/>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50724-sankciju-riska-parvaldisanas-ieksejas-kontroles-sistemas-izveides-un-kontroles-prasiba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80278-starptautisko-un-latvijas-republikas-nacionalo-sankciju-liku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7426-kreditiestazu-likums" TargetMode="External"/><Relationship Id="rId5" Type="http://schemas.openxmlformats.org/officeDocument/2006/relationships/numbering" Target="numbering.xml"/><Relationship Id="rId15" Type="http://schemas.openxmlformats.org/officeDocument/2006/relationships/hyperlink" Target="http://www.bank.l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16775-noziedzigi-iegutu-lidzeklu-legalizacijas-un-terorisma-un-proliferacijas-finansesanas-noversanas-un-sankciju-riska-parvaldisan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C30E1C2E854EC2B6A820590A88A3FE"/>
        <w:category>
          <w:name w:val="Vispārīgi"/>
          <w:gallery w:val="placeholder"/>
        </w:category>
        <w:types>
          <w:type w:val="bbPlcHdr"/>
        </w:types>
        <w:behaviors>
          <w:behavior w:val="content"/>
        </w:behaviors>
        <w:guid w:val="{0CC0041A-9E14-40B3-B14A-CA1053AFC6A1}"/>
      </w:docPartPr>
      <w:docPartBody>
        <w:p w:rsidR="0086720E" w:rsidRDefault="0086720E" w:rsidP="0086720E">
          <w:pPr>
            <w:pStyle w:val="7EC30E1C2E854EC2B6A820590A88A3FE"/>
          </w:pPr>
          <w:r w:rsidRPr="00F5647B">
            <w:rPr>
              <w:rStyle w:val="PlaceholderText"/>
              <w:b/>
            </w:rPr>
            <w:t>[Nosaukums]</w:t>
          </w:r>
        </w:p>
      </w:docPartBody>
    </w:docPart>
    <w:docPart>
      <w:docPartPr>
        <w:name w:val="1622B47CBA4A4A17ACC842596F68960B"/>
        <w:category>
          <w:name w:val="Vispārīgi"/>
          <w:gallery w:val="placeholder"/>
        </w:category>
        <w:types>
          <w:type w:val="bbPlcHdr"/>
        </w:types>
        <w:behaviors>
          <w:behavior w:val="content"/>
        </w:behaviors>
        <w:guid w:val="{8C915132-CA89-4BEA-B33F-CBC49765C7F9}"/>
      </w:docPartPr>
      <w:docPartBody>
        <w:p w:rsidR="00B2258F" w:rsidRDefault="00B2258F" w:rsidP="00B2258F">
          <w:pPr>
            <w:pStyle w:val="1622B47CBA4A4A17ACC842596F68960B"/>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20E"/>
    <w:rsid w:val="000742AB"/>
    <w:rsid w:val="00121B42"/>
    <w:rsid w:val="00205181"/>
    <w:rsid w:val="00236FAD"/>
    <w:rsid w:val="002A1DAE"/>
    <w:rsid w:val="002C4E1C"/>
    <w:rsid w:val="005E744A"/>
    <w:rsid w:val="0086720E"/>
    <w:rsid w:val="00930EC4"/>
    <w:rsid w:val="00AD46DC"/>
    <w:rsid w:val="00B2258F"/>
    <w:rsid w:val="00B557C8"/>
    <w:rsid w:val="00D4619C"/>
    <w:rsid w:val="00E42A3E"/>
    <w:rsid w:val="00E82170"/>
    <w:rsid w:val="00EF28B2"/>
    <w:rsid w:val="00F42F2F"/>
    <w:rsid w:val="00F864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258F"/>
    <w:rPr>
      <w:color w:val="808080"/>
    </w:rPr>
  </w:style>
  <w:style w:type="paragraph" w:customStyle="1" w:styleId="7EC30E1C2E854EC2B6A820590A88A3FE">
    <w:name w:val="7EC30E1C2E854EC2B6A820590A88A3FE"/>
    <w:rsid w:val="0086720E"/>
  </w:style>
  <w:style w:type="paragraph" w:customStyle="1" w:styleId="1622B47CBA4A4A17ACC842596F68960B">
    <w:name w:val="1622B47CBA4A4A17ACC842596F68960B"/>
    <w:rsid w:val="00B225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41</TotalTime>
  <Pages>4</Pages>
  <Words>5819</Words>
  <Characters>3317</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Aldis Ritums</dc:creator>
  <cp:keywords/>
  <dc:description/>
  <cp:lastModifiedBy>Ilze Grava</cp:lastModifiedBy>
  <cp:revision>5</cp:revision>
  <dcterms:created xsi:type="dcterms:W3CDTF">2024-11-01T10:02:00Z</dcterms:created>
  <dcterms:modified xsi:type="dcterms:W3CDTF">2024-11-01T13:23:00Z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