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87EBD" w14:textId="77777777" w:rsidR="009E42E6" w:rsidRPr="000B4E0A" w:rsidRDefault="009E42E6" w:rsidP="009E42E6">
      <w:pPr>
        <w:spacing w:after="0" w:line="240" w:lineRule="auto"/>
        <w:jc w:val="center"/>
        <w:rPr>
          <w:rFonts w:ascii="Times New Roman" w:hAnsi="Times New Roman" w:cs="Times New Roman"/>
          <w:sz w:val="24"/>
          <w:szCs w:val="24"/>
        </w:rPr>
      </w:pPr>
      <w:r w:rsidRPr="00CA28AB">
        <w:rPr>
          <w:rFonts w:ascii="Times New Roman" w:hAnsi="Times New Roman" w:cs="Times New Roman"/>
          <w:b/>
          <w:bCs/>
          <w:sz w:val="24"/>
          <w:szCs w:val="24"/>
        </w:rPr>
        <w:t xml:space="preserve">Latvijas Bankas noteikumu projekta </w:t>
      </w:r>
      <w:r w:rsidRPr="00CE556F">
        <w:rPr>
          <w:rFonts w:ascii="Times New Roman" w:hAnsi="Times New Roman" w:cs="Times New Roman"/>
          <w:b/>
          <w:bCs/>
          <w:sz w:val="24"/>
          <w:szCs w:val="24"/>
        </w:rPr>
        <w:t>''Slēgtā alternatīvo ieguldījumu fonda gada pārskata un konsolidētā gada pārskata sagatavošanas noteikumi''</w:t>
      </w:r>
      <w:r w:rsidRPr="00CA28AB">
        <w:rPr>
          <w:rFonts w:ascii="Times New Roman" w:hAnsi="Times New Roman" w:cs="Times New Roman"/>
          <w:b/>
          <w:bCs/>
          <w:sz w:val="24"/>
          <w:szCs w:val="24"/>
        </w:rPr>
        <w:t xml:space="preserve"> anotācija</w:t>
      </w:r>
    </w:p>
    <w:p w14:paraId="22312372"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51D52F67" w14:textId="77777777" w:rsidTr="00E253DA">
        <w:trPr>
          <w:trHeight w:val="567"/>
        </w:trPr>
        <w:tc>
          <w:tcPr>
            <w:tcW w:w="1796" w:type="pct"/>
            <w:shd w:val="clear" w:color="auto" w:fill="auto"/>
            <w:hideMark/>
          </w:tcPr>
          <w:p w14:paraId="52299F0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21C7E9B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5D5D69" w14:textId="66D89948" w:rsidR="00E53DE9" w:rsidRPr="00CC3715" w:rsidRDefault="009E42E6" w:rsidP="00CC3715">
            <w:pPr>
              <w:spacing w:after="0" w:line="240" w:lineRule="auto"/>
              <w:jc w:val="both"/>
              <w:rPr>
                <w:rFonts w:ascii="Times New Roman" w:eastAsia="Times New Roman" w:hAnsi="Times New Roman" w:cs="Times New Roman"/>
                <w:i/>
                <w:iCs/>
                <w:sz w:val="24"/>
                <w:szCs w:val="24"/>
                <w:lang w:eastAsia="lv-LV"/>
              </w:rPr>
            </w:pPr>
            <w:bookmarkStart w:id="0" w:name="_Hlk177726665"/>
            <w:r w:rsidRPr="00CE556F">
              <w:rPr>
                <w:rFonts w:ascii="Times New Roman" w:hAnsi="Times New Roman" w:cs="Times New Roman"/>
                <w:sz w:val="24"/>
                <w:szCs w:val="24"/>
              </w:rPr>
              <w:t>Slēgtā alternatīvo ieguldījumu fonda gada pārskata un konsolidētā gada pārskata sagatavošanas noteikumi</w:t>
            </w:r>
            <w:bookmarkEnd w:id="0"/>
          </w:p>
        </w:tc>
      </w:tr>
      <w:tr w:rsidR="000B4E0A" w:rsidRPr="000B4E0A" w14:paraId="554DC6DC" w14:textId="77777777" w:rsidTr="00E253DA">
        <w:trPr>
          <w:trHeight w:val="567"/>
        </w:trPr>
        <w:tc>
          <w:tcPr>
            <w:tcW w:w="1796" w:type="pct"/>
            <w:shd w:val="clear" w:color="auto" w:fill="auto"/>
            <w:hideMark/>
          </w:tcPr>
          <w:p w14:paraId="7A886D5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5ED78429"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CF605EB" w14:textId="527F9A42" w:rsidR="00E53DE9" w:rsidRPr="009B27BE" w:rsidRDefault="00CC3715" w:rsidP="000B4E0A">
            <w:pPr>
              <w:spacing w:after="0" w:line="240" w:lineRule="auto"/>
              <w:rPr>
                <w:rFonts w:ascii="Times New Roman" w:eastAsia="Times New Roman" w:hAnsi="Times New Roman" w:cs="Times New Roman"/>
                <w:i/>
                <w:iCs/>
                <w:sz w:val="24"/>
                <w:szCs w:val="24"/>
                <w:lang w:eastAsia="lv-LV"/>
              </w:rPr>
            </w:pPr>
            <w:r w:rsidRPr="00513738">
              <w:rPr>
                <w:rFonts w:ascii="Times New Roman" w:hAnsi="Times New Roman" w:cs="Times New Roman"/>
                <w:sz w:val="24"/>
                <w:szCs w:val="24"/>
              </w:rPr>
              <w:t>Latvijas Bankas noteikumi</w:t>
            </w:r>
          </w:p>
        </w:tc>
      </w:tr>
      <w:tr w:rsidR="000B4E0A" w:rsidRPr="000B4E0A" w14:paraId="195AA51A" w14:textId="77777777" w:rsidTr="00E253DA">
        <w:trPr>
          <w:trHeight w:val="567"/>
        </w:trPr>
        <w:tc>
          <w:tcPr>
            <w:tcW w:w="1796" w:type="pct"/>
            <w:shd w:val="clear" w:color="auto" w:fill="auto"/>
            <w:hideMark/>
          </w:tcPr>
          <w:p w14:paraId="23D2D27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9E20D2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0207CA6" w14:textId="0FBF7B5C" w:rsidR="00E53DE9" w:rsidRPr="009B27BE" w:rsidRDefault="009E42E6" w:rsidP="000B4E0A">
            <w:pPr>
              <w:spacing w:after="0" w:line="240" w:lineRule="auto"/>
              <w:rPr>
                <w:rFonts w:ascii="Times New Roman" w:eastAsia="Times New Roman" w:hAnsi="Times New Roman" w:cs="Times New Roman"/>
                <w:i/>
                <w:iCs/>
                <w:sz w:val="24"/>
                <w:szCs w:val="24"/>
                <w:lang w:eastAsia="lv-LV"/>
              </w:rPr>
            </w:pPr>
            <w:r w:rsidRPr="00CE556F">
              <w:rPr>
                <w:rFonts w:ascii="Times New Roman" w:eastAsia="Times New Roman" w:hAnsi="Times New Roman" w:cs="Times New Roman"/>
                <w:sz w:val="24"/>
                <w:szCs w:val="24"/>
              </w:rPr>
              <w:t>Alternatīvo ieguldījumu fondu</w:t>
            </w:r>
            <w:r>
              <w:rPr>
                <w:rFonts w:ascii="Times New Roman" w:eastAsia="Times New Roman" w:hAnsi="Times New Roman" w:cs="Times New Roman"/>
                <w:sz w:val="24"/>
                <w:szCs w:val="24"/>
              </w:rPr>
              <w:t xml:space="preserve"> </w:t>
            </w:r>
            <w:r w:rsidRPr="00CE556F">
              <w:rPr>
                <w:rFonts w:ascii="Times New Roman" w:eastAsia="Times New Roman" w:hAnsi="Times New Roman" w:cs="Times New Roman"/>
                <w:sz w:val="24"/>
                <w:szCs w:val="24"/>
              </w:rPr>
              <w:t>un to pārvaldnieku likuma</w:t>
            </w:r>
            <w:r>
              <w:rPr>
                <w:rFonts w:ascii="Times New Roman" w:eastAsia="Times New Roman" w:hAnsi="Times New Roman" w:cs="Times New Roman"/>
                <w:sz w:val="24"/>
                <w:szCs w:val="24"/>
              </w:rPr>
              <w:t xml:space="preserve"> </w:t>
            </w:r>
            <w:r w:rsidRPr="00CE556F">
              <w:rPr>
                <w:rFonts w:ascii="Times New Roman" w:eastAsia="Times New Roman" w:hAnsi="Times New Roman" w:cs="Times New Roman"/>
                <w:sz w:val="24"/>
                <w:szCs w:val="24"/>
              </w:rPr>
              <w:t>56.</w:t>
            </w:r>
            <w:r>
              <w:rPr>
                <w:rFonts w:ascii="Times New Roman" w:eastAsia="Times New Roman" w:hAnsi="Times New Roman" w:cs="Times New Roman"/>
                <w:sz w:val="24"/>
                <w:szCs w:val="24"/>
              </w:rPr>
              <w:t> </w:t>
            </w:r>
            <w:r w:rsidRPr="00CE556F">
              <w:rPr>
                <w:rFonts w:ascii="Times New Roman" w:eastAsia="Times New Roman" w:hAnsi="Times New Roman" w:cs="Times New Roman"/>
                <w:sz w:val="24"/>
                <w:szCs w:val="24"/>
              </w:rPr>
              <w:t>panta otr</w:t>
            </w:r>
            <w:r>
              <w:rPr>
                <w:rFonts w:ascii="Times New Roman" w:eastAsia="Times New Roman" w:hAnsi="Times New Roman" w:cs="Times New Roman"/>
                <w:sz w:val="24"/>
                <w:szCs w:val="24"/>
              </w:rPr>
              <w:t>ā</w:t>
            </w:r>
            <w:r w:rsidRPr="00CE556F">
              <w:rPr>
                <w:rFonts w:ascii="Times New Roman" w:eastAsia="Times New Roman" w:hAnsi="Times New Roman" w:cs="Times New Roman"/>
                <w:sz w:val="24"/>
                <w:szCs w:val="24"/>
              </w:rPr>
              <w:t xml:space="preserve"> daļ</w:t>
            </w:r>
            <w:r>
              <w:rPr>
                <w:rFonts w:ascii="Times New Roman" w:eastAsia="Times New Roman" w:hAnsi="Times New Roman" w:cs="Times New Roman"/>
                <w:sz w:val="24"/>
                <w:szCs w:val="24"/>
              </w:rPr>
              <w:t>a</w:t>
            </w:r>
            <w:r w:rsidRPr="00CE556F">
              <w:rPr>
                <w:rFonts w:ascii="Times New Roman" w:eastAsia="Times New Roman" w:hAnsi="Times New Roman" w:cs="Times New Roman"/>
                <w:sz w:val="24"/>
                <w:szCs w:val="24"/>
              </w:rPr>
              <w:t xml:space="preserve"> un 57.</w:t>
            </w:r>
            <w:r>
              <w:rPr>
                <w:rFonts w:ascii="Times New Roman" w:eastAsia="Times New Roman" w:hAnsi="Times New Roman" w:cs="Times New Roman"/>
                <w:sz w:val="24"/>
                <w:szCs w:val="24"/>
              </w:rPr>
              <w:t> </w:t>
            </w:r>
            <w:r w:rsidRPr="00CE556F">
              <w:rPr>
                <w:rFonts w:ascii="Times New Roman" w:eastAsia="Times New Roman" w:hAnsi="Times New Roman" w:cs="Times New Roman"/>
                <w:sz w:val="24"/>
                <w:szCs w:val="24"/>
              </w:rPr>
              <w:t>panta otr</w:t>
            </w:r>
            <w:r>
              <w:rPr>
                <w:rFonts w:ascii="Times New Roman" w:eastAsia="Times New Roman" w:hAnsi="Times New Roman" w:cs="Times New Roman"/>
                <w:sz w:val="24"/>
                <w:szCs w:val="24"/>
              </w:rPr>
              <w:t>ā</w:t>
            </w:r>
            <w:r w:rsidRPr="00CE556F">
              <w:rPr>
                <w:rFonts w:ascii="Times New Roman" w:eastAsia="Times New Roman" w:hAnsi="Times New Roman" w:cs="Times New Roman"/>
                <w:sz w:val="24"/>
                <w:szCs w:val="24"/>
              </w:rPr>
              <w:t xml:space="preserve"> daļ</w:t>
            </w:r>
            <w:r>
              <w:rPr>
                <w:rFonts w:ascii="Times New Roman" w:eastAsia="Times New Roman" w:hAnsi="Times New Roman" w:cs="Times New Roman"/>
                <w:sz w:val="24"/>
                <w:szCs w:val="24"/>
              </w:rPr>
              <w:t>a</w:t>
            </w:r>
          </w:p>
        </w:tc>
      </w:tr>
      <w:tr w:rsidR="000B4E0A" w:rsidRPr="000B4E0A" w14:paraId="3D35F42E" w14:textId="77777777" w:rsidTr="00E253DA">
        <w:trPr>
          <w:trHeight w:val="567"/>
        </w:trPr>
        <w:tc>
          <w:tcPr>
            <w:tcW w:w="1796" w:type="pct"/>
            <w:shd w:val="clear" w:color="auto" w:fill="auto"/>
            <w:hideMark/>
          </w:tcPr>
          <w:p w14:paraId="457CA42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F48BD">
              <w:rPr>
                <w:rFonts w:ascii="Times New Roman" w:eastAsia="Times New Roman" w:hAnsi="Times New Roman" w:cs="Times New Roman"/>
                <w:b/>
                <w:bCs/>
                <w:sz w:val="24"/>
                <w:szCs w:val="24"/>
                <w:lang w:eastAsia="lv-LV"/>
              </w:rPr>
              <w:t>Mērķis un būtība</w:t>
            </w:r>
          </w:p>
          <w:p w14:paraId="59B2072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059BC46" w14:textId="30968525" w:rsidR="00EF48BD" w:rsidRPr="008C698D" w:rsidRDefault="00EF48BD" w:rsidP="00EF48BD">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8C698D">
              <w:rPr>
                <w:rFonts w:ascii="Times New Roman" w:eastAsia="Times New Roman" w:hAnsi="Times New Roman" w:cs="Times New Roman"/>
                <w:iCs/>
                <w:sz w:val="24"/>
                <w:szCs w:val="24"/>
              </w:rPr>
              <w:t>Saskaņā ar Latvijas Bankas likuma pārejas noteikumu 3. 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0D98792A" w14:textId="20B3D892" w:rsidR="00EF48BD" w:rsidRPr="008C698D" w:rsidRDefault="00EF48BD" w:rsidP="00EF48BD">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8C698D">
              <w:rPr>
                <w:rFonts w:ascii="Times New Roman" w:eastAsia="Times New Roman" w:hAnsi="Times New Roman" w:cs="Times New Roman"/>
                <w:iCs/>
                <w:sz w:val="24"/>
                <w:szCs w:val="24"/>
              </w:rPr>
              <w:t>Ņemot vērā minēto, Latvijas Banka ir izstrādājusi noteikumu projektu "</w:t>
            </w:r>
            <w:r w:rsidRPr="008C698D">
              <w:rPr>
                <w:rFonts w:ascii="Times New Roman" w:eastAsia="Times New Roman" w:hAnsi="Times New Roman" w:cs="Times New Roman"/>
                <w:noProof/>
                <w:sz w:val="24"/>
                <w:lang w:eastAsia="lv-LV"/>
              </w:rPr>
              <w:t>Slēgtā alternatīvo ieguldījumu fonda gada pārskata un konsolidētā gada pārskata sagatavošanas noteikumi</w:t>
            </w:r>
            <w:r w:rsidRPr="008C698D">
              <w:rPr>
                <w:rFonts w:ascii="Times New Roman" w:eastAsia="Times New Roman" w:hAnsi="Times New Roman" w:cs="Times New Roman"/>
                <w:iCs/>
                <w:sz w:val="24"/>
                <w:szCs w:val="24"/>
              </w:rPr>
              <w:t>" (turpmāk – noteikumu projekts), kas aizstās pašlaik spēkā esošos Finanšu un kapitāla tirgus komisijas 2020. gada 10. novembra normatīvos noteikumus Nr.</w:t>
            </w:r>
            <w:r w:rsidR="00CB4091">
              <w:rPr>
                <w:rFonts w:ascii="Times New Roman" w:eastAsia="Times New Roman" w:hAnsi="Times New Roman" w:cs="Times New Roman"/>
                <w:iCs/>
                <w:sz w:val="24"/>
                <w:szCs w:val="24"/>
              </w:rPr>
              <w:t> </w:t>
            </w:r>
            <w:r w:rsidRPr="008C698D">
              <w:rPr>
                <w:rFonts w:ascii="Times New Roman" w:eastAsia="Times New Roman" w:hAnsi="Times New Roman" w:cs="Times New Roman"/>
                <w:iCs/>
                <w:sz w:val="24"/>
                <w:szCs w:val="24"/>
              </w:rPr>
              <w:t>217 "</w:t>
            </w:r>
            <w:r w:rsidRPr="008C698D">
              <w:rPr>
                <w:rFonts w:ascii="Times New Roman" w:eastAsia="Times New Roman" w:hAnsi="Times New Roman" w:cs="Times New Roman"/>
                <w:noProof/>
                <w:sz w:val="24"/>
                <w:lang w:eastAsia="lv-LV"/>
              </w:rPr>
              <w:t>Slēgtā alternatīvo ieguldījumu fonda gada pārskata un konsolidētā gada pārskata sagatavošanas normatīvie noteikumi</w:t>
            </w:r>
            <w:r w:rsidRPr="008C698D">
              <w:rPr>
                <w:rFonts w:ascii="Times New Roman" w:eastAsia="Times New Roman" w:hAnsi="Times New Roman" w:cs="Times New Roman"/>
                <w:iCs/>
                <w:sz w:val="24"/>
                <w:szCs w:val="24"/>
              </w:rPr>
              <w:t>" (turpmāk – Noteikumi Nr.</w:t>
            </w:r>
            <w:r w:rsidR="00D27F1C">
              <w:rPr>
                <w:rFonts w:ascii="Times New Roman" w:eastAsia="Times New Roman" w:hAnsi="Times New Roman" w:cs="Times New Roman"/>
                <w:iCs/>
                <w:sz w:val="24"/>
                <w:szCs w:val="24"/>
              </w:rPr>
              <w:t> </w:t>
            </w:r>
            <w:r w:rsidRPr="008C698D">
              <w:rPr>
                <w:rFonts w:ascii="Times New Roman" w:eastAsia="Times New Roman" w:hAnsi="Times New Roman" w:cs="Times New Roman"/>
                <w:iCs/>
                <w:sz w:val="24"/>
                <w:szCs w:val="24"/>
              </w:rPr>
              <w:t>217).</w:t>
            </w:r>
          </w:p>
          <w:p w14:paraId="280225E8" w14:textId="594398D4" w:rsidR="004E6E61" w:rsidRPr="008C698D" w:rsidRDefault="00EF48BD" w:rsidP="00EF48BD">
            <w:pPr>
              <w:keepLines/>
              <w:tabs>
                <w:tab w:val="left" w:pos="314"/>
                <w:tab w:val="left" w:pos="5114"/>
              </w:tabs>
              <w:spacing w:after="120" w:line="240" w:lineRule="auto"/>
              <w:jc w:val="both"/>
              <w:outlineLvl w:val="1"/>
              <w:rPr>
                <w:rFonts w:ascii="Times New Roman" w:hAnsi="Times New Roman" w:cs="Times New Roman"/>
                <w:sz w:val="24"/>
                <w:szCs w:val="24"/>
              </w:rPr>
            </w:pPr>
            <w:r w:rsidRPr="008C698D">
              <w:rPr>
                <w:rFonts w:ascii="Times New Roman" w:eastAsia="Times New Roman" w:hAnsi="Times New Roman" w:cs="Times New Roman"/>
                <w:iCs/>
                <w:sz w:val="24"/>
                <w:szCs w:val="24"/>
              </w:rPr>
              <w:t xml:space="preserve">Noteikumu projekts nodrošina vienotu kārtību, kādā </w:t>
            </w:r>
            <w:r w:rsidR="004E6E61" w:rsidRPr="008C698D">
              <w:rPr>
                <w:rFonts w:ascii="Times New Roman" w:hAnsi="Times New Roman" w:cs="Times New Roman"/>
                <w:sz w:val="24"/>
                <w:szCs w:val="24"/>
              </w:rPr>
              <w:t xml:space="preserve">Alternatīvo ieguldījumu fondu un to pārvaldnieku likuma 56. panta otrajā daļā un 57. panta otrajā daļā noteiktie finanšu tirgus dalībnieki sagatavo slēgtā alternatīvo ieguldījumu fonda gada pārskatu un konsolidēto gada pārskatu. </w:t>
            </w:r>
          </w:p>
          <w:p w14:paraId="4462AA38" w14:textId="64DB0B84" w:rsidR="004E6E61" w:rsidRDefault="004E6E61" w:rsidP="004E6E61">
            <w:pPr>
              <w:spacing w:after="120"/>
              <w:jc w:val="both"/>
              <w:rPr>
                <w:rFonts w:ascii="Times New Roman" w:eastAsia="Times New Roman" w:hAnsi="Times New Roman" w:cs="Times New Roman"/>
                <w:sz w:val="24"/>
                <w:szCs w:val="24"/>
                <w:lang w:eastAsia="lv-LV"/>
              </w:rPr>
            </w:pPr>
            <w:r w:rsidRPr="008C698D">
              <w:rPr>
                <w:rFonts w:ascii="Times New Roman" w:eastAsia="Times New Roman" w:hAnsi="Times New Roman" w:cs="Times New Roman"/>
                <w:sz w:val="24"/>
                <w:szCs w:val="24"/>
                <w:lang w:eastAsia="lv-LV"/>
              </w:rPr>
              <w:t xml:space="preserve">Papildus Alternatīvo ieguldījumu fondu un to pārvaldnieku likuma 56. panta trīspadsmitajā daļā uzskaitītajām gada pārskata sastāvdaļām noteikumu projekts paredz sagatavot arī paziņojumu par </w:t>
            </w:r>
            <w:r w:rsidR="008C698D" w:rsidRPr="008C698D">
              <w:rPr>
                <w:rFonts w:ascii="Times New Roman" w:eastAsia="Times New Roman" w:hAnsi="Times New Roman" w:cs="Times New Roman"/>
                <w:sz w:val="24"/>
                <w:szCs w:val="24"/>
                <w:lang w:eastAsia="lv-LV"/>
              </w:rPr>
              <w:t>slēgtā</w:t>
            </w:r>
            <w:r w:rsidRPr="008C698D">
              <w:rPr>
                <w:rFonts w:ascii="Times New Roman" w:eastAsia="Times New Roman" w:hAnsi="Times New Roman" w:cs="Times New Roman"/>
                <w:sz w:val="24"/>
                <w:szCs w:val="24"/>
                <w:lang w:eastAsia="lv-LV"/>
              </w:rPr>
              <w:t xml:space="preserve"> alternatīvo ieguldījumu fonda pārvaldnieka (turpmāk – pārvaldnieks) atbildību un turētājbankas, ja tāda ir, ziņojumu. </w:t>
            </w:r>
            <w:r w:rsidR="00191CAF">
              <w:rPr>
                <w:rFonts w:ascii="Times New Roman" w:eastAsia="Times New Roman" w:hAnsi="Times New Roman" w:cs="Times New Roman"/>
                <w:sz w:val="24"/>
                <w:szCs w:val="24"/>
                <w:lang w:eastAsia="lv-LV"/>
              </w:rPr>
              <w:t>P</w:t>
            </w:r>
            <w:r w:rsidRPr="008C698D">
              <w:rPr>
                <w:rFonts w:ascii="Times New Roman" w:eastAsia="Times New Roman" w:hAnsi="Times New Roman" w:cs="Times New Roman"/>
                <w:sz w:val="24"/>
                <w:szCs w:val="24"/>
                <w:lang w:eastAsia="lv-LV"/>
              </w:rPr>
              <w:t xml:space="preserve">rasība par šādu ziņojumu sagatavošanu ir noteikta </w:t>
            </w:r>
            <w:r w:rsidR="00191CAF">
              <w:rPr>
                <w:rFonts w:ascii="Times New Roman" w:eastAsia="Times New Roman" w:hAnsi="Times New Roman" w:cs="Times New Roman"/>
                <w:sz w:val="24"/>
                <w:szCs w:val="24"/>
                <w:lang w:eastAsia="lv-LV"/>
              </w:rPr>
              <w:t xml:space="preserve">arī </w:t>
            </w:r>
            <w:r w:rsidRPr="008C698D">
              <w:rPr>
                <w:rFonts w:ascii="Times New Roman" w:eastAsia="Times New Roman" w:hAnsi="Times New Roman" w:cs="Times New Roman"/>
                <w:sz w:val="24"/>
                <w:szCs w:val="24"/>
                <w:lang w:eastAsia="lv-LV"/>
              </w:rPr>
              <w:t>Noteikumos Nr. </w:t>
            </w:r>
            <w:r w:rsidR="00191CAF">
              <w:rPr>
                <w:rFonts w:ascii="Times New Roman" w:eastAsia="Times New Roman" w:hAnsi="Times New Roman" w:cs="Times New Roman"/>
                <w:sz w:val="24"/>
                <w:szCs w:val="24"/>
                <w:lang w:eastAsia="lv-LV"/>
              </w:rPr>
              <w:t>217</w:t>
            </w:r>
            <w:r w:rsidRPr="008C698D">
              <w:rPr>
                <w:rFonts w:ascii="Times New Roman" w:eastAsia="Times New Roman" w:hAnsi="Times New Roman" w:cs="Times New Roman"/>
                <w:sz w:val="24"/>
                <w:szCs w:val="24"/>
                <w:lang w:eastAsia="lv-LV"/>
              </w:rPr>
              <w:t xml:space="preserve"> un tā ir konsekventi iekļauta arī noteikumu projektā. Prasība pārvaldniekam sagatavot paziņojumu par tā atbildību attiecībā uz finanšu pārskatu sagatavošanu ļauj ieguldītājiem saņemt informāciju par to, cik atbildīgi pārvaldnieks ir pildījis viņam normatīvajos aktos uzlikto pienākumu, vai pārvaldnieka lēmumi ir bijuši piesardzīgi un saprātīgi, kā arī apliecināt, ka sagatavotie finanšu pārskati skaidri un patiesi atspoguļo fonda finansiālo stāvokli un darbības rezultātus. Saskaņā ar normatīvajiem aktiem pārvaldniekam visā fonda pārvaldīšanas laikā jārīkojas kā gādīgam un rūpīgam saimniekam ieguldītāju </w:t>
            </w:r>
            <w:r w:rsidRPr="008C698D">
              <w:rPr>
                <w:rFonts w:ascii="Times New Roman" w:eastAsia="Times New Roman" w:hAnsi="Times New Roman" w:cs="Times New Roman"/>
                <w:sz w:val="24"/>
                <w:szCs w:val="24"/>
                <w:lang w:eastAsia="lv-LV"/>
              </w:rPr>
              <w:lastRenderedPageBreak/>
              <w:t xml:space="preserve">interesēs, vienlaikus nodrošinot atbilstību regulējuma prasībām. Prasība turētājbankai sagatavot ziņojumu par fonda mantas glabāšanas un fonda neto aktīvu vērtības aprēķināšanas atbilstību normatīvo aktu prasībām, kā arī apliecinājums par to, ka pārvaldnieka veiktie darījumi ir saskaņoti ar turētājbanku un atbilst normatīvo aktu un fonda darbības noteikumu prasībām, kalpo fonda ieguldītāju interesēm kā papildu apliecinājums un kontrole attiecībā uz pārvaldnieka darbības atbilstību gādīga un rūpīga saimnieka darbības principiem. Ņemot vērā minētos apsvērumus, Latvijas Banka uzskata par pamatotu iekļaut noteikumu projektā prasību </w:t>
            </w:r>
            <w:r w:rsidR="008C698D" w:rsidRPr="008C698D">
              <w:rPr>
                <w:rFonts w:ascii="Times New Roman" w:eastAsia="Times New Roman" w:hAnsi="Times New Roman" w:cs="Times New Roman"/>
                <w:sz w:val="24"/>
                <w:szCs w:val="24"/>
                <w:lang w:eastAsia="lv-LV"/>
              </w:rPr>
              <w:t>sl</w:t>
            </w:r>
            <w:r w:rsidR="008C698D">
              <w:rPr>
                <w:rFonts w:ascii="Times New Roman" w:eastAsia="Times New Roman" w:hAnsi="Times New Roman" w:cs="Times New Roman"/>
                <w:sz w:val="24"/>
                <w:szCs w:val="24"/>
                <w:lang w:eastAsia="lv-LV"/>
              </w:rPr>
              <w:t>ēg</w:t>
            </w:r>
            <w:r w:rsidR="008C698D" w:rsidRPr="008C698D">
              <w:rPr>
                <w:rFonts w:ascii="Times New Roman" w:eastAsia="Times New Roman" w:hAnsi="Times New Roman" w:cs="Times New Roman"/>
                <w:sz w:val="24"/>
                <w:szCs w:val="24"/>
                <w:lang w:eastAsia="lv-LV"/>
              </w:rPr>
              <w:t>tajam</w:t>
            </w:r>
            <w:r w:rsidRPr="008C698D">
              <w:rPr>
                <w:rFonts w:ascii="Times New Roman" w:eastAsia="Times New Roman" w:hAnsi="Times New Roman" w:cs="Times New Roman"/>
                <w:sz w:val="24"/>
                <w:szCs w:val="24"/>
                <w:lang w:eastAsia="lv-LV"/>
              </w:rPr>
              <w:t xml:space="preserve"> alternatīvo ieguldījumu fondam sagatavot paziņojumu par pārvaldnieka atbildību un turētājbankas, ja tāda ir, ziņojumu.</w:t>
            </w:r>
          </w:p>
          <w:p w14:paraId="077F5DF6" w14:textId="77777777" w:rsidR="002B2D75" w:rsidRPr="008C698D" w:rsidRDefault="002B2D75" w:rsidP="002B2D75">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8C698D">
              <w:rPr>
                <w:rFonts w:ascii="Times New Roman" w:eastAsia="Times New Roman" w:hAnsi="Times New Roman" w:cs="Times New Roman"/>
                <w:iCs/>
                <w:sz w:val="24"/>
                <w:szCs w:val="24"/>
              </w:rPr>
              <w:t>Kopumā noteikumu projekts satur prasības, kas ir identiskas Noteikumiem Nr. 217. Tās normas, kuras atšķiras no pašlaik spēkā esošo Noteikumu Nr. 217 atbilstošajām normām, paredz redakcionāla vai tehniska rakstura precizējumus un pamatā ir saistītas ar numerācijas maiņu un ar to saistīto atsauču precizēšanu un terminu aktualizēšanu.</w:t>
            </w:r>
          </w:p>
          <w:p w14:paraId="461D46DD" w14:textId="7838BA70" w:rsidR="00EF48BD" w:rsidRPr="008C698D" w:rsidRDefault="00EF48BD" w:rsidP="00EF48BD">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8C698D">
              <w:rPr>
                <w:rFonts w:ascii="Times New Roman" w:eastAsia="Times New Roman" w:hAnsi="Times New Roman" w:cs="Times New Roman"/>
                <w:iCs/>
                <w:sz w:val="24"/>
                <w:szCs w:val="24"/>
              </w:rPr>
              <w:t xml:space="preserve">Noteikumu projektā ir pārņemtas tiesību normas attiecībā uz gada pārskata </w:t>
            </w:r>
            <w:r w:rsidR="004E6E61" w:rsidRPr="008C698D">
              <w:rPr>
                <w:rFonts w:ascii="Times New Roman" w:eastAsia="Times New Roman" w:hAnsi="Times New Roman" w:cs="Times New Roman"/>
                <w:iCs/>
                <w:sz w:val="24"/>
                <w:szCs w:val="24"/>
              </w:rPr>
              <w:t xml:space="preserve">un konsolidētā gada pārskata </w:t>
            </w:r>
            <w:r w:rsidRPr="008C698D">
              <w:rPr>
                <w:rFonts w:ascii="Times New Roman" w:eastAsia="Times New Roman" w:hAnsi="Times New Roman" w:cs="Times New Roman"/>
                <w:iCs/>
                <w:sz w:val="24"/>
                <w:szCs w:val="24"/>
              </w:rPr>
              <w:t>sagatavošanu, kuras izriet no:</w:t>
            </w:r>
          </w:p>
          <w:p w14:paraId="6C347136" w14:textId="30D524FA" w:rsidR="00EF48BD" w:rsidRPr="008C698D" w:rsidRDefault="00EF48BD" w:rsidP="00EF48BD">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8C698D">
              <w:rPr>
                <w:rFonts w:ascii="Times New Roman" w:eastAsia="Times New Roman" w:hAnsi="Times New Roman" w:cs="Times New Roman"/>
                <w:iCs/>
                <w:sz w:val="24"/>
                <w:szCs w:val="24"/>
              </w:rPr>
              <w:t>1) Padomes 1986. gada 8. decembra direktīvas 86/635/EEK par banku un citu finanšu iestāžu gada pārskatiem un konsolidētajiem gada pārskatiem;</w:t>
            </w:r>
          </w:p>
          <w:p w14:paraId="32E81828" w14:textId="61EF06DA" w:rsidR="00EF48BD" w:rsidRPr="008C698D" w:rsidRDefault="00EF48BD" w:rsidP="00EF48BD">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8C698D">
              <w:rPr>
                <w:rFonts w:ascii="Times New Roman" w:eastAsia="Times New Roman" w:hAnsi="Times New Roman" w:cs="Times New Roman"/>
                <w:iCs/>
                <w:sz w:val="24"/>
                <w:szCs w:val="24"/>
              </w:rPr>
              <w:t>2) Eiropas Parlamenta un Padomes 2013. gada 26. jūnija direktīvas 2013/34/ES par noteiktu veidu uzņēmumu gada finanšu pārskatiem, konsolidētajiem finanšu pārskatiem un saistītajiem ziņojumiem, ar ko groza Eiropas Parlamenta un Padomes direktīvu 2006/43/EK un atceļ Padomes direktīvu 78/660/EEK un 83/349/EEK.</w:t>
            </w:r>
          </w:p>
          <w:p w14:paraId="0CF393F8" w14:textId="77777777" w:rsidR="00EF48BD" w:rsidRDefault="00EF48BD" w:rsidP="00EF48BD">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8C698D">
              <w:rPr>
                <w:rFonts w:ascii="Times New Roman" w:eastAsia="Times New Roman" w:hAnsi="Times New Roman" w:cs="Times New Roman"/>
                <w:iCs/>
                <w:sz w:val="24"/>
                <w:szCs w:val="24"/>
              </w:rPr>
              <w:t>Eiropas Savienības tiesību aktu pārņemšanas/ieviešanas tabula iekļauta anotācijas pielikumā.</w:t>
            </w:r>
          </w:p>
          <w:p w14:paraId="25C17EEF" w14:textId="4D458B5B" w:rsidR="002B2D75" w:rsidRPr="008C698D" w:rsidRDefault="002B2D75" w:rsidP="00EF48BD">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Izvērtējot Eiropas Savienības tiesību aktu pārņemšanu, konstatēts, ka nepieciešam</w:t>
            </w:r>
            <w:r w:rsidR="009B1C91">
              <w:rPr>
                <w:rFonts w:ascii="Times New Roman" w:eastAsia="Times New Roman" w:hAnsi="Times New Roman" w:cs="Times New Roman"/>
                <w:iCs/>
                <w:sz w:val="24"/>
                <w:szCs w:val="24"/>
              </w:rPr>
              <w:t>s</w:t>
            </w:r>
            <w:r>
              <w:rPr>
                <w:rFonts w:ascii="Times New Roman" w:eastAsia="Times New Roman" w:hAnsi="Times New Roman" w:cs="Times New Roman"/>
                <w:iCs/>
                <w:sz w:val="24"/>
                <w:szCs w:val="24"/>
              </w:rPr>
              <w:t xml:space="preserve"> p</w:t>
            </w:r>
            <w:r w:rsidR="009B1C91">
              <w:rPr>
                <w:rFonts w:ascii="Times New Roman" w:eastAsia="Times New Roman" w:hAnsi="Times New Roman" w:cs="Times New Roman"/>
                <w:iCs/>
                <w:sz w:val="24"/>
                <w:szCs w:val="24"/>
              </w:rPr>
              <w:t>recizēt</w:t>
            </w:r>
            <w:r>
              <w:rPr>
                <w:rFonts w:ascii="Times New Roman" w:eastAsia="Times New Roman" w:hAnsi="Times New Roman" w:cs="Times New Roman"/>
                <w:iCs/>
                <w:sz w:val="24"/>
                <w:szCs w:val="24"/>
              </w:rPr>
              <w:t xml:space="preserve"> </w:t>
            </w:r>
            <w:r w:rsidR="00273AB1">
              <w:rPr>
                <w:rFonts w:ascii="Times New Roman" w:eastAsia="Times New Roman" w:hAnsi="Times New Roman" w:cs="Times New Roman"/>
                <w:iCs/>
                <w:sz w:val="24"/>
                <w:szCs w:val="24"/>
              </w:rPr>
              <w:t>regulējumu</w:t>
            </w:r>
            <w:r>
              <w:rPr>
                <w:rFonts w:ascii="Times New Roman" w:eastAsia="Times New Roman" w:hAnsi="Times New Roman" w:cs="Times New Roman"/>
                <w:iCs/>
                <w:sz w:val="24"/>
                <w:szCs w:val="24"/>
              </w:rPr>
              <w:t xml:space="preserve"> </w:t>
            </w:r>
            <w:r w:rsidR="009B1C91">
              <w:rPr>
                <w:rFonts w:ascii="Times New Roman" w:eastAsia="Times New Roman" w:hAnsi="Times New Roman" w:cs="Times New Roman"/>
                <w:iCs/>
                <w:sz w:val="24"/>
                <w:szCs w:val="24"/>
              </w:rPr>
              <w:t>p</w:t>
            </w:r>
            <w:r>
              <w:rPr>
                <w:rFonts w:ascii="Times New Roman" w:eastAsia="Times New Roman" w:hAnsi="Times New Roman" w:cs="Times New Roman"/>
                <w:iCs/>
                <w:sz w:val="24"/>
                <w:szCs w:val="24"/>
              </w:rPr>
              <w:t>ar prasību izvērtēt iespējamos zaudējumus un to ietekmi (</w:t>
            </w:r>
            <w:r w:rsidR="00273AB1">
              <w:rPr>
                <w:rFonts w:ascii="Times New Roman" w:eastAsia="Times New Roman" w:hAnsi="Times New Roman" w:cs="Times New Roman"/>
                <w:iCs/>
                <w:sz w:val="24"/>
                <w:szCs w:val="24"/>
              </w:rPr>
              <w:t xml:space="preserve">noteikumu </w:t>
            </w:r>
            <w:r>
              <w:rPr>
                <w:rFonts w:ascii="Times New Roman" w:eastAsia="Times New Roman" w:hAnsi="Times New Roman" w:cs="Times New Roman"/>
                <w:iCs/>
                <w:sz w:val="24"/>
                <w:szCs w:val="24"/>
              </w:rPr>
              <w:t>projekta 9</w:t>
            </w:r>
            <w:r w:rsidR="00C278C8">
              <w:rPr>
                <w:rFonts w:ascii="Times New Roman" w:eastAsia="Times New Roman" w:hAnsi="Times New Roman" w:cs="Times New Roman"/>
                <w:iCs/>
                <w:sz w:val="24"/>
                <w:szCs w:val="24"/>
              </w:rPr>
              <w:t>3</w:t>
            </w:r>
            <w:r>
              <w:rPr>
                <w:rFonts w:ascii="Times New Roman" w:eastAsia="Times New Roman" w:hAnsi="Times New Roman" w:cs="Times New Roman"/>
                <w:iCs/>
                <w:sz w:val="24"/>
                <w:szCs w:val="24"/>
              </w:rPr>
              <w:t xml:space="preserve">. punkts), kā arī </w:t>
            </w:r>
            <w:r w:rsidR="00844E6E">
              <w:rPr>
                <w:rFonts w:ascii="Times New Roman" w:eastAsia="Times New Roman" w:hAnsi="Times New Roman" w:cs="Times New Roman"/>
                <w:iCs/>
                <w:sz w:val="24"/>
                <w:szCs w:val="24"/>
              </w:rPr>
              <w:t>finanšu pārskatu pielikumā uzrādīt ienākumus un izdevumus, kuri atšķiras no fonda parastajām darbībām un kuru bieža vai periodiska atkārtošanās nākotnē nav gaidāma (</w:t>
            </w:r>
            <w:r w:rsidR="00273AB1">
              <w:rPr>
                <w:rFonts w:ascii="Times New Roman" w:eastAsia="Times New Roman" w:hAnsi="Times New Roman" w:cs="Times New Roman"/>
                <w:iCs/>
                <w:sz w:val="24"/>
                <w:szCs w:val="24"/>
              </w:rPr>
              <w:t xml:space="preserve">noteikumu </w:t>
            </w:r>
            <w:r w:rsidR="00844E6E">
              <w:rPr>
                <w:rFonts w:ascii="Times New Roman" w:eastAsia="Times New Roman" w:hAnsi="Times New Roman" w:cs="Times New Roman"/>
                <w:iCs/>
                <w:sz w:val="24"/>
                <w:szCs w:val="24"/>
              </w:rPr>
              <w:t>projekta 10</w:t>
            </w:r>
            <w:r w:rsidR="00C278C8">
              <w:rPr>
                <w:rFonts w:ascii="Times New Roman" w:eastAsia="Times New Roman" w:hAnsi="Times New Roman" w:cs="Times New Roman"/>
                <w:iCs/>
                <w:sz w:val="24"/>
                <w:szCs w:val="24"/>
              </w:rPr>
              <w:t>5</w:t>
            </w:r>
            <w:r w:rsidR="00844E6E">
              <w:rPr>
                <w:rFonts w:ascii="Times New Roman" w:eastAsia="Times New Roman" w:hAnsi="Times New Roman" w:cs="Times New Roman"/>
                <w:iCs/>
                <w:sz w:val="24"/>
                <w:szCs w:val="24"/>
              </w:rPr>
              <w:t>.</w:t>
            </w:r>
            <w:r w:rsidR="00273AB1">
              <w:rPr>
                <w:rFonts w:ascii="Times New Roman" w:eastAsia="Times New Roman" w:hAnsi="Times New Roman" w:cs="Times New Roman"/>
                <w:iCs/>
                <w:sz w:val="24"/>
                <w:szCs w:val="24"/>
              </w:rPr>
              <w:t> </w:t>
            </w:r>
            <w:r w:rsidR="00844E6E">
              <w:rPr>
                <w:rFonts w:ascii="Times New Roman" w:eastAsia="Times New Roman" w:hAnsi="Times New Roman" w:cs="Times New Roman"/>
                <w:iCs/>
                <w:sz w:val="24"/>
                <w:szCs w:val="24"/>
              </w:rPr>
              <w:t>punkt</w:t>
            </w:r>
            <w:r w:rsidR="00273AB1">
              <w:rPr>
                <w:rFonts w:ascii="Times New Roman" w:eastAsia="Times New Roman" w:hAnsi="Times New Roman" w:cs="Times New Roman"/>
                <w:iCs/>
                <w:sz w:val="24"/>
                <w:szCs w:val="24"/>
              </w:rPr>
              <w:t>s</w:t>
            </w:r>
            <w:r w:rsidR="00844E6E">
              <w:rPr>
                <w:rFonts w:ascii="Times New Roman" w:eastAsia="Times New Roman" w:hAnsi="Times New Roman" w:cs="Times New Roman"/>
                <w:iCs/>
                <w:sz w:val="24"/>
                <w:szCs w:val="24"/>
              </w:rPr>
              <w:t>).</w:t>
            </w:r>
          </w:p>
          <w:p w14:paraId="1DC8D8E8" w14:textId="0AAFF594" w:rsidR="003F7D03" w:rsidRPr="008C698D" w:rsidRDefault="00EF48BD" w:rsidP="00EF48BD">
            <w:pPr>
              <w:keepLines/>
              <w:tabs>
                <w:tab w:val="left" w:pos="314"/>
                <w:tab w:val="left" w:pos="5114"/>
              </w:tabs>
              <w:spacing w:after="120" w:line="240" w:lineRule="auto"/>
              <w:jc w:val="both"/>
              <w:outlineLvl w:val="1"/>
              <w:rPr>
                <w:rFonts w:ascii="Times New Roman" w:eastAsia="Times New Roman" w:hAnsi="Times New Roman" w:cs="Times New Roman"/>
                <w:iCs/>
                <w:sz w:val="24"/>
                <w:szCs w:val="24"/>
              </w:rPr>
            </w:pPr>
            <w:r w:rsidRPr="008C698D">
              <w:rPr>
                <w:rFonts w:ascii="Times New Roman" w:eastAsia="Times New Roman" w:hAnsi="Times New Roman" w:cs="Times New Roman"/>
                <w:iCs/>
                <w:sz w:val="24"/>
                <w:szCs w:val="24"/>
              </w:rPr>
              <w:lastRenderedPageBreak/>
              <w:t xml:space="preserve">Noteikumu projekts pēc apstiprināšanas būs saistošs </w:t>
            </w:r>
            <w:r w:rsidR="004E6E61" w:rsidRPr="008C698D">
              <w:rPr>
                <w:rFonts w:ascii="Times New Roman" w:hAnsi="Times New Roman" w:cs="Times New Roman"/>
                <w:sz w:val="24"/>
                <w:szCs w:val="24"/>
              </w:rPr>
              <w:t>alternatīvo ieguldījumu fondu pārvaldniekam un slēgtajam alternatīvo ieguldījumu fondam, kurš dibināts kā komercsabiedrība, sagatavojot gada pārskatu un konsolidēto gada pārskatu.</w:t>
            </w:r>
          </w:p>
        </w:tc>
      </w:tr>
      <w:tr w:rsidR="00E20A60" w:rsidRPr="000B4E0A" w14:paraId="5D25BCDA" w14:textId="77777777" w:rsidTr="00E253DA">
        <w:trPr>
          <w:trHeight w:val="567"/>
        </w:trPr>
        <w:tc>
          <w:tcPr>
            <w:tcW w:w="1796" w:type="pct"/>
            <w:shd w:val="clear" w:color="auto" w:fill="auto"/>
            <w:hideMark/>
          </w:tcPr>
          <w:p w14:paraId="59E54F8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4D286DBE"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7415345" w14:textId="77777777" w:rsidR="009E42E6" w:rsidRPr="009E42E6" w:rsidRDefault="009E42E6" w:rsidP="009E42E6">
            <w:pPr>
              <w:spacing w:after="120" w:line="240" w:lineRule="auto"/>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302465EB" w14:textId="77777777" w:rsidR="009E42E6" w:rsidRPr="009E42E6" w:rsidRDefault="009E42E6" w:rsidP="009E42E6">
            <w:pPr>
              <w:spacing w:after="120" w:line="240" w:lineRule="auto"/>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 xml:space="preserve">Šo </w:t>
            </w:r>
            <w:proofErr w:type="spellStart"/>
            <w:r w:rsidRPr="009E42E6">
              <w:rPr>
                <w:rFonts w:ascii="Times New Roman" w:eastAsia="Times New Roman" w:hAnsi="Times New Roman" w:cs="Times New Roman"/>
                <w:sz w:val="24"/>
                <w:szCs w:val="24"/>
                <w:lang w:eastAsia="lv-LV"/>
              </w:rPr>
              <w:t>pamattiesību</w:t>
            </w:r>
            <w:proofErr w:type="spellEnd"/>
            <w:r w:rsidRPr="009E42E6">
              <w:rPr>
                <w:rFonts w:ascii="Times New Roman" w:eastAsia="Times New Roman" w:hAnsi="Times New Roman" w:cs="Times New Roman"/>
                <w:sz w:val="24"/>
                <w:szCs w:val="24"/>
                <w:lang w:eastAsia="lv-LV"/>
              </w:rPr>
              <w:t xml:space="preserve"> aizsardzību Latvijas Banka īsteno, nodrošinot finanšu tirgus uzraudzību, kam ir ļoti svarīga nozīme finanšu sistēmas un ekonomiskajā attīstībā, iespējami pilnīgākajā veidā, lai veicinātu sabiedrības uzticēšanos finanšu tirgum un Latvijas Bankai kā konkrēto finanšu tirgus dalībnieku uzraugam, kas nodrošina konkrēto finanšu tirgus dalībnieku tiesisku un sabiedrības interesēm atbilstošu darbību.</w:t>
            </w:r>
          </w:p>
          <w:p w14:paraId="7F66B8C4" w14:textId="77777777" w:rsidR="009E42E6" w:rsidRPr="009E42E6" w:rsidRDefault="009E42E6" w:rsidP="009E42E6">
            <w:pPr>
              <w:spacing w:after="120" w:line="240" w:lineRule="auto"/>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uzraugs, un attiecīgi Latvijas Banka finanšu tirgus uzrauga lomā ir atbildīga par tādu pasākumu veikšanu, kuri aizsargā indivīda </w:t>
            </w:r>
            <w:proofErr w:type="spellStart"/>
            <w:r w:rsidRPr="009E42E6">
              <w:rPr>
                <w:rFonts w:ascii="Times New Roman" w:eastAsia="Times New Roman" w:hAnsi="Times New Roman" w:cs="Times New Roman"/>
                <w:sz w:val="24"/>
                <w:szCs w:val="24"/>
                <w:lang w:eastAsia="lv-LV"/>
              </w:rPr>
              <w:t>pamattiesības</w:t>
            </w:r>
            <w:proofErr w:type="spellEnd"/>
            <w:r w:rsidRPr="009E42E6">
              <w:rPr>
                <w:rFonts w:ascii="Times New Roman" w:eastAsia="Times New Roman" w:hAnsi="Times New Roman" w:cs="Times New Roman"/>
                <w:sz w:val="24"/>
                <w:szCs w:val="24"/>
                <w:lang w:eastAsia="lv-LV"/>
              </w:rPr>
              <w:t>. Respektīvi, indivīds ir tiesīgs paļauties uz finanšu sistēmas taisnīgu uzraudzību, pretējā gadījumā indivīdam zūd uzticība finanšu sistēmai un motivācija būt par šīs sistēmas dalībnieku.</w:t>
            </w:r>
          </w:p>
          <w:p w14:paraId="22CB3396" w14:textId="0EB31106" w:rsidR="009E42E6" w:rsidRPr="009E42E6" w:rsidRDefault="009E42E6" w:rsidP="009E42E6">
            <w:pPr>
              <w:spacing w:after="120" w:line="240" w:lineRule="auto"/>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Nosakot finanšu tirgus dalībniekiem vienotas prasības gada pārskata un konsolidētā gada pārskata sagatavošanai un veicot prasību ievērošanas pārbaudes, Latvijas Banka nodrošina tai Latvijas Bankas likumā noteikto pienākumu</w:t>
            </w:r>
            <w:r w:rsidR="00CB4091">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 veicināt ieguldītāju un noguldītāju interešu aizsardzību un finanšu tirgus ilgtspējīgu attīstību un stabilitāti</w:t>
            </w:r>
            <w:r w:rsidR="00CB4091">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 izpildi.</w:t>
            </w:r>
          </w:p>
          <w:p w14:paraId="6886C90C" w14:textId="641C883B" w:rsidR="009E42E6" w:rsidRPr="009E42E6" w:rsidRDefault="009E42E6" w:rsidP="009E42E6">
            <w:pPr>
              <w:spacing w:after="120" w:line="240" w:lineRule="auto"/>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Savukārt leģitīmais mērķis</w:t>
            </w:r>
            <w:r w:rsidR="00CB4091">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 citu personu tiesību aizsardzība</w:t>
            </w:r>
            <w:r w:rsidR="00CB4091">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 xml:space="preserve">– tiek sasniegts, nodrošinot sabiedrību ar tai nepieciešamo informāciju, lai tā varētu pieņemt izsvērtus lēmumus. </w:t>
            </w:r>
          </w:p>
          <w:p w14:paraId="2306F65B" w14:textId="15DBBD1C" w:rsidR="00E20A60" w:rsidRPr="009B27BE" w:rsidRDefault="009E42E6" w:rsidP="00CB4091">
            <w:pPr>
              <w:spacing w:after="0" w:line="240" w:lineRule="auto"/>
              <w:jc w:val="both"/>
              <w:rPr>
                <w:rFonts w:ascii="Times New Roman" w:eastAsia="Times New Roman" w:hAnsi="Times New Roman" w:cs="Times New Roman"/>
                <w:i/>
                <w:iCs/>
                <w:sz w:val="24"/>
                <w:szCs w:val="24"/>
                <w:lang w:eastAsia="lv-LV"/>
              </w:rPr>
            </w:pPr>
            <w:r w:rsidRPr="009E42E6">
              <w:rPr>
                <w:rFonts w:ascii="Times New Roman" w:eastAsia="Times New Roman" w:hAnsi="Times New Roman" w:cs="Times New Roman"/>
                <w:sz w:val="24"/>
                <w:szCs w:val="24"/>
                <w:lang w:eastAsia="lv-LV"/>
              </w:rPr>
              <w:t>Noteikumu projekts ir nepieciešams, lai veicinātu finanšu tirgus dalībnieku vienotu izpratni par gada pārskata un konsolidētā gada pārskata sagatavošanu.</w:t>
            </w:r>
          </w:p>
        </w:tc>
      </w:tr>
      <w:tr w:rsidR="00E20A60" w:rsidRPr="000B4E0A" w14:paraId="651D3394" w14:textId="77777777" w:rsidTr="00E253DA">
        <w:trPr>
          <w:trHeight w:val="567"/>
        </w:trPr>
        <w:tc>
          <w:tcPr>
            <w:tcW w:w="1796" w:type="pct"/>
            <w:shd w:val="clear" w:color="auto" w:fill="auto"/>
            <w:hideMark/>
          </w:tcPr>
          <w:p w14:paraId="0BCACF17" w14:textId="4034AB4B"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7E775B4D"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19E9225" w14:textId="538A780C" w:rsidR="009E42E6" w:rsidRPr="009E42E6" w:rsidRDefault="009E42E6" w:rsidP="009E42E6">
            <w:pPr>
              <w:spacing w:after="120" w:line="240" w:lineRule="auto"/>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 xml:space="preserve">Alternatīvo ieguldījumu fondu un to pārvaldnieku likumā ir noteikts pienākums alternatīvo ieguldījumu fondu pārvaldniekam </w:t>
            </w:r>
            <w:r w:rsidR="00273635">
              <w:rPr>
                <w:rFonts w:ascii="Times New Roman" w:eastAsia="Times New Roman" w:hAnsi="Times New Roman" w:cs="Times New Roman"/>
                <w:sz w:val="24"/>
                <w:szCs w:val="24"/>
                <w:lang w:eastAsia="lv-LV"/>
              </w:rPr>
              <w:t xml:space="preserve">sagatavot alternatīvo ieguldījumu fonda gada pārskatu </w:t>
            </w:r>
            <w:r w:rsidRPr="009E42E6">
              <w:rPr>
                <w:rFonts w:ascii="Times New Roman" w:eastAsia="Times New Roman" w:hAnsi="Times New Roman" w:cs="Times New Roman"/>
                <w:sz w:val="24"/>
                <w:szCs w:val="24"/>
                <w:lang w:eastAsia="lv-LV"/>
              </w:rPr>
              <w:t>un slēgt</w:t>
            </w:r>
            <w:r w:rsidR="002C2C4A">
              <w:rPr>
                <w:rFonts w:ascii="Times New Roman" w:eastAsia="Times New Roman" w:hAnsi="Times New Roman" w:cs="Times New Roman"/>
                <w:sz w:val="24"/>
                <w:szCs w:val="24"/>
                <w:lang w:eastAsia="lv-LV"/>
              </w:rPr>
              <w:t>ajam</w:t>
            </w:r>
            <w:r w:rsidRPr="009E42E6">
              <w:rPr>
                <w:rFonts w:ascii="Times New Roman" w:eastAsia="Times New Roman" w:hAnsi="Times New Roman" w:cs="Times New Roman"/>
                <w:sz w:val="24"/>
                <w:szCs w:val="24"/>
                <w:lang w:eastAsia="lv-LV"/>
              </w:rPr>
              <w:t xml:space="preserve"> alternatīvo ieguldījumu fondam, kurš dibināts kā komercsabiedrība, sagatavot </w:t>
            </w:r>
            <w:r w:rsidR="002C2C4A">
              <w:rPr>
                <w:rFonts w:ascii="Times New Roman" w:eastAsia="Times New Roman" w:hAnsi="Times New Roman" w:cs="Times New Roman"/>
                <w:sz w:val="24"/>
                <w:szCs w:val="24"/>
                <w:lang w:eastAsia="lv-LV"/>
              </w:rPr>
              <w:t xml:space="preserve">slēgtā </w:t>
            </w:r>
            <w:r w:rsidRPr="009E42E6">
              <w:rPr>
                <w:rFonts w:ascii="Times New Roman" w:eastAsia="Times New Roman" w:hAnsi="Times New Roman" w:cs="Times New Roman"/>
                <w:sz w:val="24"/>
                <w:szCs w:val="24"/>
                <w:lang w:eastAsia="lv-LV"/>
              </w:rPr>
              <w:t>alternatīvo ieguldījumu fonda gada pārskatu un konsolidēto gada pārskatu.</w:t>
            </w:r>
          </w:p>
          <w:p w14:paraId="2B5974FA" w14:textId="52BCB26F" w:rsidR="009E42E6" w:rsidRPr="009E42E6" w:rsidRDefault="009E42E6" w:rsidP="009E42E6">
            <w:pPr>
              <w:spacing w:after="120" w:line="240" w:lineRule="auto"/>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Līdz ar to atbilstošākais veids, kā noteikt attiecīg</w:t>
            </w:r>
            <w:r w:rsidR="00741EC6">
              <w:rPr>
                <w:rFonts w:ascii="Times New Roman" w:eastAsia="Times New Roman" w:hAnsi="Times New Roman" w:cs="Times New Roman"/>
                <w:sz w:val="24"/>
                <w:szCs w:val="24"/>
                <w:lang w:eastAsia="lv-LV"/>
              </w:rPr>
              <w:t>aj</w:t>
            </w:r>
            <w:r w:rsidRPr="009E42E6">
              <w:rPr>
                <w:rFonts w:ascii="Times New Roman" w:eastAsia="Times New Roman" w:hAnsi="Times New Roman" w:cs="Times New Roman"/>
                <w:sz w:val="24"/>
                <w:szCs w:val="24"/>
                <w:lang w:eastAsia="lv-LV"/>
              </w:rPr>
              <w:t xml:space="preserve">iem finanšu tirgus dalībniekiem vienotas prasības slēgtā alternatīvo ieguldījumu fonda gada pārskata un </w:t>
            </w:r>
            <w:r w:rsidRPr="009E42E6">
              <w:rPr>
                <w:rFonts w:ascii="Times New Roman" w:eastAsia="Times New Roman" w:hAnsi="Times New Roman" w:cs="Times New Roman"/>
                <w:sz w:val="24"/>
                <w:szCs w:val="24"/>
                <w:lang w:eastAsia="lv-LV"/>
              </w:rPr>
              <w:lastRenderedPageBreak/>
              <w:t>konsolidētā gada pārskata sagatavošanai, ir izdot tiem saistošus noteikumus. Citas alternatīvas jautājuma noregulēšanai un vienotu prasību noteikšanai nebūtu efektīvas un nesasniegtu izvirzīto mērķi, jo nenodrošinātu vienveidīgu regulējuma piemērošanu.</w:t>
            </w:r>
          </w:p>
          <w:p w14:paraId="21E96500" w14:textId="77777777" w:rsidR="009E42E6" w:rsidRPr="009E42E6" w:rsidRDefault="009E42E6" w:rsidP="009E42E6">
            <w:pPr>
              <w:spacing w:after="120" w:line="240" w:lineRule="auto"/>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Izraugoties piemērotāko līdzekli leģitīmā mērķa sasniegšanai, Latvijas Banka izvērtēja, ka nebūtu atbilstoši izdot, piemēram, zemāka ranga normatīvos aktus, kuri nebūtu finanšu tirgus dalībniekam juridiski saistoši. Turklāt noteikumu projekta izstrādi pilnvarojošās normas skaidri norāda uz noteikumu izstrādi.</w:t>
            </w:r>
          </w:p>
          <w:p w14:paraId="43F690C8" w14:textId="11D48419" w:rsidR="00E20A60" w:rsidRPr="00E20A60" w:rsidRDefault="009E42E6" w:rsidP="009E42E6">
            <w:pPr>
              <w:spacing w:after="120" w:line="240" w:lineRule="auto"/>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Respektīvi, noteikumu projekts kopumā un tajā ietvertās tiesību normas atbilst samērīguma principam, jo, pirmkārt, ar noteikumu projektu tiek sasniegts leģitīmais mērķis (citu personu tiesību aizsardzība un sabiedrības labklājības nodrošināšana). Otrkārt, nepastāv tādi alternatīvi līdzekļi, kas sasniegtu leģitīmo mērķi tādā pašā kvalitātē. Treškārt, sabiedrības labums no noteikumu projekta prasību piemērošanas būs lielāks par administratīvo slogu un resursu ieguldījumu, kas konkrētajam finanšu tirgus dalībniekam varētu rasties ar uzliktajiem pienākumiem.</w:t>
            </w:r>
          </w:p>
        </w:tc>
      </w:tr>
      <w:tr w:rsidR="00E20A60" w:rsidRPr="000B4E0A" w14:paraId="449E6183" w14:textId="77777777" w:rsidTr="00E253DA">
        <w:trPr>
          <w:trHeight w:val="567"/>
        </w:trPr>
        <w:tc>
          <w:tcPr>
            <w:tcW w:w="1796" w:type="pct"/>
            <w:shd w:val="clear" w:color="auto" w:fill="auto"/>
            <w:hideMark/>
          </w:tcPr>
          <w:p w14:paraId="2C509653"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2AA3B4A9"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5568E4F" w14:textId="283C6E21" w:rsidR="00E20A60" w:rsidRPr="00C2649E" w:rsidRDefault="003F7D03" w:rsidP="00CB4091">
            <w:pPr>
              <w:spacing w:after="0" w:line="240" w:lineRule="auto"/>
              <w:jc w:val="both"/>
              <w:rPr>
                <w:rFonts w:ascii="Times New Roman" w:eastAsia="Times New Roman" w:hAnsi="Times New Roman" w:cs="Times New Roman"/>
                <w:i/>
                <w:iCs/>
                <w:sz w:val="24"/>
                <w:szCs w:val="24"/>
                <w:highlight w:val="yellow"/>
                <w:lang w:eastAsia="lv-LV"/>
              </w:rPr>
            </w:pPr>
            <w:r>
              <w:rPr>
                <w:rFonts w:ascii="Times New Roman" w:eastAsia="Times New Roman" w:hAnsi="Times New Roman" w:cs="Times New Roman"/>
                <w:sz w:val="24"/>
                <w:szCs w:val="24"/>
                <w:lang w:eastAsia="lv-LV"/>
              </w:rPr>
              <w:t>Noteikumu projekts stāsies</w:t>
            </w:r>
            <w:r w:rsidRPr="00E7052B">
              <w:rPr>
                <w:rFonts w:ascii="Times New Roman" w:eastAsia="Times New Roman" w:hAnsi="Times New Roman" w:cs="Times New Roman"/>
                <w:sz w:val="24"/>
                <w:szCs w:val="24"/>
                <w:lang w:eastAsia="lv-LV"/>
              </w:rPr>
              <w:t xml:space="preserve"> spēkā nākamajā dienā pēc t</w:t>
            </w:r>
            <w:r>
              <w:rPr>
                <w:rFonts w:ascii="Times New Roman" w:eastAsia="Times New Roman" w:hAnsi="Times New Roman" w:cs="Times New Roman"/>
                <w:sz w:val="24"/>
                <w:szCs w:val="24"/>
                <w:lang w:eastAsia="lv-LV"/>
              </w:rPr>
              <w:t>ā</w:t>
            </w:r>
            <w:r w:rsidRPr="00E7052B">
              <w:rPr>
                <w:rFonts w:ascii="Times New Roman" w:eastAsia="Times New Roman" w:hAnsi="Times New Roman" w:cs="Times New Roman"/>
                <w:sz w:val="24"/>
                <w:szCs w:val="24"/>
                <w:lang w:eastAsia="lv-LV"/>
              </w:rPr>
              <w:t xml:space="preserve"> publicēšanas oficiālajā izdevumā "Latvijas </w:t>
            </w:r>
            <w:r>
              <w:rPr>
                <w:rFonts w:ascii="Times New Roman" w:eastAsia="Times New Roman" w:hAnsi="Times New Roman" w:cs="Times New Roman"/>
                <w:sz w:val="24"/>
                <w:szCs w:val="24"/>
                <w:lang w:eastAsia="lv-LV"/>
              </w:rPr>
              <w:t>V</w:t>
            </w:r>
            <w:r w:rsidRPr="00E7052B">
              <w:rPr>
                <w:rFonts w:ascii="Times New Roman" w:eastAsia="Times New Roman" w:hAnsi="Times New Roman" w:cs="Times New Roman"/>
                <w:sz w:val="24"/>
                <w:szCs w:val="24"/>
                <w:lang w:eastAsia="lv-LV"/>
              </w:rPr>
              <w:t>ēstnesis"</w:t>
            </w:r>
            <w:r>
              <w:rPr>
                <w:rFonts w:ascii="Times New Roman" w:eastAsia="Times New Roman" w:hAnsi="Times New Roman" w:cs="Times New Roman"/>
                <w:sz w:val="24"/>
                <w:szCs w:val="24"/>
                <w:lang w:eastAsia="lv-LV"/>
              </w:rPr>
              <w:t xml:space="preserve"> atbilstoši Latvijas Bankas likuma 8. panta otrajai daļai</w:t>
            </w:r>
            <w:r w:rsidRPr="00E7052B">
              <w:rPr>
                <w:rFonts w:ascii="Times New Roman" w:eastAsia="Times New Roman" w:hAnsi="Times New Roman" w:cs="Times New Roman"/>
                <w:sz w:val="24"/>
                <w:szCs w:val="24"/>
                <w:lang w:eastAsia="lv-LV"/>
              </w:rPr>
              <w:t>.</w:t>
            </w:r>
          </w:p>
        </w:tc>
      </w:tr>
      <w:tr w:rsidR="00E20A60" w:rsidRPr="000B4E0A" w14:paraId="2C5C4834" w14:textId="77777777" w:rsidTr="00E253DA">
        <w:trPr>
          <w:trHeight w:val="567"/>
        </w:trPr>
        <w:tc>
          <w:tcPr>
            <w:tcW w:w="1796" w:type="pct"/>
            <w:shd w:val="clear" w:color="auto" w:fill="auto"/>
            <w:hideMark/>
          </w:tcPr>
          <w:p w14:paraId="0B0FBF40"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7628B9DC"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36F354B" w14:textId="5C05E58F" w:rsidR="00E20A60" w:rsidRPr="009B27BE" w:rsidRDefault="00E20A60" w:rsidP="00CB4091">
            <w:pPr>
              <w:spacing w:after="0" w:line="240" w:lineRule="auto"/>
              <w:jc w:val="both"/>
              <w:rPr>
                <w:rFonts w:ascii="Times New Roman" w:eastAsia="Times New Roman" w:hAnsi="Times New Roman" w:cs="Times New Roman"/>
                <w:i/>
                <w:iCs/>
                <w:sz w:val="24"/>
                <w:szCs w:val="24"/>
                <w:lang w:eastAsia="lv-LV"/>
              </w:rPr>
            </w:pPr>
            <w:r w:rsidRPr="00513738">
              <w:rPr>
                <w:rFonts w:ascii="Times New Roman" w:hAnsi="Times New Roman" w:cs="Times New Roman"/>
                <w:sz w:val="24"/>
                <w:szCs w:val="24"/>
              </w:rPr>
              <w:t>Noteikumu izdošana nerada ietekmi uz Latvijas Bankas budžetu.</w:t>
            </w:r>
          </w:p>
        </w:tc>
      </w:tr>
      <w:tr w:rsidR="00E20A60" w:rsidRPr="000B4E0A" w14:paraId="1FB9984E" w14:textId="77777777" w:rsidTr="00E253DA">
        <w:trPr>
          <w:trHeight w:val="567"/>
        </w:trPr>
        <w:tc>
          <w:tcPr>
            <w:tcW w:w="1796" w:type="pct"/>
            <w:shd w:val="clear" w:color="auto" w:fill="auto"/>
            <w:hideMark/>
          </w:tcPr>
          <w:p w14:paraId="6B4AB11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2B78435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FBBB91E" w14:textId="15087364" w:rsidR="00E20A60" w:rsidRPr="009B27BE" w:rsidRDefault="003F7D03" w:rsidP="00CB4091">
            <w:pPr>
              <w:spacing w:after="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Salīdzin</w:t>
            </w:r>
            <w:r w:rsidR="00741EC6">
              <w:rPr>
                <w:rFonts w:ascii="Times New Roman" w:eastAsia="Times New Roman" w:hAnsi="Times New Roman" w:cs="Times New Roman"/>
                <w:sz w:val="24"/>
                <w:szCs w:val="24"/>
                <w:lang w:eastAsia="lv-LV"/>
              </w:rPr>
              <w:t>ājumā</w:t>
            </w:r>
            <w:r>
              <w:rPr>
                <w:rFonts w:ascii="Times New Roman" w:eastAsia="Times New Roman" w:hAnsi="Times New Roman" w:cs="Times New Roman"/>
                <w:sz w:val="24"/>
                <w:szCs w:val="24"/>
                <w:lang w:eastAsia="lv-LV"/>
              </w:rPr>
              <w:t xml:space="preserve"> ar </w:t>
            </w:r>
            <w:r w:rsidRPr="00AC6272">
              <w:rPr>
                <w:rFonts w:ascii="Times New Roman" w:eastAsia="Times New Roman" w:hAnsi="Times New Roman" w:cs="Times New Roman"/>
                <w:sz w:val="24"/>
                <w:szCs w:val="24"/>
                <w:lang w:eastAsia="lv-LV"/>
              </w:rPr>
              <w:t>Noteikumiem Nr. </w:t>
            </w:r>
            <w:r w:rsidR="009E42E6">
              <w:rPr>
                <w:rFonts w:ascii="Times New Roman" w:eastAsia="Times New Roman" w:hAnsi="Times New Roman" w:cs="Times New Roman"/>
                <w:sz w:val="24"/>
                <w:szCs w:val="24"/>
                <w:lang w:eastAsia="lv-LV"/>
              </w:rPr>
              <w:t>217</w:t>
            </w:r>
            <w:r>
              <w:rPr>
                <w:rFonts w:ascii="Times New Roman" w:eastAsia="Times New Roman" w:hAnsi="Times New Roman" w:cs="Times New Roman"/>
                <w:sz w:val="24"/>
                <w:szCs w:val="24"/>
                <w:lang w:eastAsia="lv-LV"/>
              </w:rPr>
              <w:t xml:space="preserve"> noteikumu projekts </w:t>
            </w:r>
            <w:r w:rsidRPr="00E7052B">
              <w:rPr>
                <w:rFonts w:ascii="Times New Roman" w:eastAsia="Times New Roman" w:hAnsi="Times New Roman" w:cs="Times New Roman"/>
                <w:sz w:val="24"/>
                <w:szCs w:val="24"/>
                <w:lang w:eastAsia="lv-LV"/>
              </w:rPr>
              <w:t xml:space="preserve">nerada papildu administratīvo slogu </w:t>
            </w:r>
            <w:r>
              <w:rPr>
                <w:rFonts w:ascii="Times New Roman" w:eastAsia="Times New Roman" w:hAnsi="Times New Roman" w:cs="Times New Roman"/>
                <w:sz w:val="24"/>
                <w:szCs w:val="24"/>
                <w:lang w:eastAsia="lv-LV"/>
              </w:rPr>
              <w:t xml:space="preserve">finanšu </w:t>
            </w:r>
            <w:r w:rsidRPr="00E7052B">
              <w:rPr>
                <w:rFonts w:ascii="Times New Roman" w:eastAsia="Times New Roman" w:hAnsi="Times New Roman" w:cs="Times New Roman"/>
                <w:sz w:val="24"/>
                <w:szCs w:val="24"/>
                <w:lang w:eastAsia="lv-LV"/>
              </w:rPr>
              <w:t>tirgus dalībniekiem, uz kuriem ir attiecināmas noteikumu projekta prasības</w:t>
            </w:r>
            <w:r w:rsidR="00957964">
              <w:rPr>
                <w:rFonts w:ascii="Times New Roman" w:eastAsia="Times New Roman" w:hAnsi="Times New Roman" w:cs="Times New Roman"/>
                <w:sz w:val="24"/>
                <w:szCs w:val="24"/>
                <w:lang w:eastAsia="lv-LV"/>
              </w:rPr>
              <w:t xml:space="preserve">, izņemot noteikumu projekta 93. punktu, kurš paredz </w:t>
            </w:r>
            <w:r w:rsidR="00D27F1C">
              <w:rPr>
                <w:rFonts w:ascii="Times New Roman" w:eastAsia="Times New Roman" w:hAnsi="Times New Roman" w:cs="Times New Roman"/>
                <w:sz w:val="24"/>
                <w:szCs w:val="24"/>
                <w:lang w:eastAsia="lv-LV"/>
              </w:rPr>
              <w:t>nepieciešamību izvērtēt iespējamos zaudējumus un to ietekmi.</w:t>
            </w:r>
          </w:p>
        </w:tc>
      </w:tr>
      <w:tr w:rsidR="00E20A60" w:rsidRPr="000B4E0A" w14:paraId="238EB007" w14:textId="77777777" w:rsidTr="00E253DA">
        <w:trPr>
          <w:trHeight w:val="567"/>
        </w:trPr>
        <w:tc>
          <w:tcPr>
            <w:tcW w:w="1796" w:type="pct"/>
            <w:shd w:val="clear" w:color="auto" w:fill="auto"/>
            <w:hideMark/>
          </w:tcPr>
          <w:p w14:paraId="2E14AB19"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69F4B1DA"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100B96E" w14:textId="77777777" w:rsidR="009E42E6" w:rsidRPr="009E42E6" w:rsidRDefault="009E42E6" w:rsidP="009E42E6">
            <w:pPr>
              <w:spacing w:after="120"/>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Ar noteikumu projektu saistītie dokumenti:</w:t>
            </w:r>
          </w:p>
          <w:p w14:paraId="13D65A66" w14:textId="6A678C98" w:rsidR="009E42E6" w:rsidRPr="009E42E6" w:rsidRDefault="009E42E6" w:rsidP="009E42E6">
            <w:pPr>
              <w:pStyle w:val="Sarakstarindkopa"/>
              <w:numPr>
                <w:ilvl w:val="0"/>
                <w:numId w:val="5"/>
              </w:numPr>
              <w:spacing w:after="120"/>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Alternatīvo ieguldījumu fondu un to pārvaldnieku likums;</w:t>
            </w:r>
          </w:p>
          <w:p w14:paraId="2156BFB1" w14:textId="2537E753" w:rsidR="009E42E6" w:rsidRPr="009E42E6" w:rsidRDefault="009E42E6" w:rsidP="009E42E6">
            <w:pPr>
              <w:pStyle w:val="Sarakstarindkopa"/>
              <w:numPr>
                <w:ilvl w:val="0"/>
                <w:numId w:val="5"/>
              </w:numPr>
              <w:spacing w:after="120"/>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Gada pārskatu un konsolidēto gada pārskatu likums;</w:t>
            </w:r>
          </w:p>
          <w:p w14:paraId="1804B6F7" w14:textId="6723C123" w:rsidR="009E42E6" w:rsidRPr="009E42E6" w:rsidRDefault="009E42E6" w:rsidP="009E42E6">
            <w:pPr>
              <w:pStyle w:val="Sarakstarindkopa"/>
              <w:numPr>
                <w:ilvl w:val="0"/>
                <w:numId w:val="5"/>
              </w:numPr>
              <w:spacing w:after="120"/>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Noteikumi Nr.</w:t>
            </w:r>
            <w:r w:rsidR="00B96114">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217;</w:t>
            </w:r>
          </w:p>
          <w:p w14:paraId="07EBF2C5" w14:textId="169FCEE1" w:rsidR="009E42E6" w:rsidRPr="009E42E6" w:rsidRDefault="009E42E6" w:rsidP="009E42E6">
            <w:pPr>
              <w:pStyle w:val="Sarakstarindkopa"/>
              <w:numPr>
                <w:ilvl w:val="0"/>
                <w:numId w:val="5"/>
              </w:numPr>
              <w:spacing w:after="120"/>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Padomes 1986.</w:t>
            </w:r>
            <w:r w:rsidR="00B96114">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gada 8.</w:t>
            </w:r>
            <w:r w:rsidR="00B96114">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decembra direktīva 86/635/EEK par banku un citu finanšu iestāžu gada pārskatiem un konsolidētajiem gada pārskatiem;</w:t>
            </w:r>
          </w:p>
          <w:p w14:paraId="01CD20E9" w14:textId="008A51B4" w:rsidR="009E42E6" w:rsidRPr="009E42E6" w:rsidRDefault="009E42E6" w:rsidP="009E42E6">
            <w:pPr>
              <w:pStyle w:val="Sarakstarindkopa"/>
              <w:numPr>
                <w:ilvl w:val="0"/>
                <w:numId w:val="5"/>
              </w:numPr>
              <w:spacing w:after="120"/>
              <w:jc w:val="both"/>
              <w:rPr>
                <w:rFonts w:ascii="Times New Roman" w:eastAsia="Times New Roman" w:hAnsi="Times New Roman" w:cs="Times New Roman"/>
                <w:sz w:val="24"/>
                <w:szCs w:val="24"/>
                <w:lang w:eastAsia="lv-LV"/>
              </w:rPr>
            </w:pPr>
            <w:r w:rsidRPr="009E42E6">
              <w:rPr>
                <w:rFonts w:ascii="Times New Roman" w:eastAsia="Times New Roman" w:hAnsi="Times New Roman" w:cs="Times New Roman"/>
                <w:sz w:val="24"/>
                <w:szCs w:val="24"/>
                <w:lang w:eastAsia="lv-LV"/>
              </w:rPr>
              <w:t>Eiropas Parlamenta un Padomes 2013.</w:t>
            </w:r>
            <w:r w:rsidR="00B96114">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gada 26.</w:t>
            </w:r>
            <w:r w:rsidR="00B96114">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jūnija direktīva 2013/34/ES par noteiktu veidu uzņēmumu gada finanšu pārskatiem, konsolidētajiem finanšu pārskatiem un saistītiem ziņojumiem, ar ko groza Eiropas Parlamenta un Padomes direktīvu 2006/43/EK un atceļ Padomes direktīvas 78/660/EEK un 83/349/EEK;</w:t>
            </w:r>
          </w:p>
          <w:p w14:paraId="73DAC36D" w14:textId="77777777" w:rsidR="00273635" w:rsidRPr="002C2C4A" w:rsidRDefault="009E42E6" w:rsidP="009E42E6">
            <w:pPr>
              <w:pStyle w:val="Sarakstarindkopa"/>
              <w:numPr>
                <w:ilvl w:val="0"/>
                <w:numId w:val="5"/>
              </w:numPr>
              <w:spacing w:after="120"/>
              <w:jc w:val="both"/>
              <w:rPr>
                <w:rFonts w:ascii="Times New Roman" w:eastAsia="Times New Roman" w:hAnsi="Times New Roman" w:cs="Times New Roman"/>
                <w:iCs/>
                <w:sz w:val="24"/>
                <w:szCs w:val="24"/>
              </w:rPr>
            </w:pPr>
            <w:r w:rsidRPr="009E42E6">
              <w:rPr>
                <w:rFonts w:ascii="Times New Roman" w:eastAsia="Times New Roman" w:hAnsi="Times New Roman" w:cs="Times New Roman"/>
                <w:sz w:val="24"/>
                <w:szCs w:val="24"/>
                <w:lang w:eastAsia="lv-LV"/>
              </w:rPr>
              <w:lastRenderedPageBreak/>
              <w:t>Eiropas Parlamenta un Padomes 2013.</w:t>
            </w:r>
            <w:r w:rsidR="00B96114">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gada 26.</w:t>
            </w:r>
            <w:r w:rsidR="00B96114">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jūnija regula (ES) Nr.</w:t>
            </w:r>
            <w:r w:rsidR="00B96114">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 xml:space="preserve">575/2013 par </w:t>
            </w:r>
            <w:proofErr w:type="spellStart"/>
            <w:r w:rsidRPr="009E42E6">
              <w:rPr>
                <w:rFonts w:ascii="Times New Roman" w:eastAsia="Times New Roman" w:hAnsi="Times New Roman" w:cs="Times New Roman"/>
                <w:sz w:val="24"/>
                <w:szCs w:val="24"/>
                <w:lang w:eastAsia="lv-LV"/>
              </w:rPr>
              <w:t>prudenciālajām</w:t>
            </w:r>
            <w:proofErr w:type="spellEnd"/>
            <w:r w:rsidRPr="009E42E6">
              <w:rPr>
                <w:rFonts w:ascii="Times New Roman" w:eastAsia="Times New Roman" w:hAnsi="Times New Roman" w:cs="Times New Roman"/>
                <w:sz w:val="24"/>
                <w:szCs w:val="24"/>
                <w:lang w:eastAsia="lv-LV"/>
              </w:rPr>
              <w:t xml:space="preserve"> prasībām attiecībā uz kredītiestādēm, un ar ko groza regulu Nr.</w:t>
            </w:r>
            <w:r w:rsidR="00B96114">
              <w:rPr>
                <w:rFonts w:ascii="Times New Roman" w:eastAsia="Times New Roman" w:hAnsi="Times New Roman" w:cs="Times New Roman"/>
                <w:sz w:val="24"/>
                <w:szCs w:val="24"/>
                <w:lang w:eastAsia="lv-LV"/>
              </w:rPr>
              <w:t> </w:t>
            </w:r>
            <w:r w:rsidRPr="009E42E6">
              <w:rPr>
                <w:rFonts w:ascii="Times New Roman" w:eastAsia="Times New Roman" w:hAnsi="Times New Roman" w:cs="Times New Roman"/>
                <w:sz w:val="24"/>
                <w:szCs w:val="24"/>
                <w:lang w:eastAsia="lv-LV"/>
              </w:rPr>
              <w:t>648/2012</w:t>
            </w:r>
            <w:r w:rsidR="00273635">
              <w:rPr>
                <w:rFonts w:ascii="Times New Roman" w:eastAsia="Times New Roman" w:hAnsi="Times New Roman" w:cs="Times New Roman"/>
                <w:sz w:val="24"/>
                <w:szCs w:val="24"/>
                <w:lang w:eastAsia="lv-LV"/>
              </w:rPr>
              <w:t>;</w:t>
            </w:r>
          </w:p>
          <w:p w14:paraId="6B57D4E1" w14:textId="5009B2F5" w:rsidR="00C572C9" w:rsidRPr="00C572C9" w:rsidRDefault="00273635" w:rsidP="009E42E6">
            <w:pPr>
              <w:pStyle w:val="Sarakstarindkopa"/>
              <w:numPr>
                <w:ilvl w:val="0"/>
                <w:numId w:val="5"/>
              </w:numPr>
              <w:spacing w:after="120"/>
              <w:jc w:val="both"/>
              <w:rPr>
                <w:rFonts w:ascii="Times New Roman" w:eastAsia="Times New Roman" w:hAnsi="Times New Roman" w:cs="Times New Roman"/>
                <w:iCs/>
                <w:sz w:val="24"/>
                <w:szCs w:val="24"/>
              </w:rPr>
            </w:pPr>
            <w:r w:rsidRPr="00273635">
              <w:rPr>
                <w:rFonts w:ascii="Times New Roman" w:eastAsia="Times New Roman" w:hAnsi="Times New Roman" w:cs="Times New Roman"/>
                <w:sz w:val="24"/>
                <w:lang w:eastAsia="lv-LV"/>
                <w14:ligatures w14:val="none"/>
              </w:rPr>
              <w:t>Komisijas 2023. gada 13. septembra regula (ES) Nr. 2023/1803, ar ko pieņem vairākus starptautiskos grāmatvedības standartus saskaņā ar Eiropas Parlamenta un Padomes regulu (EK) Nr. 1606/2002</w:t>
            </w:r>
            <w:r w:rsidR="009E42E6" w:rsidRPr="009E42E6">
              <w:rPr>
                <w:rFonts w:ascii="Times New Roman" w:eastAsia="Times New Roman" w:hAnsi="Times New Roman" w:cs="Times New Roman"/>
                <w:sz w:val="24"/>
                <w:szCs w:val="24"/>
                <w:lang w:eastAsia="lv-LV"/>
              </w:rPr>
              <w:t>.</w:t>
            </w:r>
          </w:p>
        </w:tc>
      </w:tr>
      <w:tr w:rsidR="00E20A60" w:rsidRPr="000B4E0A" w14:paraId="0633F1C9" w14:textId="77777777" w:rsidTr="00E253DA">
        <w:trPr>
          <w:trHeight w:val="567"/>
        </w:trPr>
        <w:tc>
          <w:tcPr>
            <w:tcW w:w="1796" w:type="pct"/>
            <w:shd w:val="clear" w:color="auto" w:fill="auto"/>
            <w:hideMark/>
          </w:tcPr>
          <w:p w14:paraId="3403D2C9"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 ar Eiropas Centrālo banku</w:t>
            </w:r>
          </w:p>
          <w:p w14:paraId="11BA457C"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2085F12" w14:textId="17AFE9DA" w:rsidR="00E20A60" w:rsidRPr="009B27BE" w:rsidRDefault="00E20A60" w:rsidP="00CB4091">
            <w:pPr>
              <w:spacing w:after="0" w:line="240" w:lineRule="auto"/>
              <w:jc w:val="both"/>
              <w:rPr>
                <w:rFonts w:ascii="Times New Roman" w:eastAsia="Times New Roman" w:hAnsi="Times New Roman" w:cs="Times New Roman"/>
                <w:i/>
                <w:iCs/>
                <w:sz w:val="24"/>
                <w:szCs w:val="24"/>
                <w:lang w:eastAsia="lv-LV"/>
              </w:rPr>
            </w:pPr>
            <w:r w:rsidRPr="00513738">
              <w:rPr>
                <w:rFonts w:ascii="Times New Roman" w:eastAsia="Times New Roman" w:hAnsi="Times New Roman" w:cs="Times New Roman"/>
                <w:sz w:val="24"/>
                <w:szCs w:val="24"/>
                <w:lang w:eastAsia="lv-LV"/>
              </w:rPr>
              <w:t>Noteikumu projektu nav nepieciešams saskaņot ar Eiropas Centrālo banku.</w:t>
            </w:r>
          </w:p>
        </w:tc>
      </w:tr>
      <w:tr w:rsidR="00E20A60" w:rsidRPr="000B4E0A" w14:paraId="1D789523" w14:textId="77777777" w:rsidTr="00E253DA">
        <w:trPr>
          <w:trHeight w:val="567"/>
        </w:trPr>
        <w:tc>
          <w:tcPr>
            <w:tcW w:w="1796" w:type="pct"/>
            <w:shd w:val="clear" w:color="auto" w:fill="auto"/>
            <w:hideMark/>
          </w:tcPr>
          <w:p w14:paraId="11CF60FF"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5BC8DA38"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F3CE8D8" w14:textId="77777777" w:rsidR="00413F06" w:rsidRPr="00513738" w:rsidRDefault="00413F06" w:rsidP="00413F06">
            <w:pPr>
              <w:spacing w:after="120"/>
              <w:jc w:val="both"/>
              <w:rPr>
                <w:rFonts w:ascii="Times New Roman" w:eastAsia="Calibri" w:hAnsi="Times New Roman" w:cs="Times New Roman"/>
                <w:sz w:val="24"/>
                <w:szCs w:val="24"/>
              </w:rPr>
            </w:pPr>
            <w:r w:rsidRPr="00513738">
              <w:rPr>
                <w:rFonts w:ascii="Times New Roman" w:eastAsia="Calibri" w:hAnsi="Times New Roman" w:cs="Times New Roman"/>
                <w:sz w:val="24"/>
                <w:szCs w:val="24"/>
              </w:rPr>
              <w:t>Noteikumu projekts tik</w:t>
            </w:r>
            <w:r>
              <w:rPr>
                <w:rFonts w:ascii="Times New Roman" w:eastAsia="Calibri" w:hAnsi="Times New Roman" w:cs="Times New Roman"/>
                <w:sz w:val="24"/>
                <w:szCs w:val="24"/>
              </w:rPr>
              <w:t>a</w:t>
            </w:r>
            <w:r w:rsidRPr="00513738">
              <w:rPr>
                <w:rFonts w:ascii="Times New Roman" w:eastAsia="Calibri" w:hAnsi="Times New Roman" w:cs="Times New Roman"/>
                <w:sz w:val="24"/>
                <w:szCs w:val="24"/>
              </w:rPr>
              <w:t xml:space="preserve"> publicēts Latvijas Bankas tīmekļvietnes www.bank.lv sadaļas "Tiesību akti" </w:t>
            </w:r>
            <w:proofErr w:type="spellStart"/>
            <w:r w:rsidRPr="00513738">
              <w:rPr>
                <w:rFonts w:ascii="Times New Roman" w:eastAsia="Calibri" w:hAnsi="Times New Roman" w:cs="Times New Roman"/>
                <w:sz w:val="24"/>
                <w:szCs w:val="24"/>
              </w:rPr>
              <w:t>apakšsadaļā</w:t>
            </w:r>
            <w:proofErr w:type="spellEnd"/>
            <w:r w:rsidRPr="00513738">
              <w:rPr>
                <w:rFonts w:ascii="Times New Roman" w:eastAsia="Calibri" w:hAnsi="Times New Roman" w:cs="Times New Roman"/>
                <w:sz w:val="24"/>
                <w:szCs w:val="24"/>
              </w:rPr>
              <w:t xml:space="preserve"> "Sabiedrības līdzdalība", un par to </w:t>
            </w:r>
            <w:r>
              <w:rPr>
                <w:rFonts w:ascii="Times New Roman" w:eastAsia="Times New Roman" w:hAnsi="Times New Roman" w:cs="Times New Roman"/>
                <w:sz w:val="24"/>
                <w:szCs w:val="24"/>
                <w:lang w:eastAsia="lv-LV"/>
              </w:rPr>
              <w:t>līdz</w:t>
            </w:r>
            <w:r w:rsidRPr="00B00336">
              <w:rPr>
                <w:rFonts w:ascii="Times New Roman" w:eastAsia="Times New Roman" w:hAnsi="Times New Roman" w:cs="Times New Roman"/>
                <w:sz w:val="24"/>
                <w:szCs w:val="24"/>
                <w:lang w:eastAsia="lv-LV"/>
              </w:rPr>
              <w:t xml:space="preserve"> 202</w:t>
            </w:r>
            <w:r>
              <w:rPr>
                <w:rFonts w:ascii="Times New Roman" w:eastAsia="Times New Roman" w:hAnsi="Times New Roman" w:cs="Times New Roman"/>
                <w:sz w:val="24"/>
                <w:szCs w:val="24"/>
                <w:lang w:eastAsia="lv-LV"/>
              </w:rPr>
              <w:t>4</w:t>
            </w:r>
            <w:r w:rsidRPr="00B0033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B00336">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23. oktobrim</w:t>
            </w:r>
            <w:r w:rsidRPr="00327536">
              <w:rPr>
                <w:rFonts w:ascii="Times New Roman" w:eastAsia="Times New Roman" w:hAnsi="Times New Roman" w:cs="Times New Roman"/>
                <w:sz w:val="24"/>
                <w:szCs w:val="24"/>
                <w:lang w:eastAsia="lv-LV"/>
              </w:rPr>
              <w:t xml:space="preserve"> b</w:t>
            </w:r>
            <w:r>
              <w:rPr>
                <w:rFonts w:ascii="Times New Roman" w:eastAsia="Times New Roman" w:hAnsi="Times New Roman" w:cs="Times New Roman"/>
                <w:sz w:val="24"/>
                <w:szCs w:val="24"/>
                <w:lang w:eastAsia="lv-LV"/>
              </w:rPr>
              <w:t>ija</w:t>
            </w:r>
            <w:r w:rsidRPr="00327536">
              <w:rPr>
                <w:rFonts w:ascii="Times New Roman" w:eastAsia="Times New Roman" w:hAnsi="Times New Roman" w:cs="Times New Roman"/>
                <w:sz w:val="24"/>
                <w:szCs w:val="24"/>
                <w:lang w:eastAsia="lv-LV"/>
              </w:rPr>
              <w:t xml:space="preserve"> iespējama sabiedrības līdzdalība</w:t>
            </w:r>
            <w:r w:rsidRPr="00513738">
              <w:rPr>
                <w:rFonts w:ascii="Times New Roman" w:eastAsia="Calibri" w:hAnsi="Times New Roman" w:cs="Times New Roman"/>
                <w:sz w:val="24"/>
                <w:szCs w:val="24"/>
              </w:rPr>
              <w:t>.</w:t>
            </w:r>
          </w:p>
          <w:p w14:paraId="43689067" w14:textId="003F863E" w:rsidR="00E20A60" w:rsidRPr="009B27BE" w:rsidRDefault="00B96114" w:rsidP="00B96114">
            <w:pPr>
              <w:spacing w:after="0" w:line="240" w:lineRule="auto"/>
              <w:jc w:val="both"/>
              <w:rPr>
                <w:rFonts w:ascii="Times New Roman" w:eastAsia="Times New Roman" w:hAnsi="Times New Roman" w:cs="Times New Roman"/>
                <w:i/>
                <w:iCs/>
                <w:sz w:val="24"/>
                <w:szCs w:val="24"/>
                <w:lang w:eastAsia="lv-LV"/>
              </w:rPr>
            </w:pPr>
            <w:r w:rsidRPr="00894D21">
              <w:rPr>
                <w:rFonts w:ascii="Times New Roman" w:eastAsia="Times New Roman" w:hAnsi="Times New Roman" w:cs="Times New Roman"/>
                <w:sz w:val="24"/>
                <w:szCs w:val="24"/>
                <w:lang w:eastAsia="lv-LV"/>
              </w:rPr>
              <w:t>Vienlaikus par noteikumu projektu un notiekošo sabiedrības līdzdalību individuāli tik</w:t>
            </w:r>
            <w:r>
              <w:rPr>
                <w:rFonts w:ascii="Times New Roman" w:eastAsia="Times New Roman" w:hAnsi="Times New Roman" w:cs="Times New Roman"/>
                <w:sz w:val="24"/>
                <w:szCs w:val="24"/>
                <w:lang w:eastAsia="lv-LV"/>
              </w:rPr>
              <w:t>a</w:t>
            </w:r>
            <w:r w:rsidRPr="00894D21">
              <w:rPr>
                <w:rFonts w:ascii="Times New Roman" w:eastAsia="Times New Roman" w:hAnsi="Times New Roman" w:cs="Times New Roman"/>
                <w:sz w:val="24"/>
                <w:szCs w:val="24"/>
                <w:lang w:eastAsia="lv-LV"/>
              </w:rPr>
              <w:t xml:space="preserve"> informēta </w:t>
            </w:r>
            <w:r w:rsidRPr="00D81AD3">
              <w:rPr>
                <w:rFonts w:ascii="Times New Roman" w:eastAsia="Calibri" w:hAnsi="Times New Roman" w:cs="Times New Roman"/>
                <w:sz w:val="24"/>
                <w:szCs w:val="24"/>
              </w:rPr>
              <w:t xml:space="preserve">Latvijas </w:t>
            </w:r>
            <w:r w:rsidR="000A15D5">
              <w:rPr>
                <w:rFonts w:ascii="Times New Roman" w:eastAsia="Calibri" w:hAnsi="Times New Roman" w:cs="Times New Roman"/>
                <w:sz w:val="24"/>
                <w:szCs w:val="24"/>
              </w:rPr>
              <w:t>P</w:t>
            </w:r>
            <w:r w:rsidRPr="00D81AD3">
              <w:rPr>
                <w:rFonts w:ascii="Times New Roman" w:eastAsia="Calibri" w:hAnsi="Times New Roman" w:cs="Times New Roman"/>
                <w:sz w:val="24"/>
                <w:szCs w:val="24"/>
              </w:rPr>
              <w:t xml:space="preserve">rivātā un </w:t>
            </w:r>
            <w:proofErr w:type="spellStart"/>
            <w:r w:rsidR="00741EC6">
              <w:rPr>
                <w:rFonts w:ascii="Times New Roman" w:eastAsia="Calibri" w:hAnsi="Times New Roman" w:cs="Times New Roman"/>
                <w:sz w:val="24"/>
                <w:szCs w:val="24"/>
              </w:rPr>
              <w:t>I</w:t>
            </w:r>
            <w:r w:rsidRPr="00D81AD3">
              <w:rPr>
                <w:rFonts w:ascii="Times New Roman" w:eastAsia="Calibri" w:hAnsi="Times New Roman" w:cs="Times New Roman"/>
                <w:sz w:val="24"/>
                <w:szCs w:val="24"/>
              </w:rPr>
              <w:t>espējkapitāla</w:t>
            </w:r>
            <w:proofErr w:type="spellEnd"/>
            <w:r w:rsidRPr="00D81AD3">
              <w:rPr>
                <w:rFonts w:ascii="Times New Roman" w:eastAsia="Calibri" w:hAnsi="Times New Roman" w:cs="Times New Roman"/>
                <w:sz w:val="24"/>
                <w:szCs w:val="24"/>
              </w:rPr>
              <w:t xml:space="preserve"> asociācija</w:t>
            </w:r>
            <w:r w:rsidR="008C698D">
              <w:rPr>
                <w:rFonts w:ascii="Times New Roman" w:eastAsia="Calibri" w:hAnsi="Times New Roman" w:cs="Times New Roman"/>
                <w:sz w:val="24"/>
                <w:szCs w:val="24"/>
              </w:rPr>
              <w:t xml:space="preserve"> un Valsts ieņēmumu dienests</w:t>
            </w:r>
            <w:r>
              <w:rPr>
                <w:rFonts w:ascii="Times New Roman" w:eastAsia="Calibri" w:hAnsi="Times New Roman" w:cs="Times New Roman"/>
                <w:sz w:val="24"/>
                <w:szCs w:val="24"/>
              </w:rPr>
              <w:t>.</w:t>
            </w:r>
          </w:p>
        </w:tc>
      </w:tr>
      <w:tr w:rsidR="00E20A60" w:rsidRPr="000B4E0A" w14:paraId="4224B65C" w14:textId="77777777" w:rsidTr="00E253DA">
        <w:trPr>
          <w:trHeight w:val="567"/>
        </w:trPr>
        <w:tc>
          <w:tcPr>
            <w:tcW w:w="1796" w:type="pct"/>
            <w:shd w:val="clear" w:color="auto" w:fill="auto"/>
            <w:hideMark/>
          </w:tcPr>
          <w:p w14:paraId="35FE31C3"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73C7DBB4" w14:textId="77777777" w:rsidR="00E20A60" w:rsidRPr="00E253DA" w:rsidRDefault="00E20A60" w:rsidP="00E20A6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5448EBC" w14:textId="5DD206D9" w:rsidR="00E20A60" w:rsidRPr="009B27BE" w:rsidRDefault="00413F06" w:rsidP="00CB4091">
            <w:pPr>
              <w:spacing w:after="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lang w:eastAsia="lv-LV"/>
              </w:rPr>
              <w:t>S</w:t>
            </w:r>
            <w:r w:rsidR="00E20A60" w:rsidRPr="00513738">
              <w:rPr>
                <w:rFonts w:ascii="Times New Roman" w:eastAsia="Times New Roman" w:hAnsi="Times New Roman" w:cs="Times New Roman"/>
                <w:sz w:val="24"/>
                <w:szCs w:val="24"/>
                <w:lang w:eastAsia="lv-LV"/>
              </w:rPr>
              <w:t xml:space="preserve">abiedrības līdzdalības </w:t>
            </w:r>
            <w:r>
              <w:rPr>
                <w:rFonts w:ascii="Times New Roman" w:eastAsia="Times New Roman" w:hAnsi="Times New Roman" w:cs="Times New Roman"/>
                <w:sz w:val="24"/>
                <w:szCs w:val="24"/>
                <w:lang w:eastAsia="lv-LV"/>
              </w:rPr>
              <w:t xml:space="preserve">rezultātā </w:t>
            </w:r>
            <w:r w:rsidRPr="00D81AD3">
              <w:rPr>
                <w:rFonts w:ascii="Times New Roman" w:eastAsia="Calibri" w:hAnsi="Times New Roman" w:cs="Times New Roman"/>
                <w:sz w:val="24"/>
                <w:szCs w:val="24"/>
              </w:rPr>
              <w:t xml:space="preserve">Latvijas </w:t>
            </w:r>
            <w:r>
              <w:rPr>
                <w:rFonts w:ascii="Times New Roman" w:eastAsia="Calibri" w:hAnsi="Times New Roman" w:cs="Times New Roman"/>
                <w:sz w:val="24"/>
                <w:szCs w:val="24"/>
              </w:rPr>
              <w:t>P</w:t>
            </w:r>
            <w:r w:rsidRPr="00D81AD3">
              <w:rPr>
                <w:rFonts w:ascii="Times New Roman" w:eastAsia="Calibri" w:hAnsi="Times New Roman" w:cs="Times New Roman"/>
                <w:sz w:val="24"/>
                <w:szCs w:val="24"/>
              </w:rPr>
              <w:t xml:space="preserve">rivātā un </w:t>
            </w:r>
            <w:proofErr w:type="spellStart"/>
            <w:r>
              <w:rPr>
                <w:rFonts w:ascii="Times New Roman" w:eastAsia="Calibri" w:hAnsi="Times New Roman" w:cs="Times New Roman"/>
                <w:sz w:val="24"/>
                <w:szCs w:val="24"/>
              </w:rPr>
              <w:t>I</w:t>
            </w:r>
            <w:r w:rsidRPr="00D81AD3">
              <w:rPr>
                <w:rFonts w:ascii="Times New Roman" w:eastAsia="Calibri" w:hAnsi="Times New Roman" w:cs="Times New Roman"/>
                <w:sz w:val="24"/>
                <w:szCs w:val="24"/>
              </w:rPr>
              <w:t>espējkapitāla</w:t>
            </w:r>
            <w:proofErr w:type="spellEnd"/>
            <w:r w:rsidRPr="00D81AD3">
              <w:rPr>
                <w:rFonts w:ascii="Times New Roman" w:eastAsia="Calibri" w:hAnsi="Times New Roman" w:cs="Times New Roman"/>
                <w:sz w:val="24"/>
                <w:szCs w:val="24"/>
              </w:rPr>
              <w:t xml:space="preserve"> asociācija</w:t>
            </w:r>
            <w:r>
              <w:rPr>
                <w:rFonts w:ascii="Times New Roman" w:eastAsia="Calibri" w:hAnsi="Times New Roman" w:cs="Times New Roman"/>
                <w:sz w:val="24"/>
                <w:szCs w:val="24"/>
              </w:rPr>
              <w:t xml:space="preserve"> un Valsts ieņēmumu dienests</w:t>
            </w:r>
            <w:r>
              <w:rPr>
                <w:rFonts w:ascii="Times New Roman" w:eastAsia="Calibri" w:hAnsi="Times New Roman" w:cs="Times New Roman"/>
                <w:sz w:val="24"/>
                <w:szCs w:val="24"/>
              </w:rPr>
              <w:t xml:space="preserve"> informēja</w:t>
            </w:r>
            <w:r w:rsidR="00E5649B">
              <w:rPr>
                <w:rFonts w:ascii="Times New Roman" w:eastAsia="Calibri" w:hAnsi="Times New Roman" w:cs="Times New Roman"/>
                <w:sz w:val="24"/>
                <w:szCs w:val="24"/>
              </w:rPr>
              <w:t>, ka nav komentāru par noteikumu projektu</w:t>
            </w:r>
            <w:r w:rsidR="00E20A60" w:rsidRPr="00513738">
              <w:rPr>
                <w:rFonts w:ascii="Times New Roman" w:eastAsia="Times New Roman" w:hAnsi="Times New Roman" w:cs="Times New Roman"/>
                <w:sz w:val="24"/>
                <w:szCs w:val="24"/>
                <w:lang w:eastAsia="lv-LV"/>
              </w:rPr>
              <w:t>.</w:t>
            </w:r>
          </w:p>
        </w:tc>
      </w:tr>
    </w:tbl>
    <w:p w14:paraId="1574CF20" w14:textId="77777777" w:rsidR="009B27BE" w:rsidRDefault="009B27BE" w:rsidP="0049248A">
      <w:pPr>
        <w:spacing w:after="0" w:line="240" w:lineRule="auto"/>
        <w:rPr>
          <w:rFonts w:ascii="Times New Roman" w:hAnsi="Times New Roman" w:cs="Times New Roman"/>
          <w:sz w:val="24"/>
          <w:szCs w:val="24"/>
        </w:rPr>
      </w:pPr>
    </w:p>
    <w:p w14:paraId="0D92A344" w14:textId="77777777" w:rsidR="000A6CFE" w:rsidRDefault="000A6CFE" w:rsidP="0049248A">
      <w:pPr>
        <w:spacing w:after="0" w:line="240" w:lineRule="auto"/>
        <w:rPr>
          <w:rFonts w:ascii="Times New Roman" w:hAnsi="Times New Roman" w:cs="Times New Roman"/>
          <w:sz w:val="24"/>
          <w:szCs w:val="24"/>
        </w:rPr>
        <w:sectPr w:rsidR="000A6CFE" w:rsidSect="007E313B">
          <w:headerReference w:type="default" r:id="rId11"/>
          <w:pgSz w:w="11906" w:h="16838" w:code="9"/>
          <w:pgMar w:top="1134" w:right="1134" w:bottom="1134" w:left="1701" w:header="708" w:footer="708" w:gutter="0"/>
          <w:cols w:space="708"/>
          <w:titlePg/>
          <w:docGrid w:linePitch="360"/>
        </w:sectPr>
      </w:pPr>
    </w:p>
    <w:p w14:paraId="6DF4B331" w14:textId="77777777" w:rsidR="000A6CFE" w:rsidRPr="00AB380A" w:rsidRDefault="000A6CFE" w:rsidP="000A6CFE">
      <w:pPr>
        <w:spacing w:after="0" w:line="240" w:lineRule="auto"/>
        <w:jc w:val="right"/>
        <w:rPr>
          <w:rFonts w:ascii="Times New Roman" w:hAnsi="Times New Roman" w:cs="Times New Roman"/>
          <w:sz w:val="24"/>
          <w:szCs w:val="24"/>
        </w:rPr>
      </w:pPr>
      <w:r w:rsidRPr="00AB380A">
        <w:rPr>
          <w:rFonts w:ascii="Times New Roman" w:hAnsi="Times New Roman" w:cs="Times New Roman"/>
          <w:sz w:val="24"/>
          <w:szCs w:val="24"/>
        </w:rPr>
        <w:lastRenderedPageBreak/>
        <w:t>Pielikums</w:t>
      </w:r>
    </w:p>
    <w:p w14:paraId="5F8B436E" w14:textId="77777777" w:rsidR="000A6CFE" w:rsidRPr="00AB380A" w:rsidRDefault="000A6CFE" w:rsidP="000A6CFE">
      <w:pPr>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7CA6AAB3" w14:textId="77777777" w:rsidR="000A6CFE" w:rsidRPr="00AB380A" w:rsidRDefault="000A6CFE" w:rsidP="000A6CFE">
      <w:pPr>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20EF89C5" w14:textId="2884209B" w:rsidR="000A6CFE" w:rsidRPr="00AB380A" w:rsidRDefault="000A6CFE" w:rsidP="000A6CFE">
      <w:pPr>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00B96114" w:rsidRPr="00CE556F">
        <w:rPr>
          <w:rFonts w:ascii="Times New Roman" w:hAnsi="Times New Roman" w:cs="Times New Roman"/>
          <w:sz w:val="24"/>
          <w:szCs w:val="24"/>
        </w:rPr>
        <w:t>Slēgtā alternatīvo ieguldījumu fonda gada pārskata un konsolidētā gada pārskata sagatavošanas noteikumi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projekts)</w:t>
      </w:r>
    </w:p>
    <w:p w14:paraId="2084FE0B" w14:textId="7C0498A8" w:rsidR="000A6CFE" w:rsidRPr="00B55597" w:rsidRDefault="000A6CFE" w:rsidP="000A6CFE">
      <w:pPr>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Pr="00C572C9">
        <w:rPr>
          <w:rFonts w:ascii="Times New Roman" w:eastAsia="Times New Roman" w:hAnsi="Times New Roman" w:cs="Times New Roman"/>
          <w:iCs/>
          <w:sz w:val="24"/>
          <w:szCs w:val="24"/>
        </w:rPr>
        <w:t>Padomes 1986.</w:t>
      </w:r>
      <w:r w:rsidR="00DB1BBA">
        <w:rPr>
          <w:rFonts w:ascii="Times New Roman" w:eastAsia="Times New Roman" w:hAnsi="Times New Roman" w:cs="Times New Roman"/>
          <w:iCs/>
          <w:sz w:val="24"/>
          <w:szCs w:val="24"/>
        </w:rPr>
        <w:t> </w:t>
      </w:r>
      <w:r w:rsidRPr="00C572C9">
        <w:rPr>
          <w:rFonts w:ascii="Times New Roman" w:eastAsia="Times New Roman" w:hAnsi="Times New Roman" w:cs="Times New Roman"/>
          <w:iCs/>
          <w:sz w:val="24"/>
          <w:szCs w:val="24"/>
        </w:rPr>
        <w:t>gada 8.</w:t>
      </w:r>
      <w:r w:rsidR="00DB1BBA">
        <w:rPr>
          <w:rFonts w:ascii="Times New Roman" w:eastAsia="Times New Roman" w:hAnsi="Times New Roman" w:cs="Times New Roman"/>
          <w:iCs/>
          <w:sz w:val="24"/>
          <w:szCs w:val="24"/>
        </w:rPr>
        <w:t> </w:t>
      </w:r>
      <w:r w:rsidRPr="00C572C9">
        <w:rPr>
          <w:rFonts w:ascii="Times New Roman" w:eastAsia="Times New Roman" w:hAnsi="Times New Roman" w:cs="Times New Roman"/>
          <w:iCs/>
          <w:sz w:val="24"/>
          <w:szCs w:val="24"/>
        </w:rPr>
        <w:t>decembra direktīva</w:t>
      </w:r>
      <w:r w:rsidR="00DB1BBA">
        <w:rPr>
          <w:rFonts w:ascii="Times New Roman" w:eastAsia="Times New Roman" w:hAnsi="Times New Roman" w:cs="Times New Roman"/>
          <w:iCs/>
          <w:sz w:val="24"/>
          <w:szCs w:val="24"/>
        </w:rPr>
        <w:t xml:space="preserve"> </w:t>
      </w:r>
      <w:r w:rsidR="00DB1BBA" w:rsidRPr="00C572C9">
        <w:rPr>
          <w:rFonts w:ascii="Times New Roman" w:eastAsia="Times New Roman" w:hAnsi="Times New Roman" w:cs="Times New Roman"/>
          <w:iCs/>
          <w:sz w:val="24"/>
          <w:szCs w:val="24"/>
        </w:rPr>
        <w:t>86/635/EEK</w:t>
      </w:r>
      <w:r w:rsidRPr="00C572C9">
        <w:rPr>
          <w:rFonts w:ascii="Times New Roman" w:eastAsia="Times New Roman" w:hAnsi="Times New Roman" w:cs="Times New Roman"/>
          <w:iCs/>
          <w:sz w:val="24"/>
          <w:szCs w:val="24"/>
        </w:rPr>
        <w:t xml:space="preserve"> par banku un citu finanšu iestāžu gada pārskatiem un konsolidētajiem gada pārskatiem </w:t>
      </w:r>
      <w:r>
        <w:rPr>
          <w:rFonts w:ascii="Times New Roman" w:hAnsi="Times New Roman" w:cs="Times New Roman"/>
          <w:bCs/>
          <w:sz w:val="24"/>
          <w:szCs w:val="24"/>
        </w:rPr>
        <w:t xml:space="preserve">(turpmāk – </w:t>
      </w:r>
      <w:r w:rsidRPr="00C138A9">
        <w:rPr>
          <w:rFonts w:ascii="Times New Roman" w:hAnsi="Times New Roman" w:cs="Times New Roman"/>
          <w:bCs/>
          <w:sz w:val="24"/>
          <w:szCs w:val="24"/>
        </w:rPr>
        <w:t>Direktīva</w:t>
      </w:r>
      <w:r>
        <w:rPr>
          <w:rFonts w:ascii="Times New Roman" w:hAnsi="Times New Roman" w:cs="Times New Roman"/>
          <w:bCs/>
          <w:sz w:val="24"/>
          <w:szCs w:val="24"/>
        </w:rPr>
        <w:t> </w:t>
      </w:r>
      <w:r w:rsidRPr="00C572C9">
        <w:rPr>
          <w:rFonts w:ascii="Times New Roman" w:eastAsia="Times New Roman" w:hAnsi="Times New Roman" w:cs="Times New Roman"/>
          <w:iCs/>
          <w:sz w:val="24"/>
          <w:szCs w:val="24"/>
        </w:rPr>
        <w:t>86/635/EEK</w:t>
      </w:r>
      <w:r>
        <w:rPr>
          <w:rFonts w:ascii="Times New Roman" w:hAnsi="Times New Roman" w:cs="Times New Roman"/>
          <w:bCs/>
          <w:sz w:val="24"/>
          <w:szCs w:val="24"/>
        </w:rPr>
        <w:t>)</w:t>
      </w:r>
    </w:p>
    <w:tbl>
      <w:tblPr>
        <w:tblStyle w:val="Reatabula"/>
        <w:tblW w:w="14771" w:type="dxa"/>
        <w:tblLook w:val="04A0" w:firstRow="1" w:lastRow="0" w:firstColumn="1" w:lastColumn="0" w:noHBand="0" w:noVBand="1"/>
      </w:tblPr>
      <w:tblGrid>
        <w:gridCol w:w="2706"/>
        <w:gridCol w:w="3442"/>
        <w:gridCol w:w="2059"/>
        <w:gridCol w:w="2186"/>
        <w:gridCol w:w="2288"/>
        <w:gridCol w:w="2090"/>
      </w:tblGrid>
      <w:tr w:rsidR="000A6CFE" w:rsidRPr="00AB380A" w14:paraId="4CE015DF" w14:textId="77777777" w:rsidTr="002A1A0D">
        <w:tc>
          <w:tcPr>
            <w:tcW w:w="2732" w:type="dxa"/>
          </w:tcPr>
          <w:p w14:paraId="2912BDAB" w14:textId="48BA2018"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w:t>
            </w:r>
            <w:r w:rsidR="00590977">
              <w:rPr>
                <w:rFonts w:ascii="Times New Roman" w:hAnsi="Times New Roman" w:cs="Times New Roman"/>
                <w:i/>
                <w:iCs/>
                <w:sz w:val="24"/>
                <w:szCs w:val="24"/>
              </w:rPr>
              <w:t>n</w:t>
            </w:r>
            <w:r w:rsidRPr="00503F80">
              <w:rPr>
                <w:rFonts w:ascii="Times New Roman" w:hAnsi="Times New Roman" w:cs="Times New Roman"/>
                <w:i/>
                <w:iCs/>
                <w:sz w:val="24"/>
                <w:szCs w:val="24"/>
              </w:rPr>
              <w:t>orāda pēc iespējas konkrētāku teksta vienību)</w:t>
            </w:r>
          </w:p>
        </w:tc>
        <w:tc>
          <w:tcPr>
            <w:tcW w:w="3532" w:type="dxa"/>
          </w:tcPr>
          <w:p w14:paraId="4F032283" w14:textId="6B33B5A9" w:rsidR="000A6CFE" w:rsidRPr="00503F80" w:rsidRDefault="00273AB1" w:rsidP="002A1A0D">
            <w:pPr>
              <w:jc w:val="center"/>
              <w:rPr>
                <w:rFonts w:ascii="Times New Roman" w:hAnsi="Times New Roman" w:cs="Times New Roman"/>
                <w:b/>
                <w:bCs/>
                <w:sz w:val="24"/>
                <w:szCs w:val="24"/>
              </w:rPr>
            </w:pPr>
            <w:r>
              <w:rPr>
                <w:rFonts w:ascii="Times New Roman" w:hAnsi="Times New Roman" w:cs="Times New Roman"/>
                <w:b/>
                <w:bCs/>
                <w:sz w:val="24"/>
                <w:szCs w:val="24"/>
              </w:rPr>
              <w:t>P</w:t>
            </w:r>
            <w:r w:rsidR="000A6CFE" w:rsidRPr="00503F80">
              <w:rPr>
                <w:rFonts w:ascii="Times New Roman" w:hAnsi="Times New Roman" w:cs="Times New Roman"/>
                <w:b/>
                <w:bCs/>
                <w:sz w:val="24"/>
                <w:szCs w:val="24"/>
              </w:rPr>
              <w:t>rojekta punkts vai apakšpunkts, kas izpilda A ailē minēto prasību</w:t>
            </w:r>
          </w:p>
          <w:p w14:paraId="464FC9D1" w14:textId="276E15C8" w:rsidR="000A6CFE" w:rsidRPr="00503F80" w:rsidRDefault="000A6CFE" w:rsidP="002A1A0D">
            <w:pPr>
              <w:jc w:val="center"/>
              <w:rPr>
                <w:rFonts w:ascii="Times New Roman" w:hAnsi="Times New Roman" w:cs="Times New Roman"/>
                <w:b/>
                <w:bCs/>
                <w:sz w:val="24"/>
                <w:szCs w:val="24"/>
              </w:rPr>
            </w:pPr>
            <w:r w:rsidRPr="00503F80">
              <w:rPr>
                <w:rFonts w:ascii="Times New Roman" w:hAnsi="Times New Roman" w:cs="Times New Roman"/>
                <w:i/>
                <w:iCs/>
                <w:sz w:val="24"/>
                <w:szCs w:val="24"/>
              </w:rPr>
              <w:t>(</w:t>
            </w:r>
            <w:r w:rsidR="00590977">
              <w:rPr>
                <w:rFonts w:ascii="Times New Roman" w:hAnsi="Times New Roman" w:cs="Times New Roman"/>
                <w:i/>
                <w:iCs/>
                <w:sz w:val="24"/>
                <w:szCs w:val="24"/>
              </w:rPr>
              <w:t>n</w:t>
            </w:r>
            <w:r w:rsidRPr="00503F80">
              <w:rPr>
                <w:rFonts w:ascii="Times New Roman" w:hAnsi="Times New Roman" w:cs="Times New Roman"/>
                <w:i/>
                <w:iCs/>
                <w:sz w:val="24"/>
                <w:szCs w:val="24"/>
              </w:rPr>
              <w:t>orāda pēc iespējas konkrētāku teksta vienību)</w:t>
            </w:r>
          </w:p>
        </w:tc>
        <w:tc>
          <w:tcPr>
            <w:tcW w:w="2088" w:type="dxa"/>
          </w:tcPr>
          <w:p w14:paraId="7DFE22AD" w14:textId="4546640F" w:rsidR="000A6CFE" w:rsidRPr="00503F80" w:rsidRDefault="000A6CFE" w:rsidP="002A1A0D">
            <w:pPr>
              <w:jc w:val="center"/>
              <w:rPr>
                <w:rFonts w:ascii="Times New Roman" w:hAnsi="Times New Roman" w:cs="Times New Roman"/>
                <w:b/>
                <w:bCs/>
                <w:sz w:val="24"/>
                <w:szCs w:val="24"/>
              </w:rPr>
            </w:pPr>
            <w:r w:rsidRPr="00503F80">
              <w:rPr>
                <w:rFonts w:ascii="Times New Roman" w:hAnsi="Times New Roman" w:cs="Times New Roman"/>
                <w:b/>
                <w:bCs/>
                <w:sz w:val="24"/>
                <w:szCs w:val="24"/>
              </w:rPr>
              <w:t>Vai A ailē minētā prasība ar B ailē minēto projekta punktu vai apakšpunktu tiek izpildīta pilnībā vai daļēji</w:t>
            </w:r>
          </w:p>
          <w:p w14:paraId="19853931" w14:textId="38797B73" w:rsidR="000A6CFE" w:rsidRPr="00503F80" w:rsidRDefault="000A6CFE" w:rsidP="002A1A0D">
            <w:pPr>
              <w:jc w:val="center"/>
              <w:rPr>
                <w:rFonts w:ascii="Times New Roman" w:hAnsi="Times New Roman" w:cs="Times New Roman"/>
                <w:b/>
                <w:bCs/>
                <w:sz w:val="24"/>
                <w:szCs w:val="24"/>
              </w:rPr>
            </w:pPr>
            <w:r w:rsidRPr="00503F80">
              <w:rPr>
                <w:rFonts w:ascii="Times New Roman" w:hAnsi="Times New Roman" w:cs="Times New Roman"/>
                <w:i/>
                <w:iCs/>
                <w:sz w:val="24"/>
                <w:szCs w:val="24"/>
              </w:rPr>
              <w:t>(</w:t>
            </w:r>
            <w:r w:rsidR="00590977">
              <w:rPr>
                <w:rFonts w:ascii="Times New Roman" w:hAnsi="Times New Roman" w:cs="Times New Roman"/>
                <w:i/>
                <w:iCs/>
                <w:sz w:val="24"/>
                <w:szCs w:val="24"/>
              </w:rPr>
              <w:t>j</w:t>
            </w:r>
            <w:r w:rsidRPr="00503F80">
              <w:rPr>
                <w:rFonts w:ascii="Times New Roman" w:hAnsi="Times New Roman" w:cs="Times New Roman"/>
                <w:i/>
                <w:iCs/>
                <w:sz w:val="24"/>
                <w:szCs w:val="24"/>
              </w:rPr>
              <w:t>a daļēji, norāda, kur un kā ir vai tiks nodrošināta prasības pilnīga izpilde)</w:t>
            </w:r>
          </w:p>
        </w:tc>
        <w:tc>
          <w:tcPr>
            <w:tcW w:w="2205" w:type="dxa"/>
          </w:tcPr>
          <w:p w14:paraId="26EFC779" w14:textId="2781C91D" w:rsidR="000A6CFE" w:rsidRPr="00503F80" w:rsidRDefault="000A6CFE" w:rsidP="002A1A0D">
            <w:pPr>
              <w:jc w:val="center"/>
              <w:rPr>
                <w:rFonts w:ascii="Times New Roman" w:hAnsi="Times New Roman" w:cs="Times New Roman"/>
                <w:b/>
                <w:bCs/>
                <w:sz w:val="24"/>
                <w:szCs w:val="24"/>
              </w:rPr>
            </w:pPr>
            <w:r w:rsidRPr="00503F80">
              <w:rPr>
                <w:rFonts w:ascii="Times New Roman" w:hAnsi="Times New Roman" w:cs="Times New Roman"/>
                <w:b/>
                <w:bCs/>
                <w:sz w:val="24"/>
                <w:szCs w:val="24"/>
              </w:rPr>
              <w:t>Vai B ailē norādītais projekta punkts vai apakšpunkts paredz stingrākas prasības nekā A ailē minētā prasība</w:t>
            </w:r>
          </w:p>
          <w:p w14:paraId="57C4290C" w14:textId="390D2B50" w:rsidR="000A6CFE" w:rsidRPr="00503F80" w:rsidRDefault="000A6CFE" w:rsidP="002A1A0D">
            <w:pPr>
              <w:jc w:val="center"/>
              <w:rPr>
                <w:rFonts w:ascii="Times New Roman" w:hAnsi="Times New Roman" w:cs="Times New Roman"/>
                <w:b/>
                <w:bCs/>
                <w:sz w:val="24"/>
                <w:szCs w:val="24"/>
              </w:rPr>
            </w:pPr>
            <w:r w:rsidRPr="00503F80">
              <w:rPr>
                <w:rFonts w:ascii="Times New Roman" w:hAnsi="Times New Roman" w:cs="Times New Roman"/>
                <w:i/>
                <w:iCs/>
                <w:sz w:val="24"/>
                <w:szCs w:val="24"/>
              </w:rPr>
              <w:t>(</w:t>
            </w:r>
            <w:r w:rsidR="00590977">
              <w:rPr>
                <w:rFonts w:ascii="Times New Roman" w:hAnsi="Times New Roman" w:cs="Times New Roman"/>
                <w:i/>
                <w:iCs/>
                <w:sz w:val="24"/>
                <w:szCs w:val="24"/>
              </w:rPr>
              <w:t>j</w:t>
            </w:r>
            <w:r w:rsidRPr="00503F80">
              <w:rPr>
                <w:rFonts w:ascii="Times New Roman" w:hAnsi="Times New Roman" w:cs="Times New Roman"/>
                <w:i/>
                <w:iCs/>
                <w:sz w:val="24"/>
                <w:szCs w:val="24"/>
              </w:rPr>
              <w:t>a paredz stingrākas prasības, norāda pamatojumu šādu stingrāku prasību nepieciešamībai)</w:t>
            </w:r>
          </w:p>
        </w:tc>
        <w:tc>
          <w:tcPr>
            <w:tcW w:w="2093" w:type="dxa"/>
          </w:tcPr>
          <w:p w14:paraId="1B67A520" w14:textId="4943645E" w:rsidR="000A6CFE" w:rsidRPr="00503F80" w:rsidRDefault="000A6CFE" w:rsidP="002A1A0D">
            <w:pPr>
              <w:jc w:val="center"/>
              <w:rPr>
                <w:rFonts w:ascii="Times New Roman" w:hAnsi="Times New Roman" w:cs="Times New Roman"/>
                <w:b/>
                <w:bCs/>
                <w:sz w:val="24"/>
                <w:szCs w:val="24"/>
              </w:rPr>
            </w:pPr>
            <w:r w:rsidRPr="00503F80">
              <w:rPr>
                <w:rFonts w:ascii="Times New Roman" w:hAnsi="Times New Roman" w:cs="Times New Roman"/>
                <w:b/>
                <w:bCs/>
                <w:sz w:val="24"/>
                <w:szCs w:val="24"/>
              </w:rPr>
              <w:t>Vai A ailē minētā prasība ir jāizpilda obligāti</w:t>
            </w:r>
          </w:p>
          <w:p w14:paraId="72368873" w14:textId="396E4EDA" w:rsidR="000A6CFE" w:rsidRPr="00503F80" w:rsidRDefault="000A6CFE" w:rsidP="002A1A0D">
            <w:pPr>
              <w:jc w:val="center"/>
              <w:rPr>
                <w:rFonts w:ascii="Times New Roman" w:hAnsi="Times New Roman" w:cs="Times New Roman"/>
                <w:i/>
                <w:iCs/>
                <w:sz w:val="24"/>
                <w:szCs w:val="24"/>
              </w:rPr>
            </w:pPr>
            <w:r w:rsidRPr="00503F80">
              <w:rPr>
                <w:rFonts w:ascii="Times New Roman" w:hAnsi="Times New Roman" w:cs="Times New Roman"/>
                <w:i/>
                <w:iCs/>
                <w:sz w:val="24"/>
                <w:szCs w:val="24"/>
              </w:rPr>
              <w:t>(</w:t>
            </w:r>
            <w:r w:rsidR="00590977">
              <w:rPr>
                <w:rFonts w:ascii="Times New Roman" w:hAnsi="Times New Roman" w:cs="Times New Roman"/>
                <w:i/>
                <w:iCs/>
                <w:sz w:val="24"/>
                <w:szCs w:val="24"/>
              </w:rPr>
              <w:t>j</w:t>
            </w:r>
            <w:r w:rsidRPr="00503F80">
              <w:rPr>
                <w:rFonts w:ascii="Times New Roman" w:hAnsi="Times New Roman" w:cs="Times New Roman"/>
                <w:i/>
                <w:iCs/>
                <w:sz w:val="24"/>
                <w:szCs w:val="24"/>
              </w:rPr>
              <w:t>a Eiropas Savienības tiesību akts paredz izvēles iespēju, norāda, vai un kādēļ šī rīcības brīvība Latvijā ir vai nav jāizmanto)</w:t>
            </w:r>
          </w:p>
          <w:p w14:paraId="311D9D16" w14:textId="77777777" w:rsidR="000A6CFE" w:rsidRPr="00503F80" w:rsidRDefault="000A6CFE" w:rsidP="002A1A0D">
            <w:pPr>
              <w:jc w:val="center"/>
              <w:rPr>
                <w:rFonts w:ascii="Times New Roman" w:hAnsi="Times New Roman" w:cs="Times New Roman"/>
                <w:b/>
                <w:bCs/>
                <w:sz w:val="24"/>
                <w:szCs w:val="24"/>
              </w:rPr>
            </w:pPr>
          </w:p>
          <w:p w14:paraId="582031D4" w14:textId="77777777" w:rsidR="000A6CFE" w:rsidRPr="00503F80" w:rsidRDefault="000A6CFE" w:rsidP="002A1A0D">
            <w:pPr>
              <w:jc w:val="center"/>
              <w:rPr>
                <w:rFonts w:ascii="Times New Roman" w:hAnsi="Times New Roman" w:cs="Times New Roman"/>
                <w:b/>
                <w:bCs/>
                <w:sz w:val="24"/>
                <w:szCs w:val="24"/>
              </w:rPr>
            </w:pPr>
          </w:p>
        </w:tc>
        <w:tc>
          <w:tcPr>
            <w:tcW w:w="2121" w:type="dxa"/>
          </w:tcPr>
          <w:p w14:paraId="66246DE0" w14:textId="57D3DFD4" w:rsidR="000A6CFE" w:rsidRPr="00503F80" w:rsidRDefault="000A6CFE" w:rsidP="002A1A0D">
            <w:pPr>
              <w:jc w:val="center"/>
              <w:rPr>
                <w:rStyle w:val="cf01"/>
                <w:rFonts w:ascii="Times New Roman" w:hAnsi="Times New Roman" w:cs="Times New Roman"/>
                <w:b/>
                <w:bCs/>
                <w:sz w:val="24"/>
                <w:szCs w:val="24"/>
              </w:rPr>
            </w:pPr>
            <w:r w:rsidRPr="00503F80">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1E981EBE" w14:textId="763EB1A9" w:rsidR="000A6CFE" w:rsidRPr="00503F80" w:rsidRDefault="000A6CFE" w:rsidP="002A1A0D">
            <w:pPr>
              <w:jc w:val="center"/>
              <w:rPr>
                <w:rFonts w:ascii="Times New Roman" w:hAnsi="Times New Roman" w:cs="Times New Roman"/>
                <w:b/>
                <w:bCs/>
                <w:sz w:val="24"/>
                <w:szCs w:val="24"/>
              </w:rPr>
            </w:pPr>
            <w:r w:rsidRPr="00503F80">
              <w:rPr>
                <w:rStyle w:val="cf01"/>
                <w:rFonts w:ascii="Times New Roman" w:hAnsi="Times New Roman" w:cs="Times New Roman"/>
                <w:i/>
                <w:iCs/>
                <w:sz w:val="24"/>
                <w:szCs w:val="24"/>
              </w:rPr>
              <w:t>(</w:t>
            </w:r>
            <w:r w:rsidR="00590977">
              <w:rPr>
                <w:rStyle w:val="cf01"/>
                <w:rFonts w:ascii="Times New Roman" w:hAnsi="Times New Roman" w:cs="Times New Roman"/>
                <w:i/>
                <w:iCs/>
                <w:sz w:val="24"/>
                <w:szCs w:val="24"/>
              </w:rPr>
              <w:t>j</w:t>
            </w:r>
            <w:r w:rsidRPr="00503F80">
              <w:rPr>
                <w:rStyle w:val="cf01"/>
                <w:rFonts w:ascii="Times New Roman" w:hAnsi="Times New Roman" w:cs="Times New Roman"/>
                <w:i/>
                <w:iCs/>
                <w:sz w:val="24"/>
                <w:szCs w:val="24"/>
              </w:rPr>
              <w:t>a paredz, norāda, kas un kādā termiņā šo paziņošanas pienākumu izpildīs)</w:t>
            </w:r>
          </w:p>
        </w:tc>
      </w:tr>
      <w:tr w:rsidR="000A6CFE" w:rsidRPr="00AB380A" w14:paraId="3FC89772" w14:textId="77777777" w:rsidTr="002A1A0D">
        <w:tc>
          <w:tcPr>
            <w:tcW w:w="2732" w:type="dxa"/>
          </w:tcPr>
          <w:p w14:paraId="4BB3E45A"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3532" w:type="dxa"/>
          </w:tcPr>
          <w:p w14:paraId="4F4C3074"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088" w:type="dxa"/>
          </w:tcPr>
          <w:p w14:paraId="38EBB13A"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205" w:type="dxa"/>
          </w:tcPr>
          <w:p w14:paraId="44FAC4CD"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093" w:type="dxa"/>
          </w:tcPr>
          <w:p w14:paraId="635CD84B"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121" w:type="dxa"/>
          </w:tcPr>
          <w:p w14:paraId="7BE29DB1" w14:textId="77777777" w:rsidR="000A6CFE" w:rsidRPr="00503F80" w:rsidRDefault="000A6CFE" w:rsidP="002A1A0D">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0A6CFE" w:rsidRPr="00001188" w14:paraId="72C1FBEF" w14:textId="77777777" w:rsidTr="002A1A0D">
        <w:tc>
          <w:tcPr>
            <w:tcW w:w="2732" w:type="dxa"/>
          </w:tcPr>
          <w:p w14:paraId="0D66CBE8" w14:textId="30677614"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8. pants</w:t>
            </w:r>
          </w:p>
        </w:tc>
        <w:tc>
          <w:tcPr>
            <w:tcW w:w="3532" w:type="dxa"/>
          </w:tcPr>
          <w:p w14:paraId="3BA92E71" w14:textId="657275B6" w:rsidR="000A6CFE" w:rsidRPr="00682F94" w:rsidRDefault="003418A8" w:rsidP="002A1A0D">
            <w:pPr>
              <w:rPr>
                <w:rFonts w:ascii="Times New Roman" w:hAnsi="Times New Roman" w:cs="Times New Roman"/>
              </w:rPr>
            </w:pPr>
            <w:r>
              <w:rPr>
                <w:rFonts w:ascii="Times New Roman" w:hAnsi="Times New Roman" w:cs="Times New Roman"/>
              </w:rPr>
              <w:t>Projekta 44. punkts</w:t>
            </w:r>
          </w:p>
        </w:tc>
        <w:tc>
          <w:tcPr>
            <w:tcW w:w="2088" w:type="dxa"/>
          </w:tcPr>
          <w:p w14:paraId="6467708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6F53DB54"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7F1216E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val="restart"/>
          </w:tcPr>
          <w:p w14:paraId="7404AF32" w14:textId="01301103" w:rsidR="000A6CFE" w:rsidRPr="00020DFD" w:rsidRDefault="000A6CFE" w:rsidP="002A1A0D">
            <w:pPr>
              <w:rPr>
                <w:rFonts w:ascii="Times New Roman" w:hAnsi="Times New Roman" w:cs="Times New Roman"/>
                <w:color w:val="FF0000"/>
              </w:rPr>
            </w:pPr>
            <w:r w:rsidRPr="000A6CFE">
              <w:rPr>
                <w:rFonts w:ascii="Times New Roman" w:hAnsi="Times New Roman" w:cs="Times New Roman"/>
              </w:rPr>
              <w:t>Direktīva</w:t>
            </w:r>
            <w:r>
              <w:rPr>
                <w:rFonts w:ascii="Times New Roman" w:hAnsi="Times New Roman" w:cs="Times New Roman"/>
              </w:rPr>
              <w:t xml:space="preserve">s </w:t>
            </w:r>
            <w:r w:rsidRPr="000A6CFE">
              <w:rPr>
                <w:rFonts w:ascii="Times New Roman" w:hAnsi="Times New Roman" w:cs="Times New Roman"/>
              </w:rPr>
              <w:t xml:space="preserve">86/635/EEK </w:t>
            </w:r>
            <w:r w:rsidR="00DB1BBA">
              <w:rPr>
                <w:rFonts w:ascii="Times New Roman" w:hAnsi="Times New Roman" w:cs="Times New Roman"/>
              </w:rPr>
              <w:t>47</w:t>
            </w:r>
            <w:r>
              <w:rPr>
                <w:rFonts w:ascii="Times New Roman" w:hAnsi="Times New Roman" w:cs="Times New Roman"/>
              </w:rPr>
              <w:t>.</w:t>
            </w:r>
            <w:r w:rsidR="00DB1BBA">
              <w:t> </w:t>
            </w:r>
            <w:r>
              <w:rPr>
                <w:rFonts w:ascii="Times New Roman" w:hAnsi="Times New Roman" w:cs="Times New Roman"/>
              </w:rPr>
              <w:t>pant</w:t>
            </w:r>
            <w:r w:rsidR="00DB1BBA">
              <w:rPr>
                <w:rFonts w:ascii="Times New Roman" w:hAnsi="Times New Roman" w:cs="Times New Roman"/>
              </w:rPr>
              <w:t>a 1. punkts</w:t>
            </w:r>
            <w:r>
              <w:rPr>
                <w:rFonts w:ascii="Times New Roman" w:hAnsi="Times New Roman" w:cs="Times New Roman"/>
              </w:rPr>
              <w:t xml:space="preserve"> </w:t>
            </w:r>
            <w:r w:rsidRPr="00455CD2">
              <w:rPr>
                <w:rFonts w:ascii="Times New Roman" w:hAnsi="Times New Roman" w:cs="Times New Roman"/>
              </w:rPr>
              <w:t>paredz, ka dalībvalstis paziņo Eiropas Komisijai</w:t>
            </w:r>
            <w:r w:rsidR="00B673BD">
              <w:rPr>
                <w:rFonts w:ascii="Times New Roman" w:hAnsi="Times New Roman" w:cs="Times New Roman"/>
              </w:rPr>
              <w:t xml:space="preserve"> </w:t>
            </w:r>
            <w:r w:rsidR="00B673BD">
              <w:rPr>
                <w:rFonts w:ascii="Times New Roman" w:hAnsi="Times New Roman" w:cs="Times New Roman"/>
              </w:rPr>
              <w:lastRenderedPageBreak/>
              <w:t>p</w:t>
            </w:r>
            <w:r w:rsidRPr="00455CD2">
              <w:rPr>
                <w:rFonts w:ascii="Times New Roman" w:hAnsi="Times New Roman" w:cs="Times New Roman"/>
              </w:rPr>
              <w:t xml:space="preserve">ar šīs direktīvas prasību pārņemšanu. </w:t>
            </w:r>
            <w:r w:rsidR="00C06F92" w:rsidRPr="00455CD2">
              <w:rPr>
                <w:rFonts w:ascii="Times New Roman" w:hAnsi="Times New Roman" w:cs="Times New Roman"/>
              </w:rPr>
              <w:t>Minēto paziņošanas pienākumu izpildīs Finanšu ministrija, sniedzot paziņojumu Eiropas Komisijai pēc projekta apstiprināšanas Latvijas Bankas padomē</w:t>
            </w:r>
            <w:r>
              <w:rPr>
                <w:rFonts w:ascii="Times New Roman" w:hAnsi="Times New Roman" w:cs="Times New Roman"/>
              </w:rPr>
              <w:t>.</w:t>
            </w:r>
          </w:p>
        </w:tc>
      </w:tr>
      <w:tr w:rsidR="00322359" w:rsidRPr="00001188" w14:paraId="6C69835B" w14:textId="77777777" w:rsidTr="002A1A0D">
        <w:tc>
          <w:tcPr>
            <w:tcW w:w="2732" w:type="dxa"/>
          </w:tcPr>
          <w:p w14:paraId="106FEB52" w14:textId="4188FC3A" w:rsidR="00322359" w:rsidRPr="00682F94" w:rsidRDefault="00322359"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11. pants</w:t>
            </w:r>
          </w:p>
        </w:tc>
        <w:tc>
          <w:tcPr>
            <w:tcW w:w="3532" w:type="dxa"/>
          </w:tcPr>
          <w:p w14:paraId="30A373DE" w14:textId="7E32DCE4" w:rsidR="00322359" w:rsidRPr="00682F94" w:rsidRDefault="003418A8" w:rsidP="002A1A0D">
            <w:pPr>
              <w:rPr>
                <w:rFonts w:ascii="Times New Roman" w:hAnsi="Times New Roman" w:cs="Times New Roman"/>
              </w:rPr>
            </w:pPr>
            <w:r>
              <w:rPr>
                <w:rFonts w:ascii="Times New Roman" w:hAnsi="Times New Roman" w:cs="Times New Roman"/>
              </w:rPr>
              <w:t>Projekta 21. punkta otrais teikums</w:t>
            </w:r>
          </w:p>
        </w:tc>
        <w:tc>
          <w:tcPr>
            <w:tcW w:w="2088" w:type="dxa"/>
          </w:tcPr>
          <w:p w14:paraId="09A0E5A4" w14:textId="0AFC742E" w:rsidR="00322359" w:rsidRPr="00682F94" w:rsidRDefault="00011100"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7C967DD2" w14:textId="505E47CD" w:rsidR="00322359" w:rsidRPr="00682F94" w:rsidRDefault="00011100" w:rsidP="002A1A0D">
            <w:pPr>
              <w:rPr>
                <w:rFonts w:ascii="Times New Roman" w:hAnsi="Times New Roman" w:cs="Times New Roman"/>
              </w:rPr>
            </w:pPr>
            <w:r>
              <w:rPr>
                <w:rFonts w:ascii="Times New Roman" w:hAnsi="Times New Roman" w:cs="Times New Roman"/>
              </w:rPr>
              <w:t>Nē</w:t>
            </w:r>
          </w:p>
        </w:tc>
        <w:tc>
          <w:tcPr>
            <w:tcW w:w="2093" w:type="dxa"/>
          </w:tcPr>
          <w:p w14:paraId="3465D8CD" w14:textId="1F31D5ED" w:rsidR="00322359" w:rsidRPr="00682F94" w:rsidRDefault="00011100" w:rsidP="002A1A0D">
            <w:pPr>
              <w:rPr>
                <w:rFonts w:ascii="Times New Roman" w:hAnsi="Times New Roman" w:cs="Times New Roman"/>
              </w:rPr>
            </w:pPr>
            <w:r>
              <w:rPr>
                <w:rFonts w:ascii="Times New Roman" w:hAnsi="Times New Roman" w:cs="Times New Roman"/>
              </w:rPr>
              <w:t>Jā</w:t>
            </w:r>
          </w:p>
        </w:tc>
        <w:tc>
          <w:tcPr>
            <w:tcW w:w="2121" w:type="dxa"/>
            <w:vMerge/>
          </w:tcPr>
          <w:p w14:paraId="423AFF86" w14:textId="77777777" w:rsidR="00322359" w:rsidRPr="00020DFD" w:rsidRDefault="00322359" w:rsidP="002A1A0D">
            <w:pPr>
              <w:rPr>
                <w:rFonts w:ascii="Times New Roman" w:hAnsi="Times New Roman" w:cs="Times New Roman"/>
                <w:color w:val="FF0000"/>
              </w:rPr>
            </w:pPr>
          </w:p>
        </w:tc>
      </w:tr>
      <w:tr w:rsidR="000A6CFE" w:rsidRPr="00001188" w14:paraId="5307D85E" w14:textId="77777777" w:rsidTr="002A1A0D">
        <w:tc>
          <w:tcPr>
            <w:tcW w:w="2732" w:type="dxa"/>
          </w:tcPr>
          <w:p w14:paraId="42885024" w14:textId="190B854F"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12. panta 1. punkts</w:t>
            </w:r>
          </w:p>
        </w:tc>
        <w:tc>
          <w:tcPr>
            <w:tcW w:w="3532" w:type="dxa"/>
          </w:tcPr>
          <w:p w14:paraId="027741CF" w14:textId="22A2CEC1" w:rsidR="000A6CFE" w:rsidRPr="00682F94" w:rsidRDefault="003418A8" w:rsidP="002A1A0D">
            <w:pPr>
              <w:rPr>
                <w:rFonts w:ascii="Times New Roman" w:hAnsi="Times New Roman" w:cs="Times New Roman"/>
              </w:rPr>
            </w:pPr>
            <w:r>
              <w:rPr>
                <w:rFonts w:ascii="Times New Roman" w:hAnsi="Times New Roman" w:cs="Times New Roman"/>
              </w:rPr>
              <w:t>Projekta 38. punkts</w:t>
            </w:r>
          </w:p>
        </w:tc>
        <w:tc>
          <w:tcPr>
            <w:tcW w:w="2088" w:type="dxa"/>
          </w:tcPr>
          <w:p w14:paraId="342455AD"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70F79F8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66AFA1B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7ADB8846" w14:textId="77777777" w:rsidR="000A6CFE" w:rsidRPr="00020DFD" w:rsidRDefault="000A6CFE" w:rsidP="002A1A0D">
            <w:pPr>
              <w:rPr>
                <w:rFonts w:ascii="Times New Roman" w:hAnsi="Times New Roman" w:cs="Times New Roman"/>
                <w:color w:val="FF0000"/>
              </w:rPr>
            </w:pPr>
          </w:p>
        </w:tc>
      </w:tr>
      <w:tr w:rsidR="000A6CFE" w:rsidRPr="00001188" w14:paraId="7A07A159" w14:textId="77777777" w:rsidTr="002A1A0D">
        <w:tc>
          <w:tcPr>
            <w:tcW w:w="2732" w:type="dxa"/>
          </w:tcPr>
          <w:p w14:paraId="6F048090" w14:textId="6D8D21BA" w:rsidR="000A6CFE" w:rsidRPr="00682F94" w:rsidRDefault="00795DD5" w:rsidP="002A1A0D">
            <w:pPr>
              <w:rPr>
                <w:rFonts w:ascii="Times New Roman" w:hAnsi="Times New Roman" w:cs="Times New Roman"/>
              </w:rPr>
            </w:pPr>
            <w:r w:rsidRPr="00682F94">
              <w:rPr>
                <w:rFonts w:ascii="Times New Roman" w:hAnsi="Times New Roman" w:cs="Times New Roman"/>
                <w:bCs/>
              </w:rPr>
              <w:lastRenderedPageBreak/>
              <w:t>Direktīvas </w:t>
            </w:r>
            <w:r w:rsidRPr="00682F94">
              <w:rPr>
                <w:rFonts w:ascii="Times New Roman" w:eastAsia="Times New Roman" w:hAnsi="Times New Roman" w:cs="Times New Roman"/>
                <w:iCs/>
              </w:rPr>
              <w:t>86/635/EEK 12. panta 2. un 4. punkts</w:t>
            </w:r>
          </w:p>
        </w:tc>
        <w:tc>
          <w:tcPr>
            <w:tcW w:w="3532" w:type="dxa"/>
          </w:tcPr>
          <w:p w14:paraId="1AC4FC2A" w14:textId="1C80ABE8" w:rsidR="000A6CFE" w:rsidRPr="00682F94" w:rsidRDefault="003418A8" w:rsidP="002A1A0D">
            <w:pPr>
              <w:rPr>
                <w:rFonts w:ascii="Times New Roman" w:hAnsi="Times New Roman" w:cs="Times New Roman"/>
              </w:rPr>
            </w:pPr>
            <w:r>
              <w:rPr>
                <w:rFonts w:ascii="Times New Roman" w:hAnsi="Times New Roman" w:cs="Times New Roman"/>
              </w:rPr>
              <w:t>Projekta 39. un 40. punkts</w:t>
            </w:r>
          </w:p>
        </w:tc>
        <w:tc>
          <w:tcPr>
            <w:tcW w:w="2088" w:type="dxa"/>
          </w:tcPr>
          <w:p w14:paraId="120AA7CF"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3DD46DCA"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1984C41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15625FF3" w14:textId="77777777" w:rsidR="000A6CFE" w:rsidRPr="00020DFD" w:rsidRDefault="000A6CFE" w:rsidP="002A1A0D">
            <w:pPr>
              <w:rPr>
                <w:rFonts w:ascii="Times New Roman" w:hAnsi="Times New Roman" w:cs="Times New Roman"/>
                <w:color w:val="FF0000"/>
              </w:rPr>
            </w:pPr>
          </w:p>
        </w:tc>
      </w:tr>
      <w:tr w:rsidR="000A6CFE" w:rsidRPr="00001188" w14:paraId="709439A8" w14:textId="77777777" w:rsidTr="002A1A0D">
        <w:tc>
          <w:tcPr>
            <w:tcW w:w="2732" w:type="dxa"/>
          </w:tcPr>
          <w:p w14:paraId="11C5DCC1" w14:textId="0B20592C"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12. panta 3. punkts</w:t>
            </w:r>
          </w:p>
        </w:tc>
        <w:tc>
          <w:tcPr>
            <w:tcW w:w="3532" w:type="dxa"/>
          </w:tcPr>
          <w:p w14:paraId="6EB290AE" w14:textId="3E75C7C7" w:rsidR="000A6CFE" w:rsidRPr="00682F94" w:rsidRDefault="003418A8" w:rsidP="002A1A0D">
            <w:pPr>
              <w:rPr>
                <w:rFonts w:ascii="Times New Roman" w:hAnsi="Times New Roman" w:cs="Times New Roman"/>
              </w:rPr>
            </w:pPr>
            <w:r>
              <w:rPr>
                <w:rFonts w:ascii="Times New Roman" w:hAnsi="Times New Roman" w:cs="Times New Roman"/>
              </w:rPr>
              <w:t>Projekta 41. punkts</w:t>
            </w:r>
          </w:p>
        </w:tc>
        <w:tc>
          <w:tcPr>
            <w:tcW w:w="2088" w:type="dxa"/>
          </w:tcPr>
          <w:p w14:paraId="536568BB"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746FC22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7E77FB1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5BE80EFF" w14:textId="77777777" w:rsidR="000A6CFE" w:rsidRPr="00020DFD" w:rsidRDefault="000A6CFE" w:rsidP="002A1A0D">
            <w:pPr>
              <w:rPr>
                <w:rFonts w:ascii="Times New Roman" w:hAnsi="Times New Roman" w:cs="Times New Roman"/>
                <w:color w:val="FF0000"/>
              </w:rPr>
            </w:pPr>
          </w:p>
        </w:tc>
      </w:tr>
      <w:tr w:rsidR="000A6CFE" w:rsidRPr="00001188" w14:paraId="34CB2511" w14:textId="77777777" w:rsidTr="002A1A0D">
        <w:tc>
          <w:tcPr>
            <w:tcW w:w="2732" w:type="dxa"/>
          </w:tcPr>
          <w:p w14:paraId="0174C6E4" w14:textId="565E182F"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12. panta 5. punkts</w:t>
            </w:r>
          </w:p>
        </w:tc>
        <w:tc>
          <w:tcPr>
            <w:tcW w:w="3532" w:type="dxa"/>
          </w:tcPr>
          <w:p w14:paraId="77FEB8D2" w14:textId="5C89A45B" w:rsidR="000A6CFE" w:rsidRPr="00682F94" w:rsidRDefault="00164811" w:rsidP="002A1A0D">
            <w:pPr>
              <w:rPr>
                <w:rFonts w:ascii="Times New Roman" w:hAnsi="Times New Roman" w:cs="Times New Roman"/>
              </w:rPr>
            </w:pPr>
            <w:r>
              <w:rPr>
                <w:rFonts w:ascii="Times New Roman" w:hAnsi="Times New Roman" w:cs="Times New Roman"/>
              </w:rPr>
              <w:t>Projekta 42. un 43. punkts</w:t>
            </w:r>
          </w:p>
        </w:tc>
        <w:tc>
          <w:tcPr>
            <w:tcW w:w="2088" w:type="dxa"/>
          </w:tcPr>
          <w:p w14:paraId="02053FA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1E670C1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7247607D"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374D8A9B" w14:textId="77777777" w:rsidR="000A6CFE" w:rsidRPr="00020DFD" w:rsidRDefault="000A6CFE" w:rsidP="002A1A0D">
            <w:pPr>
              <w:rPr>
                <w:rFonts w:ascii="Times New Roman" w:hAnsi="Times New Roman" w:cs="Times New Roman"/>
                <w:color w:val="FF0000"/>
              </w:rPr>
            </w:pPr>
          </w:p>
        </w:tc>
      </w:tr>
      <w:tr w:rsidR="000A6CFE" w:rsidRPr="00001188" w14:paraId="39FF0D4C" w14:textId="77777777" w:rsidTr="002A1A0D">
        <w:tc>
          <w:tcPr>
            <w:tcW w:w="2732" w:type="dxa"/>
          </w:tcPr>
          <w:p w14:paraId="7059BEF6" w14:textId="5E32A4F1" w:rsidR="000A6CFE" w:rsidRPr="00682F94" w:rsidRDefault="00795DD5"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 xml:space="preserve">86/635/EEK </w:t>
            </w:r>
            <w:r w:rsidR="00322359" w:rsidRPr="00682F94">
              <w:rPr>
                <w:rFonts w:ascii="Times New Roman" w:eastAsia="Times New Roman" w:hAnsi="Times New Roman" w:cs="Times New Roman"/>
                <w:iCs/>
              </w:rPr>
              <w:t>24</w:t>
            </w:r>
            <w:r w:rsidRPr="00682F94">
              <w:rPr>
                <w:rFonts w:ascii="Times New Roman" w:eastAsia="Times New Roman" w:hAnsi="Times New Roman" w:cs="Times New Roman"/>
                <w:iCs/>
              </w:rPr>
              <w:t>.</w:t>
            </w:r>
            <w:r w:rsidR="00A70D1A">
              <w:rPr>
                <w:rFonts w:ascii="Times New Roman" w:eastAsia="Times New Roman" w:hAnsi="Times New Roman" w:cs="Times New Roman"/>
                <w:iCs/>
              </w:rPr>
              <w:t> </w:t>
            </w:r>
            <w:r w:rsidR="00164811">
              <w:rPr>
                <w:rFonts w:ascii="Times New Roman" w:eastAsia="Times New Roman" w:hAnsi="Times New Roman" w:cs="Times New Roman"/>
                <w:iCs/>
              </w:rPr>
              <w:t>un 25.</w:t>
            </w:r>
            <w:r w:rsidRPr="00682F94">
              <w:rPr>
                <w:rFonts w:ascii="Times New Roman" w:eastAsia="Times New Roman" w:hAnsi="Times New Roman" w:cs="Times New Roman"/>
                <w:iCs/>
              </w:rPr>
              <w:t> pants</w:t>
            </w:r>
          </w:p>
        </w:tc>
        <w:tc>
          <w:tcPr>
            <w:tcW w:w="3532" w:type="dxa"/>
          </w:tcPr>
          <w:p w14:paraId="3DFFCFA4" w14:textId="0C29B4DC" w:rsidR="000A6CFE" w:rsidRPr="00682F94" w:rsidRDefault="00164811" w:rsidP="002A1A0D">
            <w:pPr>
              <w:rPr>
                <w:rFonts w:ascii="Times New Roman" w:hAnsi="Times New Roman" w:cs="Times New Roman"/>
              </w:rPr>
            </w:pPr>
            <w:r>
              <w:rPr>
                <w:rFonts w:ascii="Times New Roman" w:hAnsi="Times New Roman" w:cs="Times New Roman"/>
              </w:rPr>
              <w:t>Projekta 37. un</w:t>
            </w:r>
            <w:r w:rsidR="004954C4">
              <w:rPr>
                <w:rFonts w:ascii="Times New Roman" w:hAnsi="Times New Roman" w:cs="Times New Roman"/>
              </w:rPr>
              <w:t xml:space="preserve"> </w:t>
            </w:r>
            <w:r>
              <w:rPr>
                <w:rFonts w:ascii="Times New Roman" w:hAnsi="Times New Roman" w:cs="Times New Roman"/>
              </w:rPr>
              <w:t>10</w:t>
            </w:r>
            <w:r w:rsidR="00A14FD8">
              <w:rPr>
                <w:rFonts w:ascii="Times New Roman" w:hAnsi="Times New Roman" w:cs="Times New Roman"/>
              </w:rPr>
              <w:t>2</w:t>
            </w:r>
            <w:r>
              <w:rPr>
                <w:rFonts w:ascii="Times New Roman" w:hAnsi="Times New Roman" w:cs="Times New Roman"/>
              </w:rPr>
              <w:t>. punkts</w:t>
            </w:r>
          </w:p>
        </w:tc>
        <w:tc>
          <w:tcPr>
            <w:tcW w:w="2088" w:type="dxa"/>
          </w:tcPr>
          <w:p w14:paraId="19CD8C30" w14:textId="07542616"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r w:rsidR="00623ECF">
              <w:rPr>
                <w:rFonts w:ascii="Times New Roman" w:hAnsi="Times New Roman" w:cs="Times New Roman"/>
              </w:rPr>
              <w:t>, izņemot direktīvas 86/635</w:t>
            </w:r>
            <w:r w:rsidR="004177FB">
              <w:rPr>
                <w:rFonts w:ascii="Times New Roman" w:hAnsi="Times New Roman" w:cs="Times New Roman"/>
              </w:rPr>
              <w:t>/</w:t>
            </w:r>
            <w:r w:rsidR="00623ECF">
              <w:rPr>
                <w:rFonts w:ascii="Times New Roman" w:hAnsi="Times New Roman" w:cs="Times New Roman"/>
              </w:rPr>
              <w:t>EEK 24. panta trešās daļas nosacījumu par vekseļiem, jo slēgtajiem alternatīvo ieguldījumu fondiem nav paredzētas darbības ar vekseļiem.</w:t>
            </w:r>
          </w:p>
        </w:tc>
        <w:tc>
          <w:tcPr>
            <w:tcW w:w="2205" w:type="dxa"/>
          </w:tcPr>
          <w:p w14:paraId="7D87DD7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6047D168"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3E395F05" w14:textId="77777777" w:rsidR="000A6CFE" w:rsidRPr="00020DFD" w:rsidRDefault="000A6CFE" w:rsidP="002A1A0D">
            <w:pPr>
              <w:rPr>
                <w:rFonts w:ascii="Times New Roman" w:hAnsi="Times New Roman" w:cs="Times New Roman"/>
                <w:color w:val="FF0000"/>
              </w:rPr>
            </w:pPr>
          </w:p>
        </w:tc>
      </w:tr>
      <w:tr w:rsidR="00011100" w:rsidRPr="00001188" w14:paraId="5B129387" w14:textId="77777777" w:rsidTr="002A1A0D">
        <w:tc>
          <w:tcPr>
            <w:tcW w:w="2732" w:type="dxa"/>
          </w:tcPr>
          <w:p w14:paraId="36C5AC85" w14:textId="370C1C5C" w:rsidR="00011100" w:rsidRPr="00682F94" w:rsidRDefault="00011100"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86/635/EEK 3</w:t>
            </w:r>
            <w:r>
              <w:rPr>
                <w:rFonts w:ascii="Times New Roman" w:eastAsia="Times New Roman" w:hAnsi="Times New Roman" w:cs="Times New Roman"/>
                <w:iCs/>
              </w:rPr>
              <w:t>5</w:t>
            </w:r>
            <w:r w:rsidRPr="00682F94">
              <w:rPr>
                <w:rFonts w:ascii="Times New Roman" w:eastAsia="Times New Roman" w:hAnsi="Times New Roman" w:cs="Times New Roman"/>
                <w:iCs/>
              </w:rPr>
              <w:t>. pant</w:t>
            </w:r>
            <w:r w:rsidR="001B3579">
              <w:rPr>
                <w:rFonts w:ascii="Times New Roman" w:eastAsia="Times New Roman" w:hAnsi="Times New Roman" w:cs="Times New Roman"/>
                <w:iCs/>
              </w:rPr>
              <w:t>a 3. punkts</w:t>
            </w:r>
          </w:p>
        </w:tc>
        <w:tc>
          <w:tcPr>
            <w:tcW w:w="3532" w:type="dxa"/>
          </w:tcPr>
          <w:p w14:paraId="58784D5F" w14:textId="09156BAD" w:rsidR="00011100" w:rsidRPr="00682F94" w:rsidRDefault="00164811" w:rsidP="002A1A0D">
            <w:pPr>
              <w:rPr>
                <w:rFonts w:ascii="Times New Roman" w:hAnsi="Times New Roman" w:cs="Times New Roman"/>
              </w:rPr>
            </w:pPr>
            <w:r>
              <w:rPr>
                <w:rFonts w:ascii="Times New Roman" w:hAnsi="Times New Roman" w:cs="Times New Roman"/>
              </w:rPr>
              <w:t>Projekta 8</w:t>
            </w:r>
            <w:r w:rsidR="00A14FD8">
              <w:rPr>
                <w:rFonts w:ascii="Times New Roman" w:hAnsi="Times New Roman" w:cs="Times New Roman"/>
              </w:rPr>
              <w:t>3</w:t>
            </w:r>
            <w:r>
              <w:rPr>
                <w:rFonts w:ascii="Times New Roman" w:hAnsi="Times New Roman" w:cs="Times New Roman"/>
              </w:rPr>
              <w:t>., 8</w:t>
            </w:r>
            <w:r w:rsidR="00A14FD8">
              <w:rPr>
                <w:rFonts w:ascii="Times New Roman" w:hAnsi="Times New Roman" w:cs="Times New Roman"/>
              </w:rPr>
              <w:t>4</w:t>
            </w:r>
            <w:r>
              <w:rPr>
                <w:rFonts w:ascii="Times New Roman" w:hAnsi="Times New Roman" w:cs="Times New Roman"/>
              </w:rPr>
              <w:t>. un 8</w:t>
            </w:r>
            <w:r w:rsidR="00A14FD8">
              <w:rPr>
                <w:rFonts w:ascii="Times New Roman" w:hAnsi="Times New Roman" w:cs="Times New Roman"/>
              </w:rPr>
              <w:t>5</w:t>
            </w:r>
            <w:r>
              <w:rPr>
                <w:rFonts w:ascii="Times New Roman" w:hAnsi="Times New Roman" w:cs="Times New Roman"/>
              </w:rPr>
              <w:t>. punkts</w:t>
            </w:r>
          </w:p>
        </w:tc>
        <w:tc>
          <w:tcPr>
            <w:tcW w:w="2088" w:type="dxa"/>
          </w:tcPr>
          <w:p w14:paraId="1A3D144C" w14:textId="36B29BDB" w:rsidR="00011100" w:rsidRPr="00682F94" w:rsidRDefault="00011100" w:rsidP="002A1A0D">
            <w:pPr>
              <w:rPr>
                <w:rFonts w:ascii="Times New Roman" w:hAnsi="Times New Roman" w:cs="Times New Roman"/>
              </w:rPr>
            </w:pPr>
            <w:r w:rsidRPr="00682F94">
              <w:rPr>
                <w:rFonts w:ascii="Times New Roman" w:hAnsi="Times New Roman" w:cs="Times New Roman"/>
              </w:rPr>
              <w:t xml:space="preserve">Izpilda pilnībā, </w:t>
            </w:r>
            <w:r>
              <w:rPr>
                <w:rFonts w:ascii="Times New Roman" w:hAnsi="Times New Roman" w:cs="Times New Roman"/>
              </w:rPr>
              <w:t xml:space="preserve">projekts </w:t>
            </w:r>
            <w:r w:rsidRPr="00682F94">
              <w:rPr>
                <w:rFonts w:ascii="Times New Roman" w:hAnsi="Times New Roman" w:cs="Times New Roman"/>
              </w:rPr>
              <w:t>nosak</w:t>
            </w:r>
            <w:r>
              <w:rPr>
                <w:rFonts w:ascii="Times New Roman" w:hAnsi="Times New Roman" w:cs="Times New Roman"/>
              </w:rPr>
              <w:t>a</w:t>
            </w:r>
            <w:r w:rsidRPr="00682F94">
              <w:rPr>
                <w:rFonts w:ascii="Times New Roman" w:hAnsi="Times New Roman" w:cs="Times New Roman"/>
              </w:rPr>
              <w:t xml:space="preserve"> detalizētākas prasības</w:t>
            </w:r>
          </w:p>
        </w:tc>
        <w:tc>
          <w:tcPr>
            <w:tcW w:w="2205" w:type="dxa"/>
          </w:tcPr>
          <w:p w14:paraId="344078D5" w14:textId="46A3CA4A" w:rsidR="00011100" w:rsidRPr="00682F94" w:rsidRDefault="00011100" w:rsidP="002A1A0D">
            <w:pPr>
              <w:rPr>
                <w:rFonts w:ascii="Times New Roman" w:hAnsi="Times New Roman" w:cs="Times New Roman"/>
              </w:rPr>
            </w:pPr>
            <w:r>
              <w:rPr>
                <w:rFonts w:ascii="Times New Roman" w:hAnsi="Times New Roman" w:cs="Times New Roman"/>
              </w:rPr>
              <w:t>Nē</w:t>
            </w:r>
          </w:p>
        </w:tc>
        <w:tc>
          <w:tcPr>
            <w:tcW w:w="2093" w:type="dxa"/>
          </w:tcPr>
          <w:p w14:paraId="28685953" w14:textId="46AAA818" w:rsidR="00011100" w:rsidRPr="00682F94" w:rsidRDefault="00011100" w:rsidP="002A1A0D">
            <w:pPr>
              <w:rPr>
                <w:rFonts w:ascii="Times New Roman" w:hAnsi="Times New Roman" w:cs="Times New Roman"/>
              </w:rPr>
            </w:pPr>
            <w:r>
              <w:rPr>
                <w:rFonts w:ascii="Times New Roman" w:hAnsi="Times New Roman" w:cs="Times New Roman"/>
              </w:rPr>
              <w:t>Jā</w:t>
            </w:r>
          </w:p>
        </w:tc>
        <w:tc>
          <w:tcPr>
            <w:tcW w:w="2121" w:type="dxa"/>
            <w:vMerge/>
          </w:tcPr>
          <w:p w14:paraId="463785BE" w14:textId="77777777" w:rsidR="00011100" w:rsidRPr="00020DFD" w:rsidRDefault="00011100" w:rsidP="002A1A0D">
            <w:pPr>
              <w:rPr>
                <w:rFonts w:ascii="Times New Roman" w:hAnsi="Times New Roman" w:cs="Times New Roman"/>
                <w:color w:val="FF0000"/>
              </w:rPr>
            </w:pPr>
          </w:p>
        </w:tc>
      </w:tr>
      <w:tr w:rsidR="00011100" w:rsidRPr="00001188" w14:paraId="50050A5E" w14:textId="77777777" w:rsidTr="002A1A0D">
        <w:tc>
          <w:tcPr>
            <w:tcW w:w="2732" w:type="dxa"/>
          </w:tcPr>
          <w:p w14:paraId="01D3478B" w14:textId="40078776" w:rsidR="00011100" w:rsidRPr="00682F94" w:rsidRDefault="00011100" w:rsidP="002A1A0D">
            <w:pPr>
              <w:rPr>
                <w:rFonts w:ascii="Times New Roman" w:hAnsi="Times New Roman" w:cs="Times New Roman"/>
                <w:bCs/>
              </w:rPr>
            </w:pPr>
            <w:bookmarkStart w:id="1" w:name="_Hlk177721610"/>
            <w:r w:rsidRPr="00682F94">
              <w:rPr>
                <w:rFonts w:ascii="Times New Roman" w:hAnsi="Times New Roman" w:cs="Times New Roman"/>
                <w:bCs/>
              </w:rPr>
              <w:t>Direktīvas </w:t>
            </w:r>
            <w:r w:rsidRPr="00682F94">
              <w:rPr>
                <w:rFonts w:ascii="Times New Roman" w:eastAsia="Times New Roman" w:hAnsi="Times New Roman" w:cs="Times New Roman"/>
                <w:iCs/>
              </w:rPr>
              <w:t>86/635/EEK 3</w:t>
            </w:r>
            <w:r>
              <w:rPr>
                <w:rFonts w:ascii="Times New Roman" w:eastAsia="Times New Roman" w:hAnsi="Times New Roman" w:cs="Times New Roman"/>
                <w:iCs/>
              </w:rPr>
              <w:t>6</w:t>
            </w:r>
            <w:r w:rsidRPr="00682F94">
              <w:rPr>
                <w:rFonts w:ascii="Times New Roman" w:eastAsia="Times New Roman" w:hAnsi="Times New Roman" w:cs="Times New Roman"/>
                <w:iCs/>
              </w:rPr>
              <w:t>. pant</w:t>
            </w:r>
            <w:r w:rsidR="000412C7">
              <w:rPr>
                <w:rFonts w:ascii="Times New Roman" w:eastAsia="Times New Roman" w:hAnsi="Times New Roman" w:cs="Times New Roman"/>
                <w:iCs/>
              </w:rPr>
              <w:t>a 1. punkts</w:t>
            </w:r>
            <w:bookmarkEnd w:id="1"/>
          </w:p>
        </w:tc>
        <w:tc>
          <w:tcPr>
            <w:tcW w:w="3532" w:type="dxa"/>
          </w:tcPr>
          <w:p w14:paraId="216C4749" w14:textId="3BCDADD2" w:rsidR="00011100" w:rsidRPr="00682F94" w:rsidRDefault="000412C7" w:rsidP="002A1A0D">
            <w:pPr>
              <w:rPr>
                <w:rFonts w:ascii="Times New Roman" w:hAnsi="Times New Roman" w:cs="Times New Roman"/>
              </w:rPr>
            </w:pPr>
            <w:r>
              <w:rPr>
                <w:rFonts w:ascii="Times New Roman" w:hAnsi="Times New Roman" w:cs="Times New Roman"/>
              </w:rPr>
              <w:t xml:space="preserve">Projekta </w:t>
            </w:r>
            <w:r w:rsidR="001B3579">
              <w:rPr>
                <w:rFonts w:ascii="Times New Roman" w:hAnsi="Times New Roman" w:cs="Times New Roman"/>
              </w:rPr>
              <w:t>10</w:t>
            </w:r>
            <w:r w:rsidR="00A14FD8">
              <w:rPr>
                <w:rFonts w:ascii="Times New Roman" w:hAnsi="Times New Roman" w:cs="Times New Roman"/>
              </w:rPr>
              <w:t>6</w:t>
            </w:r>
            <w:r>
              <w:rPr>
                <w:rFonts w:ascii="Times New Roman" w:hAnsi="Times New Roman" w:cs="Times New Roman"/>
              </w:rPr>
              <w:t>.</w:t>
            </w:r>
            <w:r w:rsidR="001B3579">
              <w:rPr>
                <w:rFonts w:ascii="Times New Roman" w:hAnsi="Times New Roman" w:cs="Times New Roman"/>
              </w:rPr>
              <w:t>6</w:t>
            </w:r>
            <w:r>
              <w:rPr>
                <w:rFonts w:ascii="Times New Roman" w:hAnsi="Times New Roman" w:cs="Times New Roman"/>
              </w:rPr>
              <w:t>. </w:t>
            </w:r>
            <w:r w:rsidR="00E3649B">
              <w:rPr>
                <w:rFonts w:ascii="Times New Roman" w:hAnsi="Times New Roman" w:cs="Times New Roman"/>
              </w:rPr>
              <w:t>apakš</w:t>
            </w:r>
            <w:r>
              <w:rPr>
                <w:rFonts w:ascii="Times New Roman" w:hAnsi="Times New Roman" w:cs="Times New Roman"/>
              </w:rPr>
              <w:t>punkts</w:t>
            </w:r>
          </w:p>
        </w:tc>
        <w:tc>
          <w:tcPr>
            <w:tcW w:w="2088" w:type="dxa"/>
          </w:tcPr>
          <w:p w14:paraId="51F7804E" w14:textId="04C1D726" w:rsidR="00011100" w:rsidRPr="00682F94" w:rsidRDefault="00011100"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1F021771" w14:textId="1ABA636C" w:rsidR="00011100" w:rsidRPr="00682F94" w:rsidRDefault="00011100" w:rsidP="002A1A0D">
            <w:pPr>
              <w:rPr>
                <w:rFonts w:ascii="Times New Roman" w:hAnsi="Times New Roman" w:cs="Times New Roman"/>
              </w:rPr>
            </w:pPr>
            <w:r>
              <w:rPr>
                <w:rFonts w:ascii="Times New Roman" w:hAnsi="Times New Roman" w:cs="Times New Roman"/>
              </w:rPr>
              <w:t>Nē</w:t>
            </w:r>
          </w:p>
        </w:tc>
        <w:tc>
          <w:tcPr>
            <w:tcW w:w="2093" w:type="dxa"/>
          </w:tcPr>
          <w:p w14:paraId="2E49FB21" w14:textId="65B28E67" w:rsidR="00011100" w:rsidRPr="00682F94" w:rsidRDefault="00011100" w:rsidP="002A1A0D">
            <w:pPr>
              <w:rPr>
                <w:rFonts w:ascii="Times New Roman" w:hAnsi="Times New Roman" w:cs="Times New Roman"/>
              </w:rPr>
            </w:pPr>
            <w:r>
              <w:rPr>
                <w:rFonts w:ascii="Times New Roman" w:hAnsi="Times New Roman" w:cs="Times New Roman"/>
              </w:rPr>
              <w:t>Jā</w:t>
            </w:r>
          </w:p>
        </w:tc>
        <w:tc>
          <w:tcPr>
            <w:tcW w:w="2121" w:type="dxa"/>
            <w:vMerge/>
          </w:tcPr>
          <w:p w14:paraId="6733F9DA" w14:textId="77777777" w:rsidR="00011100" w:rsidRPr="00020DFD" w:rsidRDefault="00011100" w:rsidP="002A1A0D">
            <w:pPr>
              <w:rPr>
                <w:rFonts w:ascii="Times New Roman" w:hAnsi="Times New Roman" w:cs="Times New Roman"/>
                <w:color w:val="FF0000"/>
              </w:rPr>
            </w:pPr>
          </w:p>
        </w:tc>
      </w:tr>
      <w:tr w:rsidR="000412C7" w:rsidRPr="00001188" w14:paraId="5D926593" w14:textId="77777777" w:rsidTr="002A1A0D">
        <w:tc>
          <w:tcPr>
            <w:tcW w:w="2732" w:type="dxa"/>
          </w:tcPr>
          <w:p w14:paraId="151AEF58" w14:textId="107CE669" w:rsidR="000412C7" w:rsidRPr="00682F94" w:rsidRDefault="000412C7"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86/635/EEK 3</w:t>
            </w:r>
            <w:r>
              <w:rPr>
                <w:rFonts w:ascii="Times New Roman" w:eastAsia="Times New Roman" w:hAnsi="Times New Roman" w:cs="Times New Roman"/>
                <w:iCs/>
              </w:rPr>
              <w:t>6</w:t>
            </w:r>
            <w:r w:rsidRPr="00682F94">
              <w:rPr>
                <w:rFonts w:ascii="Times New Roman" w:eastAsia="Times New Roman" w:hAnsi="Times New Roman" w:cs="Times New Roman"/>
                <w:iCs/>
              </w:rPr>
              <w:t>. pant</w:t>
            </w:r>
            <w:r>
              <w:rPr>
                <w:rFonts w:ascii="Times New Roman" w:eastAsia="Times New Roman" w:hAnsi="Times New Roman" w:cs="Times New Roman"/>
                <w:iCs/>
              </w:rPr>
              <w:t>a 2. punkts</w:t>
            </w:r>
          </w:p>
        </w:tc>
        <w:tc>
          <w:tcPr>
            <w:tcW w:w="3532" w:type="dxa"/>
          </w:tcPr>
          <w:p w14:paraId="455CC26F" w14:textId="1B6771E6" w:rsidR="000412C7" w:rsidRDefault="000412C7" w:rsidP="002A1A0D">
            <w:pPr>
              <w:rPr>
                <w:rFonts w:ascii="Times New Roman" w:hAnsi="Times New Roman" w:cs="Times New Roman"/>
              </w:rPr>
            </w:pPr>
            <w:r>
              <w:rPr>
                <w:rFonts w:ascii="Times New Roman" w:hAnsi="Times New Roman" w:cs="Times New Roman"/>
              </w:rPr>
              <w:t>Projekta 9</w:t>
            </w:r>
            <w:r w:rsidR="00A14FD8">
              <w:rPr>
                <w:rFonts w:ascii="Times New Roman" w:hAnsi="Times New Roman" w:cs="Times New Roman"/>
              </w:rPr>
              <w:t>4</w:t>
            </w:r>
            <w:r>
              <w:rPr>
                <w:rFonts w:ascii="Times New Roman" w:hAnsi="Times New Roman" w:cs="Times New Roman"/>
              </w:rPr>
              <w:t>. punkts</w:t>
            </w:r>
          </w:p>
        </w:tc>
        <w:tc>
          <w:tcPr>
            <w:tcW w:w="2088" w:type="dxa"/>
          </w:tcPr>
          <w:p w14:paraId="129BF066" w14:textId="67388B68" w:rsidR="000412C7" w:rsidRPr="00682F94" w:rsidRDefault="000412C7" w:rsidP="002A1A0D">
            <w:pPr>
              <w:rPr>
                <w:rFonts w:ascii="Times New Roman" w:hAnsi="Times New Roman" w:cs="Times New Roman"/>
              </w:rPr>
            </w:pPr>
            <w:r>
              <w:rPr>
                <w:rFonts w:ascii="Times New Roman" w:hAnsi="Times New Roman" w:cs="Times New Roman"/>
              </w:rPr>
              <w:t>Izpilda pilnībā</w:t>
            </w:r>
          </w:p>
        </w:tc>
        <w:tc>
          <w:tcPr>
            <w:tcW w:w="2205" w:type="dxa"/>
          </w:tcPr>
          <w:p w14:paraId="036224E4" w14:textId="2FA8D0E3" w:rsidR="000412C7" w:rsidRDefault="000412C7" w:rsidP="002A1A0D">
            <w:pPr>
              <w:rPr>
                <w:rFonts w:ascii="Times New Roman" w:hAnsi="Times New Roman" w:cs="Times New Roman"/>
              </w:rPr>
            </w:pPr>
            <w:r>
              <w:rPr>
                <w:rFonts w:ascii="Times New Roman" w:hAnsi="Times New Roman" w:cs="Times New Roman"/>
              </w:rPr>
              <w:t>Nē</w:t>
            </w:r>
          </w:p>
        </w:tc>
        <w:tc>
          <w:tcPr>
            <w:tcW w:w="2093" w:type="dxa"/>
          </w:tcPr>
          <w:p w14:paraId="672DFC44" w14:textId="03F2A9D0" w:rsidR="000412C7" w:rsidRDefault="001B3579" w:rsidP="002A1A0D">
            <w:pPr>
              <w:rPr>
                <w:rFonts w:ascii="Times New Roman" w:hAnsi="Times New Roman" w:cs="Times New Roman"/>
              </w:rPr>
            </w:pPr>
            <w:r w:rsidRPr="00682F94">
              <w:rPr>
                <w:rFonts w:ascii="Times New Roman" w:hAnsi="Times New Roman" w:cs="Times New Roman"/>
              </w:rPr>
              <w:t>Direktīvas </w:t>
            </w:r>
            <w:r>
              <w:rPr>
                <w:rFonts w:ascii="Times New Roman" w:hAnsi="Times New Roman" w:cs="Times New Roman"/>
              </w:rPr>
              <w:t>86</w:t>
            </w:r>
            <w:r w:rsidRPr="00682F94">
              <w:rPr>
                <w:rFonts w:ascii="Times New Roman" w:hAnsi="Times New Roman" w:cs="Times New Roman"/>
              </w:rPr>
              <w:t>/</w:t>
            </w:r>
            <w:r>
              <w:rPr>
                <w:rFonts w:ascii="Times New Roman" w:hAnsi="Times New Roman" w:cs="Times New Roman"/>
              </w:rPr>
              <w:t>635/EEK</w:t>
            </w:r>
            <w:r w:rsidRPr="00682F94">
              <w:rPr>
                <w:rFonts w:ascii="Times New Roman" w:hAnsi="Times New Roman" w:cs="Times New Roman"/>
              </w:rPr>
              <w:t xml:space="preserve"> </w:t>
            </w:r>
            <w:r>
              <w:rPr>
                <w:rFonts w:ascii="Times New Roman" w:hAnsi="Times New Roman" w:cs="Times New Roman"/>
              </w:rPr>
              <w:t>3</w:t>
            </w:r>
            <w:r w:rsidRPr="00682F94">
              <w:rPr>
                <w:rFonts w:ascii="Times New Roman" w:hAnsi="Times New Roman" w:cs="Times New Roman"/>
              </w:rPr>
              <w:t xml:space="preserve">6. panta 2. punktā minētā </w:t>
            </w:r>
            <w:r>
              <w:rPr>
                <w:rFonts w:ascii="Times New Roman" w:hAnsi="Times New Roman" w:cs="Times New Roman"/>
              </w:rPr>
              <w:t>i</w:t>
            </w:r>
            <w:r w:rsidR="000412C7">
              <w:rPr>
                <w:rFonts w:ascii="Times New Roman" w:hAnsi="Times New Roman" w:cs="Times New Roman"/>
              </w:rPr>
              <w:t>zvēles iespēja</w:t>
            </w:r>
            <w:r w:rsidR="00E34208">
              <w:rPr>
                <w:rFonts w:ascii="Times New Roman" w:hAnsi="Times New Roman" w:cs="Times New Roman"/>
              </w:rPr>
              <w:t>,</w:t>
            </w:r>
            <w:r>
              <w:rPr>
                <w:rFonts w:ascii="Times New Roman" w:hAnsi="Times New Roman" w:cs="Times New Roman"/>
              </w:rPr>
              <w:t xml:space="preserve"> kas atļauj norādīt parāda vērtspapīrus tirgus vērtībā, tiek izmantota, projekta 94. punktā paredzot iespēju izmantot Starptautisko</w:t>
            </w:r>
            <w:r w:rsidR="00E34208">
              <w:rPr>
                <w:rFonts w:ascii="Times New Roman" w:hAnsi="Times New Roman" w:cs="Times New Roman"/>
              </w:rPr>
              <w:t>s</w:t>
            </w:r>
            <w:r>
              <w:rPr>
                <w:rFonts w:ascii="Times New Roman" w:hAnsi="Times New Roman" w:cs="Times New Roman"/>
              </w:rPr>
              <w:t xml:space="preserve"> grāmatvedības </w:t>
            </w:r>
            <w:r>
              <w:rPr>
                <w:rFonts w:ascii="Times New Roman" w:hAnsi="Times New Roman" w:cs="Times New Roman"/>
              </w:rPr>
              <w:lastRenderedPageBreak/>
              <w:t xml:space="preserve">standartus finanšu instrumentu vērtēšanai. </w:t>
            </w:r>
          </w:p>
        </w:tc>
        <w:tc>
          <w:tcPr>
            <w:tcW w:w="2121" w:type="dxa"/>
            <w:vMerge/>
          </w:tcPr>
          <w:p w14:paraId="6A33BACE" w14:textId="77777777" w:rsidR="000412C7" w:rsidRPr="00020DFD" w:rsidRDefault="000412C7" w:rsidP="002A1A0D">
            <w:pPr>
              <w:rPr>
                <w:rFonts w:ascii="Times New Roman" w:hAnsi="Times New Roman" w:cs="Times New Roman"/>
                <w:color w:val="FF0000"/>
              </w:rPr>
            </w:pPr>
          </w:p>
        </w:tc>
      </w:tr>
      <w:tr w:rsidR="008A1E0D" w:rsidRPr="00001188" w14:paraId="2C011DBB" w14:textId="77777777" w:rsidTr="002A1A0D">
        <w:tc>
          <w:tcPr>
            <w:tcW w:w="2732" w:type="dxa"/>
          </w:tcPr>
          <w:p w14:paraId="025899C9" w14:textId="2923BD62" w:rsidR="008A1E0D" w:rsidRPr="00682F94" w:rsidRDefault="008A1E0D"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 xml:space="preserve">86/635/EEK </w:t>
            </w:r>
            <w:r>
              <w:rPr>
                <w:rFonts w:ascii="Times New Roman" w:eastAsia="Times New Roman" w:hAnsi="Times New Roman" w:cs="Times New Roman"/>
                <w:iCs/>
              </w:rPr>
              <w:t>40</w:t>
            </w:r>
            <w:r w:rsidRPr="00682F94">
              <w:rPr>
                <w:rFonts w:ascii="Times New Roman" w:eastAsia="Times New Roman" w:hAnsi="Times New Roman" w:cs="Times New Roman"/>
                <w:iCs/>
              </w:rPr>
              <w:t>. pant</w:t>
            </w:r>
            <w:r>
              <w:rPr>
                <w:rFonts w:ascii="Times New Roman" w:eastAsia="Times New Roman" w:hAnsi="Times New Roman" w:cs="Times New Roman"/>
                <w:iCs/>
              </w:rPr>
              <w:t>a 3. punkta d) apakšpunkts</w:t>
            </w:r>
          </w:p>
        </w:tc>
        <w:tc>
          <w:tcPr>
            <w:tcW w:w="3532" w:type="dxa"/>
          </w:tcPr>
          <w:p w14:paraId="1C10652D" w14:textId="2CB60266" w:rsidR="008A1E0D" w:rsidRDefault="008A1E0D" w:rsidP="002A1A0D">
            <w:pPr>
              <w:rPr>
                <w:rFonts w:ascii="Times New Roman" w:hAnsi="Times New Roman" w:cs="Times New Roman"/>
              </w:rPr>
            </w:pPr>
            <w:r>
              <w:rPr>
                <w:rFonts w:ascii="Times New Roman" w:hAnsi="Times New Roman" w:cs="Times New Roman"/>
              </w:rPr>
              <w:t>Projekta 10</w:t>
            </w:r>
            <w:r w:rsidR="00A14FD8">
              <w:rPr>
                <w:rFonts w:ascii="Times New Roman" w:hAnsi="Times New Roman" w:cs="Times New Roman"/>
              </w:rPr>
              <w:t>7</w:t>
            </w:r>
            <w:r>
              <w:rPr>
                <w:rFonts w:ascii="Times New Roman" w:hAnsi="Times New Roman" w:cs="Times New Roman"/>
              </w:rPr>
              <w:t>. punkts</w:t>
            </w:r>
          </w:p>
        </w:tc>
        <w:tc>
          <w:tcPr>
            <w:tcW w:w="2088" w:type="dxa"/>
          </w:tcPr>
          <w:p w14:paraId="3C0628D2" w14:textId="0684768C" w:rsidR="008A1E0D" w:rsidRDefault="008A1E0D" w:rsidP="002A1A0D">
            <w:pPr>
              <w:rPr>
                <w:rFonts w:ascii="Times New Roman" w:hAnsi="Times New Roman" w:cs="Times New Roman"/>
              </w:rPr>
            </w:pPr>
            <w:r>
              <w:rPr>
                <w:rFonts w:ascii="Times New Roman" w:hAnsi="Times New Roman" w:cs="Times New Roman"/>
              </w:rPr>
              <w:t>Izpilda pilnībā</w:t>
            </w:r>
          </w:p>
        </w:tc>
        <w:tc>
          <w:tcPr>
            <w:tcW w:w="2205" w:type="dxa"/>
          </w:tcPr>
          <w:p w14:paraId="5358D6FB" w14:textId="69C70B39" w:rsidR="008A1E0D" w:rsidRDefault="008A1E0D" w:rsidP="002A1A0D">
            <w:pPr>
              <w:rPr>
                <w:rFonts w:ascii="Times New Roman" w:hAnsi="Times New Roman" w:cs="Times New Roman"/>
              </w:rPr>
            </w:pPr>
            <w:r>
              <w:rPr>
                <w:rFonts w:ascii="Times New Roman" w:hAnsi="Times New Roman" w:cs="Times New Roman"/>
              </w:rPr>
              <w:t>Nē</w:t>
            </w:r>
          </w:p>
        </w:tc>
        <w:tc>
          <w:tcPr>
            <w:tcW w:w="2093" w:type="dxa"/>
          </w:tcPr>
          <w:p w14:paraId="123C3B18" w14:textId="55A6F233" w:rsidR="008A1E0D" w:rsidRDefault="008A1E0D" w:rsidP="002A1A0D">
            <w:pPr>
              <w:rPr>
                <w:rFonts w:ascii="Times New Roman" w:hAnsi="Times New Roman" w:cs="Times New Roman"/>
              </w:rPr>
            </w:pPr>
            <w:r>
              <w:rPr>
                <w:rFonts w:ascii="Times New Roman" w:hAnsi="Times New Roman" w:cs="Times New Roman"/>
              </w:rPr>
              <w:t>Jā</w:t>
            </w:r>
          </w:p>
        </w:tc>
        <w:tc>
          <w:tcPr>
            <w:tcW w:w="2121" w:type="dxa"/>
            <w:vMerge/>
          </w:tcPr>
          <w:p w14:paraId="2BB3CE61" w14:textId="77777777" w:rsidR="008A1E0D" w:rsidRPr="00020DFD" w:rsidRDefault="008A1E0D" w:rsidP="002A1A0D">
            <w:pPr>
              <w:rPr>
                <w:rFonts w:ascii="Times New Roman" w:hAnsi="Times New Roman" w:cs="Times New Roman"/>
                <w:color w:val="FF0000"/>
              </w:rPr>
            </w:pPr>
          </w:p>
        </w:tc>
      </w:tr>
      <w:tr w:rsidR="00901ED2" w:rsidRPr="00001188" w14:paraId="0D581D2F" w14:textId="77777777" w:rsidTr="002A1A0D">
        <w:tc>
          <w:tcPr>
            <w:tcW w:w="2732" w:type="dxa"/>
          </w:tcPr>
          <w:p w14:paraId="130B633C" w14:textId="704E2A76" w:rsidR="00901ED2" w:rsidRPr="00682F94" w:rsidRDefault="00901ED2" w:rsidP="002A1A0D">
            <w:pPr>
              <w:rPr>
                <w:rFonts w:ascii="Times New Roman" w:hAnsi="Times New Roman" w:cs="Times New Roman"/>
                <w:bCs/>
              </w:rPr>
            </w:pPr>
            <w:r w:rsidRPr="00682F94">
              <w:rPr>
                <w:rFonts w:ascii="Times New Roman" w:hAnsi="Times New Roman" w:cs="Times New Roman"/>
                <w:bCs/>
              </w:rPr>
              <w:t>Direktīvas </w:t>
            </w:r>
            <w:r w:rsidRPr="00682F94">
              <w:rPr>
                <w:rFonts w:ascii="Times New Roman" w:eastAsia="Times New Roman" w:hAnsi="Times New Roman" w:cs="Times New Roman"/>
                <w:iCs/>
              </w:rPr>
              <w:t>86/635/EEK 41. panta 2. punkta a)</w:t>
            </w:r>
            <w:r w:rsidR="001B3579">
              <w:rPr>
                <w:rFonts w:ascii="Times New Roman" w:eastAsia="Times New Roman" w:hAnsi="Times New Roman" w:cs="Times New Roman"/>
                <w:iCs/>
              </w:rPr>
              <w:t xml:space="preserve"> </w:t>
            </w:r>
            <w:r w:rsidRPr="00682F94">
              <w:rPr>
                <w:rFonts w:ascii="Times New Roman" w:eastAsia="Times New Roman" w:hAnsi="Times New Roman" w:cs="Times New Roman"/>
                <w:iCs/>
              </w:rPr>
              <w:t>un</w:t>
            </w:r>
            <w:r w:rsidR="002C2C4A">
              <w:rPr>
                <w:rFonts w:ascii="Times New Roman" w:eastAsia="Times New Roman" w:hAnsi="Times New Roman" w:cs="Times New Roman"/>
                <w:iCs/>
              </w:rPr>
              <w:t xml:space="preserve"> </w:t>
            </w:r>
            <w:r w:rsidRPr="00682F94">
              <w:rPr>
                <w:rFonts w:ascii="Times New Roman" w:eastAsia="Times New Roman" w:hAnsi="Times New Roman" w:cs="Times New Roman"/>
                <w:iCs/>
              </w:rPr>
              <w:t>b) apakšpunkts</w:t>
            </w:r>
          </w:p>
        </w:tc>
        <w:tc>
          <w:tcPr>
            <w:tcW w:w="3532" w:type="dxa"/>
          </w:tcPr>
          <w:p w14:paraId="36EAA9B2" w14:textId="6AA0699F" w:rsidR="00901ED2" w:rsidRPr="00682F94" w:rsidRDefault="000412C7" w:rsidP="002A1A0D">
            <w:pPr>
              <w:rPr>
                <w:rFonts w:ascii="Times New Roman" w:hAnsi="Times New Roman" w:cs="Times New Roman"/>
              </w:rPr>
            </w:pPr>
            <w:r>
              <w:rPr>
                <w:rFonts w:ascii="Times New Roman" w:hAnsi="Times New Roman" w:cs="Times New Roman"/>
              </w:rPr>
              <w:t>Projekta 8</w:t>
            </w:r>
            <w:r w:rsidR="00A14FD8">
              <w:rPr>
                <w:rFonts w:ascii="Times New Roman" w:hAnsi="Times New Roman" w:cs="Times New Roman"/>
              </w:rPr>
              <w:t>6</w:t>
            </w:r>
            <w:r>
              <w:rPr>
                <w:rFonts w:ascii="Times New Roman" w:hAnsi="Times New Roman" w:cs="Times New Roman"/>
              </w:rPr>
              <w:t>. punkts</w:t>
            </w:r>
            <w:r w:rsidR="001B3579">
              <w:rPr>
                <w:rFonts w:ascii="Times New Roman" w:hAnsi="Times New Roman" w:cs="Times New Roman"/>
              </w:rPr>
              <w:t xml:space="preserve"> un 96.1. apakšpunkts</w:t>
            </w:r>
          </w:p>
        </w:tc>
        <w:tc>
          <w:tcPr>
            <w:tcW w:w="2088" w:type="dxa"/>
          </w:tcPr>
          <w:p w14:paraId="637CF4A4" w14:textId="34363913" w:rsidR="00901ED2" w:rsidRPr="00682F94" w:rsidRDefault="00011100"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4BC235C2" w14:textId="356CAC96" w:rsidR="00901ED2" w:rsidRPr="00682F94" w:rsidRDefault="00011100" w:rsidP="002A1A0D">
            <w:pPr>
              <w:rPr>
                <w:rFonts w:ascii="Times New Roman" w:hAnsi="Times New Roman" w:cs="Times New Roman"/>
              </w:rPr>
            </w:pPr>
            <w:r>
              <w:rPr>
                <w:rFonts w:ascii="Times New Roman" w:hAnsi="Times New Roman" w:cs="Times New Roman"/>
              </w:rPr>
              <w:t>Nē</w:t>
            </w:r>
          </w:p>
        </w:tc>
        <w:tc>
          <w:tcPr>
            <w:tcW w:w="2093" w:type="dxa"/>
          </w:tcPr>
          <w:p w14:paraId="749528D1" w14:textId="381A8E84" w:rsidR="00901ED2" w:rsidRPr="00682F94" w:rsidRDefault="00011100" w:rsidP="002A1A0D">
            <w:pPr>
              <w:rPr>
                <w:rFonts w:ascii="Times New Roman" w:hAnsi="Times New Roman" w:cs="Times New Roman"/>
              </w:rPr>
            </w:pPr>
            <w:r>
              <w:rPr>
                <w:rFonts w:ascii="Times New Roman" w:hAnsi="Times New Roman" w:cs="Times New Roman"/>
              </w:rPr>
              <w:t>Jā</w:t>
            </w:r>
          </w:p>
        </w:tc>
        <w:tc>
          <w:tcPr>
            <w:tcW w:w="2121" w:type="dxa"/>
            <w:vMerge/>
          </w:tcPr>
          <w:p w14:paraId="194BD5DC" w14:textId="77777777" w:rsidR="00901ED2" w:rsidRPr="00020DFD" w:rsidRDefault="00901ED2" w:rsidP="002A1A0D">
            <w:pPr>
              <w:rPr>
                <w:rFonts w:ascii="Times New Roman" w:hAnsi="Times New Roman" w:cs="Times New Roman"/>
                <w:color w:val="FF0000"/>
              </w:rPr>
            </w:pPr>
          </w:p>
        </w:tc>
      </w:tr>
      <w:tr w:rsidR="000A6CFE" w:rsidRPr="00001188" w14:paraId="3ED6B52B" w14:textId="77777777" w:rsidTr="002A1A0D">
        <w:tc>
          <w:tcPr>
            <w:tcW w:w="2732" w:type="dxa"/>
          </w:tcPr>
          <w:p w14:paraId="57EC8D2D" w14:textId="34D84395" w:rsidR="000A6CFE" w:rsidRPr="00682F94" w:rsidRDefault="00901ED2" w:rsidP="002A1A0D">
            <w:pPr>
              <w:rPr>
                <w:rFonts w:ascii="Times New Roman" w:hAnsi="Times New Roman" w:cs="Times New Roman"/>
              </w:rPr>
            </w:pPr>
            <w:r w:rsidRPr="00682F94">
              <w:rPr>
                <w:rFonts w:ascii="Times New Roman" w:hAnsi="Times New Roman" w:cs="Times New Roman"/>
                <w:bCs/>
              </w:rPr>
              <w:t>Direktīvas </w:t>
            </w:r>
            <w:r w:rsidRPr="00682F94">
              <w:rPr>
                <w:rFonts w:ascii="Times New Roman" w:eastAsia="Times New Roman" w:hAnsi="Times New Roman" w:cs="Times New Roman"/>
                <w:iCs/>
              </w:rPr>
              <w:t>86/635/EEK 41. panta 2. punkta g) apakšpunkts</w:t>
            </w:r>
          </w:p>
        </w:tc>
        <w:tc>
          <w:tcPr>
            <w:tcW w:w="3532" w:type="dxa"/>
          </w:tcPr>
          <w:p w14:paraId="28F0E0A0" w14:textId="2700F19F" w:rsidR="000A6CFE" w:rsidRPr="00682F94" w:rsidRDefault="00901ED2" w:rsidP="002A1A0D">
            <w:pPr>
              <w:rPr>
                <w:rFonts w:ascii="Times New Roman" w:hAnsi="Times New Roman" w:cs="Times New Roman"/>
              </w:rPr>
            </w:pPr>
            <w:r w:rsidRPr="00682F94">
              <w:rPr>
                <w:rFonts w:ascii="Times New Roman" w:hAnsi="Times New Roman" w:cs="Times New Roman"/>
              </w:rPr>
              <w:t xml:space="preserve">Projekta </w:t>
            </w:r>
            <w:r w:rsidR="000412C7">
              <w:rPr>
                <w:rFonts w:ascii="Times New Roman" w:hAnsi="Times New Roman" w:cs="Times New Roman"/>
              </w:rPr>
              <w:t>9</w:t>
            </w:r>
            <w:r w:rsidR="00A14FD8">
              <w:rPr>
                <w:rFonts w:ascii="Times New Roman" w:hAnsi="Times New Roman" w:cs="Times New Roman"/>
              </w:rPr>
              <w:t>8</w:t>
            </w:r>
            <w:r w:rsidRPr="00682F94">
              <w:rPr>
                <w:rFonts w:ascii="Times New Roman" w:hAnsi="Times New Roman" w:cs="Times New Roman"/>
              </w:rPr>
              <w:t>. punkts</w:t>
            </w:r>
          </w:p>
        </w:tc>
        <w:tc>
          <w:tcPr>
            <w:tcW w:w="2088" w:type="dxa"/>
          </w:tcPr>
          <w:p w14:paraId="3BE61578"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205" w:type="dxa"/>
          </w:tcPr>
          <w:p w14:paraId="04D2710B"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093" w:type="dxa"/>
          </w:tcPr>
          <w:p w14:paraId="18475B4F"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121" w:type="dxa"/>
            <w:vMerge/>
          </w:tcPr>
          <w:p w14:paraId="0486B4E7" w14:textId="77777777" w:rsidR="000A6CFE" w:rsidRPr="00020DFD" w:rsidRDefault="000A6CFE" w:rsidP="002A1A0D">
            <w:pPr>
              <w:rPr>
                <w:rFonts w:ascii="Times New Roman" w:hAnsi="Times New Roman" w:cs="Times New Roman"/>
                <w:color w:val="FF0000"/>
              </w:rPr>
            </w:pPr>
          </w:p>
        </w:tc>
      </w:tr>
    </w:tbl>
    <w:p w14:paraId="7D2FD491" w14:textId="77777777" w:rsidR="000A6CFE" w:rsidRPr="00211446" w:rsidRDefault="000A6CFE" w:rsidP="000A6CFE">
      <w:pPr>
        <w:rPr>
          <w:rFonts w:ascii="Times New Roman" w:hAnsi="Times New Roman" w:cs="Times New Roman"/>
        </w:rPr>
      </w:pPr>
    </w:p>
    <w:p w14:paraId="2EFAC207" w14:textId="6DB2CD80" w:rsidR="000A6CFE" w:rsidRPr="00001188" w:rsidRDefault="000A6CFE" w:rsidP="000A6CFE">
      <w:pPr>
        <w:keepNext/>
        <w:jc w:val="both"/>
        <w:rPr>
          <w:rFonts w:ascii="Times New Roman" w:hAnsi="Times New Roman" w:cs="Times New Roman"/>
          <w:bCs/>
          <w:sz w:val="24"/>
          <w:szCs w:val="24"/>
        </w:rPr>
      </w:pPr>
      <w:r w:rsidRPr="00001188">
        <w:rPr>
          <w:rFonts w:ascii="Times New Roman" w:hAnsi="Times New Roman" w:cs="Times New Roman"/>
          <w:b/>
          <w:sz w:val="24"/>
          <w:szCs w:val="24"/>
        </w:rPr>
        <w:t>Eiropas Savienības tiesību akta nosaukums:</w:t>
      </w:r>
      <w:r w:rsidRPr="00001188">
        <w:rPr>
          <w:rFonts w:ascii="Times New Roman" w:hAnsi="Times New Roman" w:cs="Times New Roman"/>
          <w:bCs/>
          <w:sz w:val="24"/>
          <w:szCs w:val="24"/>
        </w:rPr>
        <w:t xml:space="preserve"> </w:t>
      </w:r>
      <w:r w:rsidR="00B673BD" w:rsidRPr="00C572C9">
        <w:rPr>
          <w:rFonts w:ascii="Times New Roman" w:eastAsia="Times New Roman" w:hAnsi="Times New Roman" w:cs="Times New Roman"/>
          <w:iCs/>
          <w:sz w:val="24"/>
          <w:szCs w:val="24"/>
        </w:rPr>
        <w:t>Eiropas Parlamenta un Padomes 2013.</w:t>
      </w:r>
      <w:r w:rsidR="00DB1BBA">
        <w:rPr>
          <w:rFonts w:ascii="Times New Roman" w:eastAsia="Times New Roman" w:hAnsi="Times New Roman" w:cs="Times New Roman"/>
          <w:iCs/>
          <w:sz w:val="24"/>
          <w:szCs w:val="24"/>
        </w:rPr>
        <w:t> </w:t>
      </w:r>
      <w:r w:rsidR="00B673BD" w:rsidRPr="00C572C9">
        <w:rPr>
          <w:rFonts w:ascii="Times New Roman" w:eastAsia="Times New Roman" w:hAnsi="Times New Roman" w:cs="Times New Roman"/>
          <w:iCs/>
          <w:sz w:val="24"/>
          <w:szCs w:val="24"/>
        </w:rPr>
        <w:t>gada 26.</w:t>
      </w:r>
      <w:r w:rsidR="00DB1BBA">
        <w:rPr>
          <w:rFonts w:ascii="Times New Roman" w:eastAsia="Times New Roman" w:hAnsi="Times New Roman" w:cs="Times New Roman"/>
          <w:iCs/>
          <w:sz w:val="24"/>
          <w:szCs w:val="24"/>
        </w:rPr>
        <w:t> </w:t>
      </w:r>
      <w:r w:rsidR="00B673BD" w:rsidRPr="00C572C9">
        <w:rPr>
          <w:rFonts w:ascii="Times New Roman" w:eastAsia="Times New Roman" w:hAnsi="Times New Roman" w:cs="Times New Roman"/>
          <w:iCs/>
          <w:sz w:val="24"/>
          <w:szCs w:val="24"/>
        </w:rPr>
        <w:t xml:space="preserve">jūnija </w:t>
      </w:r>
      <w:r w:rsidR="00DB1BBA">
        <w:rPr>
          <w:rFonts w:ascii="Times New Roman" w:eastAsia="Times New Roman" w:hAnsi="Times New Roman" w:cs="Times New Roman"/>
          <w:iCs/>
          <w:sz w:val="24"/>
          <w:szCs w:val="24"/>
        </w:rPr>
        <w:t>d</w:t>
      </w:r>
      <w:r w:rsidR="00B673BD" w:rsidRPr="00C572C9">
        <w:rPr>
          <w:rFonts w:ascii="Times New Roman" w:eastAsia="Times New Roman" w:hAnsi="Times New Roman" w:cs="Times New Roman"/>
          <w:iCs/>
          <w:sz w:val="24"/>
          <w:szCs w:val="24"/>
        </w:rPr>
        <w:t>irektīva</w:t>
      </w:r>
      <w:r w:rsidR="00DB1BBA">
        <w:rPr>
          <w:rFonts w:ascii="Times New Roman" w:eastAsia="Times New Roman" w:hAnsi="Times New Roman" w:cs="Times New Roman"/>
          <w:iCs/>
          <w:sz w:val="24"/>
          <w:szCs w:val="24"/>
        </w:rPr>
        <w:t xml:space="preserve"> </w:t>
      </w:r>
      <w:hyperlink r:id="rId12" w:tgtFrame="_blank" w:history="1">
        <w:r w:rsidR="00B673BD" w:rsidRPr="00C572C9">
          <w:rPr>
            <w:rFonts w:ascii="Times New Roman" w:eastAsia="Times New Roman" w:hAnsi="Times New Roman" w:cs="Times New Roman"/>
            <w:iCs/>
            <w:sz w:val="24"/>
            <w:szCs w:val="24"/>
          </w:rPr>
          <w:t>2013/34/ES</w:t>
        </w:r>
      </w:hyperlink>
      <w:r w:rsidR="00DB1BBA">
        <w:rPr>
          <w:rFonts w:ascii="Times New Roman" w:eastAsia="Times New Roman" w:hAnsi="Times New Roman" w:cs="Times New Roman"/>
          <w:iCs/>
          <w:sz w:val="24"/>
          <w:szCs w:val="24"/>
        </w:rPr>
        <w:t xml:space="preserve"> </w:t>
      </w:r>
      <w:r w:rsidR="00B673BD" w:rsidRPr="00C572C9">
        <w:rPr>
          <w:rFonts w:ascii="Times New Roman" w:eastAsia="Times New Roman" w:hAnsi="Times New Roman" w:cs="Times New Roman"/>
          <w:iCs/>
          <w:sz w:val="24"/>
          <w:szCs w:val="24"/>
        </w:rPr>
        <w:t xml:space="preserve">par noteiktu veidu uzņēmumu gada finanšu pārskatiem, konsolidētajiem finanšu pārskatiem un saistītajiem ziņojumiem, ar ko groza Eiropas Parlamenta un Padomes </w:t>
      </w:r>
      <w:r w:rsidR="00DB1BBA">
        <w:rPr>
          <w:rFonts w:ascii="Times New Roman" w:eastAsia="Times New Roman" w:hAnsi="Times New Roman" w:cs="Times New Roman"/>
          <w:iCs/>
          <w:sz w:val="24"/>
          <w:szCs w:val="24"/>
        </w:rPr>
        <w:t>d</w:t>
      </w:r>
      <w:r w:rsidR="00B673BD" w:rsidRPr="00C572C9">
        <w:rPr>
          <w:rFonts w:ascii="Times New Roman" w:eastAsia="Times New Roman" w:hAnsi="Times New Roman" w:cs="Times New Roman"/>
          <w:iCs/>
          <w:sz w:val="24"/>
          <w:szCs w:val="24"/>
        </w:rPr>
        <w:t>irektīvu </w:t>
      </w:r>
      <w:hyperlink r:id="rId13" w:tgtFrame="_blank" w:history="1">
        <w:r w:rsidR="00B673BD" w:rsidRPr="00C572C9">
          <w:rPr>
            <w:rFonts w:ascii="Times New Roman" w:eastAsia="Times New Roman" w:hAnsi="Times New Roman" w:cs="Times New Roman"/>
            <w:iCs/>
            <w:sz w:val="24"/>
            <w:szCs w:val="24"/>
          </w:rPr>
          <w:t>2006/43/EK</w:t>
        </w:r>
      </w:hyperlink>
      <w:r w:rsidR="00CB4091">
        <w:rPr>
          <w:rFonts w:ascii="Times New Roman" w:eastAsia="Times New Roman" w:hAnsi="Times New Roman" w:cs="Times New Roman"/>
          <w:iCs/>
          <w:sz w:val="24"/>
          <w:szCs w:val="24"/>
        </w:rPr>
        <w:t xml:space="preserve"> </w:t>
      </w:r>
      <w:r w:rsidR="00B673BD" w:rsidRPr="00C572C9">
        <w:rPr>
          <w:rFonts w:ascii="Times New Roman" w:eastAsia="Times New Roman" w:hAnsi="Times New Roman" w:cs="Times New Roman"/>
          <w:iCs/>
          <w:sz w:val="24"/>
          <w:szCs w:val="24"/>
        </w:rPr>
        <w:t xml:space="preserve">un atceļ Padomes </w:t>
      </w:r>
      <w:r w:rsidR="00DB1BBA">
        <w:rPr>
          <w:rFonts w:ascii="Times New Roman" w:eastAsia="Times New Roman" w:hAnsi="Times New Roman" w:cs="Times New Roman"/>
          <w:iCs/>
          <w:sz w:val="24"/>
          <w:szCs w:val="24"/>
        </w:rPr>
        <w:t>d</w:t>
      </w:r>
      <w:r w:rsidR="00B673BD" w:rsidRPr="00C572C9">
        <w:rPr>
          <w:rFonts w:ascii="Times New Roman" w:eastAsia="Times New Roman" w:hAnsi="Times New Roman" w:cs="Times New Roman"/>
          <w:iCs/>
          <w:sz w:val="24"/>
          <w:szCs w:val="24"/>
        </w:rPr>
        <w:t>irektīvu </w:t>
      </w:r>
      <w:hyperlink r:id="rId14" w:tgtFrame="_blank" w:history="1">
        <w:r w:rsidR="00B673BD" w:rsidRPr="00C572C9">
          <w:rPr>
            <w:rFonts w:ascii="Times New Roman" w:eastAsia="Times New Roman" w:hAnsi="Times New Roman" w:cs="Times New Roman"/>
            <w:iCs/>
            <w:sz w:val="24"/>
            <w:szCs w:val="24"/>
          </w:rPr>
          <w:t>78/660/EEK</w:t>
        </w:r>
      </w:hyperlink>
      <w:r w:rsidR="00CB4091">
        <w:rPr>
          <w:rFonts w:ascii="Times New Roman" w:eastAsia="Times New Roman" w:hAnsi="Times New Roman" w:cs="Times New Roman"/>
          <w:iCs/>
          <w:sz w:val="24"/>
          <w:szCs w:val="24"/>
        </w:rPr>
        <w:t xml:space="preserve"> </w:t>
      </w:r>
      <w:r w:rsidR="00B673BD" w:rsidRPr="00C572C9">
        <w:rPr>
          <w:rFonts w:ascii="Times New Roman" w:eastAsia="Times New Roman" w:hAnsi="Times New Roman" w:cs="Times New Roman"/>
          <w:iCs/>
          <w:sz w:val="24"/>
          <w:szCs w:val="24"/>
        </w:rPr>
        <w:t>un</w:t>
      </w:r>
      <w:r w:rsidR="00CB4091">
        <w:rPr>
          <w:rFonts w:ascii="Times New Roman" w:eastAsia="Times New Roman" w:hAnsi="Times New Roman" w:cs="Times New Roman"/>
          <w:iCs/>
          <w:sz w:val="24"/>
          <w:szCs w:val="24"/>
        </w:rPr>
        <w:t xml:space="preserve"> </w:t>
      </w:r>
      <w:hyperlink r:id="rId15" w:tgtFrame="_blank" w:history="1">
        <w:r w:rsidR="00B673BD" w:rsidRPr="00C572C9">
          <w:rPr>
            <w:rFonts w:ascii="Times New Roman" w:eastAsia="Times New Roman" w:hAnsi="Times New Roman" w:cs="Times New Roman"/>
            <w:iCs/>
            <w:sz w:val="24"/>
            <w:szCs w:val="24"/>
          </w:rPr>
          <w:t>83/349/EEK</w:t>
        </w:r>
      </w:hyperlink>
      <w:r w:rsidR="00B673BD" w:rsidRPr="00211446">
        <w:rPr>
          <w:rFonts w:ascii="Times New Roman" w:hAnsi="Times New Roman" w:cs="Times New Roman"/>
          <w:bCs/>
          <w:sz w:val="24"/>
          <w:szCs w:val="24"/>
        </w:rPr>
        <w:t xml:space="preserve"> </w:t>
      </w:r>
      <w:r w:rsidRPr="00211446">
        <w:rPr>
          <w:rFonts w:ascii="Times New Roman" w:hAnsi="Times New Roman" w:cs="Times New Roman"/>
          <w:bCs/>
          <w:sz w:val="24"/>
          <w:szCs w:val="24"/>
        </w:rPr>
        <w:t>(turpmāk – Direktīva</w:t>
      </w:r>
      <w:r>
        <w:rPr>
          <w:rFonts w:ascii="Times New Roman" w:hAnsi="Times New Roman" w:cs="Times New Roman"/>
          <w:bCs/>
          <w:sz w:val="24"/>
          <w:szCs w:val="24"/>
        </w:rPr>
        <w:t> </w:t>
      </w:r>
      <w:hyperlink r:id="rId16" w:tgtFrame="_blank" w:history="1">
        <w:r w:rsidR="00B673BD" w:rsidRPr="00C572C9">
          <w:rPr>
            <w:rFonts w:ascii="Times New Roman" w:eastAsia="Times New Roman" w:hAnsi="Times New Roman" w:cs="Times New Roman"/>
            <w:iCs/>
            <w:sz w:val="24"/>
            <w:szCs w:val="24"/>
          </w:rPr>
          <w:t>2013/34/ES</w:t>
        </w:r>
      </w:hyperlink>
      <w:r w:rsidRPr="00211446">
        <w:rPr>
          <w:rFonts w:ascii="Times New Roman" w:hAnsi="Times New Roman" w:cs="Times New Roman"/>
          <w:bCs/>
          <w:sz w:val="24"/>
          <w:szCs w:val="24"/>
        </w:rPr>
        <w:t>)</w:t>
      </w:r>
    </w:p>
    <w:tbl>
      <w:tblPr>
        <w:tblStyle w:val="Reatabula"/>
        <w:tblW w:w="14771" w:type="dxa"/>
        <w:tblLook w:val="04A0" w:firstRow="1" w:lastRow="0" w:firstColumn="1" w:lastColumn="0" w:noHBand="0" w:noVBand="1"/>
      </w:tblPr>
      <w:tblGrid>
        <w:gridCol w:w="3203"/>
        <w:gridCol w:w="2307"/>
        <w:gridCol w:w="2304"/>
        <w:gridCol w:w="2349"/>
        <w:gridCol w:w="2257"/>
        <w:gridCol w:w="2351"/>
      </w:tblGrid>
      <w:tr w:rsidR="000A6CFE" w:rsidRPr="00001188" w14:paraId="5189104A" w14:textId="77777777" w:rsidTr="002A1A0D">
        <w:tc>
          <w:tcPr>
            <w:tcW w:w="3203" w:type="dxa"/>
          </w:tcPr>
          <w:p w14:paraId="64F24A0D" w14:textId="57EE97D4"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b/>
                <w:bCs/>
                <w:sz w:val="24"/>
                <w:szCs w:val="24"/>
              </w:rPr>
              <w:t xml:space="preserve">Eiropas Savienības tiesību akta pants, punkts vai apakšpunkts, kurā paredzētās prasības Latvijā jāizpilda </w:t>
            </w:r>
            <w:r w:rsidRPr="00001188">
              <w:rPr>
                <w:rFonts w:ascii="Times New Roman" w:hAnsi="Times New Roman" w:cs="Times New Roman"/>
                <w:i/>
                <w:iCs/>
                <w:sz w:val="24"/>
                <w:szCs w:val="24"/>
              </w:rPr>
              <w:t>(</w:t>
            </w:r>
            <w:r w:rsidR="00590977">
              <w:rPr>
                <w:rFonts w:ascii="Times New Roman" w:hAnsi="Times New Roman" w:cs="Times New Roman"/>
                <w:i/>
                <w:iCs/>
                <w:sz w:val="24"/>
                <w:szCs w:val="24"/>
              </w:rPr>
              <w:t>n</w:t>
            </w:r>
            <w:r w:rsidRPr="00001188">
              <w:rPr>
                <w:rFonts w:ascii="Times New Roman" w:hAnsi="Times New Roman" w:cs="Times New Roman"/>
                <w:i/>
                <w:iCs/>
                <w:sz w:val="24"/>
                <w:szCs w:val="24"/>
              </w:rPr>
              <w:t>orāda pēc iespējas konkrētāku teksta vienību)</w:t>
            </w:r>
          </w:p>
        </w:tc>
        <w:tc>
          <w:tcPr>
            <w:tcW w:w="2307" w:type="dxa"/>
          </w:tcPr>
          <w:p w14:paraId="3E0FC7D0" w14:textId="6A423A13" w:rsidR="000A6CFE" w:rsidRPr="00001188" w:rsidRDefault="00273AB1" w:rsidP="002A1A0D">
            <w:pPr>
              <w:jc w:val="center"/>
              <w:rPr>
                <w:rFonts w:ascii="Times New Roman" w:hAnsi="Times New Roman" w:cs="Times New Roman"/>
                <w:b/>
                <w:bCs/>
                <w:sz w:val="24"/>
                <w:szCs w:val="24"/>
              </w:rPr>
            </w:pPr>
            <w:r>
              <w:rPr>
                <w:rFonts w:ascii="Times New Roman" w:hAnsi="Times New Roman" w:cs="Times New Roman"/>
                <w:b/>
                <w:bCs/>
                <w:sz w:val="24"/>
                <w:szCs w:val="24"/>
              </w:rPr>
              <w:t>P</w:t>
            </w:r>
            <w:r w:rsidR="000A6CFE" w:rsidRPr="00001188">
              <w:rPr>
                <w:rFonts w:ascii="Times New Roman" w:hAnsi="Times New Roman" w:cs="Times New Roman"/>
                <w:b/>
                <w:bCs/>
                <w:sz w:val="24"/>
                <w:szCs w:val="24"/>
              </w:rPr>
              <w:t>rojekta punkts vai apakšpunkts, kas izpilda A ailē minēto prasību</w:t>
            </w:r>
          </w:p>
          <w:p w14:paraId="7E715066" w14:textId="77437787"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i/>
                <w:iCs/>
                <w:sz w:val="24"/>
                <w:szCs w:val="24"/>
              </w:rPr>
              <w:t>(</w:t>
            </w:r>
            <w:r w:rsidR="00590977">
              <w:rPr>
                <w:rFonts w:ascii="Times New Roman" w:hAnsi="Times New Roman" w:cs="Times New Roman"/>
                <w:i/>
                <w:iCs/>
                <w:sz w:val="24"/>
                <w:szCs w:val="24"/>
              </w:rPr>
              <w:t>n</w:t>
            </w:r>
            <w:r w:rsidRPr="00001188">
              <w:rPr>
                <w:rFonts w:ascii="Times New Roman" w:hAnsi="Times New Roman" w:cs="Times New Roman"/>
                <w:i/>
                <w:iCs/>
                <w:sz w:val="24"/>
                <w:szCs w:val="24"/>
              </w:rPr>
              <w:t>orāda pēc iespējas konkrētāku teksta vienību)</w:t>
            </w:r>
          </w:p>
        </w:tc>
        <w:tc>
          <w:tcPr>
            <w:tcW w:w="2304" w:type="dxa"/>
          </w:tcPr>
          <w:p w14:paraId="5C265117" w14:textId="724D7C3D"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b/>
                <w:bCs/>
                <w:sz w:val="24"/>
                <w:szCs w:val="24"/>
              </w:rPr>
              <w:t>Vai A ailē minētā prasība ar B ailē minēto projekta punktu vai apakšpunktu tiek izpildīta pilnībā vai daļēji</w:t>
            </w:r>
          </w:p>
          <w:p w14:paraId="4501B8E5" w14:textId="21A4164A"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i/>
                <w:iCs/>
                <w:sz w:val="24"/>
                <w:szCs w:val="24"/>
              </w:rPr>
              <w:t>(</w:t>
            </w:r>
            <w:r w:rsidR="00590977">
              <w:rPr>
                <w:rFonts w:ascii="Times New Roman" w:hAnsi="Times New Roman" w:cs="Times New Roman"/>
                <w:i/>
                <w:iCs/>
                <w:sz w:val="24"/>
                <w:szCs w:val="24"/>
              </w:rPr>
              <w:t>j</w:t>
            </w:r>
            <w:r w:rsidRPr="00001188">
              <w:rPr>
                <w:rFonts w:ascii="Times New Roman" w:hAnsi="Times New Roman" w:cs="Times New Roman"/>
                <w:i/>
                <w:iCs/>
                <w:sz w:val="24"/>
                <w:szCs w:val="24"/>
              </w:rPr>
              <w:t>a daļēji, norāda, kur un kā ir vai tiks nodrošināta prasības pilnīga izpilde)</w:t>
            </w:r>
          </w:p>
        </w:tc>
        <w:tc>
          <w:tcPr>
            <w:tcW w:w="2349" w:type="dxa"/>
          </w:tcPr>
          <w:p w14:paraId="6E1F055A" w14:textId="2EF7DE8A"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b/>
                <w:bCs/>
                <w:sz w:val="24"/>
                <w:szCs w:val="24"/>
              </w:rPr>
              <w:t>Vai B ailē norādītais projekta punkts vai apakšpunkts paredz stingrākas prasības nekā A ailē minētā prasība</w:t>
            </w:r>
          </w:p>
          <w:p w14:paraId="371D3792" w14:textId="76211CCF"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i/>
                <w:iCs/>
                <w:sz w:val="24"/>
                <w:szCs w:val="24"/>
              </w:rPr>
              <w:t>(</w:t>
            </w:r>
            <w:r w:rsidR="00590977">
              <w:rPr>
                <w:rFonts w:ascii="Times New Roman" w:hAnsi="Times New Roman" w:cs="Times New Roman"/>
                <w:i/>
                <w:iCs/>
                <w:sz w:val="24"/>
                <w:szCs w:val="24"/>
              </w:rPr>
              <w:t>j</w:t>
            </w:r>
            <w:r w:rsidRPr="00001188">
              <w:rPr>
                <w:rFonts w:ascii="Times New Roman" w:hAnsi="Times New Roman" w:cs="Times New Roman"/>
                <w:i/>
                <w:iCs/>
                <w:sz w:val="24"/>
                <w:szCs w:val="24"/>
              </w:rPr>
              <w:t>a paredz stingrākas prasības, norāda pamatojumu šādu stingrāku prasību nepieciešamībai)</w:t>
            </w:r>
          </w:p>
        </w:tc>
        <w:tc>
          <w:tcPr>
            <w:tcW w:w="2257" w:type="dxa"/>
          </w:tcPr>
          <w:p w14:paraId="76E9A8D6" w14:textId="48FF5AA4" w:rsidR="000A6CFE" w:rsidRPr="00001188" w:rsidRDefault="000A6CFE" w:rsidP="002A1A0D">
            <w:pPr>
              <w:jc w:val="center"/>
              <w:rPr>
                <w:rFonts w:ascii="Times New Roman" w:hAnsi="Times New Roman" w:cs="Times New Roman"/>
                <w:b/>
                <w:bCs/>
                <w:sz w:val="24"/>
                <w:szCs w:val="24"/>
              </w:rPr>
            </w:pPr>
            <w:r w:rsidRPr="00001188">
              <w:rPr>
                <w:rFonts w:ascii="Times New Roman" w:hAnsi="Times New Roman" w:cs="Times New Roman"/>
                <w:b/>
                <w:bCs/>
                <w:sz w:val="24"/>
                <w:szCs w:val="24"/>
              </w:rPr>
              <w:t>Vai A ailē minētā prasība ir jāizpilda obligāti</w:t>
            </w:r>
          </w:p>
          <w:p w14:paraId="7CFF20E9" w14:textId="7F43BB07" w:rsidR="000A6CFE" w:rsidRPr="00001188" w:rsidRDefault="000A6CFE" w:rsidP="002A1A0D">
            <w:pPr>
              <w:jc w:val="center"/>
              <w:rPr>
                <w:rFonts w:ascii="Times New Roman" w:hAnsi="Times New Roman" w:cs="Times New Roman"/>
                <w:i/>
                <w:iCs/>
                <w:sz w:val="24"/>
                <w:szCs w:val="24"/>
              </w:rPr>
            </w:pPr>
            <w:r w:rsidRPr="00001188">
              <w:rPr>
                <w:rFonts w:ascii="Times New Roman" w:hAnsi="Times New Roman" w:cs="Times New Roman"/>
                <w:i/>
                <w:iCs/>
                <w:sz w:val="24"/>
                <w:szCs w:val="24"/>
              </w:rPr>
              <w:t>(</w:t>
            </w:r>
            <w:r w:rsidR="00384B16">
              <w:rPr>
                <w:rFonts w:ascii="Times New Roman" w:hAnsi="Times New Roman" w:cs="Times New Roman"/>
                <w:i/>
                <w:iCs/>
                <w:sz w:val="24"/>
                <w:szCs w:val="24"/>
              </w:rPr>
              <w:t>j</w:t>
            </w:r>
            <w:r w:rsidRPr="00001188">
              <w:rPr>
                <w:rFonts w:ascii="Times New Roman" w:hAnsi="Times New Roman" w:cs="Times New Roman"/>
                <w:i/>
                <w:iCs/>
                <w:sz w:val="24"/>
                <w:szCs w:val="24"/>
              </w:rPr>
              <w:t>a Eiropas Savienības tiesību akts paredz izvēles iespēju, norāda, vai un kādēļ šī rīcības brīvība Latvijā ir vai nav jāizmanto)</w:t>
            </w:r>
          </w:p>
          <w:p w14:paraId="629E7E8F" w14:textId="77777777" w:rsidR="000A6CFE" w:rsidRPr="00001188" w:rsidRDefault="000A6CFE" w:rsidP="002A1A0D">
            <w:pPr>
              <w:jc w:val="center"/>
              <w:rPr>
                <w:rFonts w:ascii="Times New Roman" w:hAnsi="Times New Roman" w:cs="Times New Roman"/>
                <w:b/>
                <w:bCs/>
                <w:sz w:val="24"/>
                <w:szCs w:val="24"/>
              </w:rPr>
            </w:pPr>
          </w:p>
          <w:p w14:paraId="756A0DC9" w14:textId="77777777" w:rsidR="000A6CFE" w:rsidRPr="00001188" w:rsidRDefault="000A6CFE" w:rsidP="002A1A0D">
            <w:pPr>
              <w:jc w:val="center"/>
              <w:rPr>
                <w:rFonts w:ascii="Times New Roman" w:hAnsi="Times New Roman" w:cs="Times New Roman"/>
                <w:b/>
                <w:bCs/>
                <w:sz w:val="24"/>
                <w:szCs w:val="24"/>
              </w:rPr>
            </w:pPr>
          </w:p>
        </w:tc>
        <w:tc>
          <w:tcPr>
            <w:tcW w:w="2351" w:type="dxa"/>
          </w:tcPr>
          <w:p w14:paraId="009FD00F" w14:textId="199CC17E" w:rsidR="000A6CFE" w:rsidRPr="00001188" w:rsidRDefault="000A6CFE" w:rsidP="002A1A0D">
            <w:pPr>
              <w:jc w:val="center"/>
              <w:rPr>
                <w:rStyle w:val="cf01"/>
                <w:rFonts w:ascii="Times New Roman" w:hAnsi="Times New Roman" w:cs="Times New Roman"/>
                <w:b/>
                <w:bCs/>
                <w:sz w:val="24"/>
                <w:szCs w:val="24"/>
              </w:rPr>
            </w:pPr>
            <w:r w:rsidRPr="00001188">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0DFD82A1" w14:textId="2DB7CAFA" w:rsidR="000A6CFE" w:rsidRPr="00001188" w:rsidRDefault="000A6CFE" w:rsidP="002A1A0D">
            <w:pPr>
              <w:jc w:val="center"/>
              <w:rPr>
                <w:rFonts w:ascii="Times New Roman" w:hAnsi="Times New Roman" w:cs="Times New Roman"/>
                <w:b/>
                <w:bCs/>
                <w:sz w:val="24"/>
                <w:szCs w:val="24"/>
              </w:rPr>
            </w:pPr>
            <w:r w:rsidRPr="00001188">
              <w:rPr>
                <w:rStyle w:val="cf01"/>
                <w:rFonts w:ascii="Times New Roman" w:hAnsi="Times New Roman" w:cs="Times New Roman"/>
                <w:i/>
                <w:iCs/>
                <w:sz w:val="24"/>
                <w:szCs w:val="24"/>
              </w:rPr>
              <w:t>(</w:t>
            </w:r>
            <w:r w:rsidR="00590977">
              <w:rPr>
                <w:rStyle w:val="cf01"/>
                <w:rFonts w:ascii="Times New Roman" w:hAnsi="Times New Roman" w:cs="Times New Roman"/>
                <w:i/>
                <w:iCs/>
                <w:sz w:val="24"/>
                <w:szCs w:val="24"/>
              </w:rPr>
              <w:t>j</w:t>
            </w:r>
            <w:r w:rsidRPr="00001188">
              <w:rPr>
                <w:rStyle w:val="cf01"/>
                <w:rFonts w:ascii="Times New Roman" w:hAnsi="Times New Roman" w:cs="Times New Roman"/>
                <w:i/>
                <w:iCs/>
                <w:sz w:val="24"/>
                <w:szCs w:val="24"/>
              </w:rPr>
              <w:t>a paredz, norāda, kas un kādā termiņā šo paziņošanas pienākumu izpildīs)</w:t>
            </w:r>
          </w:p>
        </w:tc>
      </w:tr>
      <w:tr w:rsidR="000A6CFE" w:rsidRPr="00001188" w14:paraId="680AB551" w14:textId="77777777" w:rsidTr="002A1A0D">
        <w:tc>
          <w:tcPr>
            <w:tcW w:w="3203" w:type="dxa"/>
          </w:tcPr>
          <w:p w14:paraId="1242B5E6"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A</w:t>
            </w:r>
          </w:p>
        </w:tc>
        <w:tc>
          <w:tcPr>
            <w:tcW w:w="2307" w:type="dxa"/>
          </w:tcPr>
          <w:p w14:paraId="2448ED9B"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B</w:t>
            </w:r>
          </w:p>
        </w:tc>
        <w:tc>
          <w:tcPr>
            <w:tcW w:w="2304" w:type="dxa"/>
          </w:tcPr>
          <w:p w14:paraId="1CD01DDD"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C</w:t>
            </w:r>
          </w:p>
        </w:tc>
        <w:tc>
          <w:tcPr>
            <w:tcW w:w="2349" w:type="dxa"/>
          </w:tcPr>
          <w:p w14:paraId="771676DB"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D</w:t>
            </w:r>
          </w:p>
        </w:tc>
        <w:tc>
          <w:tcPr>
            <w:tcW w:w="2257" w:type="dxa"/>
          </w:tcPr>
          <w:p w14:paraId="33DAAC04"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E</w:t>
            </w:r>
          </w:p>
        </w:tc>
        <w:tc>
          <w:tcPr>
            <w:tcW w:w="2351" w:type="dxa"/>
          </w:tcPr>
          <w:p w14:paraId="6705E40D" w14:textId="77777777" w:rsidR="000A6CFE" w:rsidRPr="00001188" w:rsidRDefault="000A6CFE" w:rsidP="002A1A0D">
            <w:pPr>
              <w:jc w:val="center"/>
              <w:rPr>
                <w:rFonts w:ascii="Times New Roman" w:hAnsi="Times New Roman" w:cs="Times New Roman"/>
                <w:sz w:val="24"/>
                <w:szCs w:val="24"/>
              </w:rPr>
            </w:pPr>
            <w:r w:rsidRPr="00001188">
              <w:rPr>
                <w:rFonts w:ascii="Times New Roman" w:hAnsi="Times New Roman" w:cs="Times New Roman"/>
                <w:sz w:val="24"/>
                <w:szCs w:val="24"/>
              </w:rPr>
              <w:t>F</w:t>
            </w:r>
          </w:p>
        </w:tc>
      </w:tr>
      <w:tr w:rsidR="000A6CFE" w:rsidRPr="00682F94" w14:paraId="479393A8" w14:textId="77777777" w:rsidTr="002A1A0D">
        <w:tc>
          <w:tcPr>
            <w:tcW w:w="3203" w:type="dxa"/>
          </w:tcPr>
          <w:p w14:paraId="7DDAC228" w14:textId="63C5A7D3" w:rsidR="000A6CFE" w:rsidRPr="00682F94" w:rsidRDefault="00B159F9" w:rsidP="002A1A0D">
            <w:pPr>
              <w:rPr>
                <w:rFonts w:ascii="Times New Roman" w:hAnsi="Times New Roman" w:cs="Times New Roman"/>
              </w:rPr>
            </w:pPr>
            <w:r w:rsidRPr="00682F94">
              <w:rPr>
                <w:rFonts w:ascii="Times New Roman" w:hAnsi="Times New Roman" w:cs="Times New Roman"/>
                <w:bCs/>
              </w:rPr>
              <w:t>Direktīvas </w:t>
            </w:r>
            <w:hyperlink r:id="rId17"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a) apakšpunkts</w:t>
            </w:r>
          </w:p>
        </w:tc>
        <w:tc>
          <w:tcPr>
            <w:tcW w:w="2307" w:type="dxa"/>
          </w:tcPr>
          <w:p w14:paraId="4C5781A6" w14:textId="45431B2E" w:rsidR="000A6CFE" w:rsidRPr="00682F94" w:rsidRDefault="000F07A6" w:rsidP="002A1A0D">
            <w:pPr>
              <w:rPr>
                <w:rFonts w:ascii="Times New Roman" w:hAnsi="Times New Roman" w:cs="Times New Roman"/>
              </w:rPr>
            </w:pPr>
            <w:r>
              <w:rPr>
                <w:rFonts w:ascii="Times New Roman" w:hAnsi="Times New Roman" w:cs="Times New Roman"/>
              </w:rPr>
              <w:t>Projekta 73.1. apakšpunkts</w:t>
            </w:r>
          </w:p>
        </w:tc>
        <w:tc>
          <w:tcPr>
            <w:tcW w:w="2304" w:type="dxa"/>
          </w:tcPr>
          <w:p w14:paraId="5415A6BA"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5DAA1D3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622F932E"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val="restart"/>
          </w:tcPr>
          <w:p w14:paraId="562E417F" w14:textId="4F8107D8" w:rsidR="000A6CFE" w:rsidRPr="00682F94" w:rsidRDefault="000A6CFE" w:rsidP="002A1A0D">
            <w:pPr>
              <w:rPr>
                <w:rFonts w:ascii="Times New Roman" w:hAnsi="Times New Roman" w:cs="Times New Roman"/>
                <w:color w:val="FF0000"/>
              </w:rPr>
            </w:pPr>
            <w:r w:rsidRPr="00682F94">
              <w:rPr>
                <w:rFonts w:ascii="Times New Roman" w:hAnsi="Times New Roman" w:cs="Times New Roman"/>
              </w:rPr>
              <w:t>Direktīvas</w:t>
            </w:r>
            <w:r w:rsidR="00B673BD" w:rsidRPr="00682F94">
              <w:rPr>
                <w:rFonts w:ascii="Times New Roman" w:hAnsi="Times New Roman" w:cs="Times New Roman"/>
              </w:rPr>
              <w:t xml:space="preserve"> 2013/34/ES 53</w:t>
            </w:r>
            <w:r w:rsidRPr="00682F94">
              <w:rPr>
                <w:rFonts w:ascii="Times New Roman" w:hAnsi="Times New Roman" w:cs="Times New Roman"/>
              </w:rPr>
              <w:t xml:space="preserve">. panta </w:t>
            </w:r>
            <w:r w:rsidR="00B673BD" w:rsidRPr="00682F94">
              <w:rPr>
                <w:rFonts w:ascii="Times New Roman" w:hAnsi="Times New Roman" w:cs="Times New Roman"/>
              </w:rPr>
              <w:t>1</w:t>
            </w:r>
            <w:r w:rsidRPr="00682F94">
              <w:rPr>
                <w:rFonts w:ascii="Times New Roman" w:hAnsi="Times New Roman" w:cs="Times New Roman"/>
              </w:rPr>
              <w:t xml:space="preserve">. punkts paredz, ka dalībvalstis paziņo Eiropas </w:t>
            </w:r>
            <w:r w:rsidRPr="00682F94">
              <w:rPr>
                <w:rFonts w:ascii="Times New Roman" w:hAnsi="Times New Roman" w:cs="Times New Roman"/>
              </w:rPr>
              <w:lastRenderedPageBreak/>
              <w:t>Komisijai par šīs direktīvas prasību pārņemšanu. Minēto paziņošanas pienākumu izpildīs Finanšu ministrija, sniedzot paziņojumu Eiropas Komisijai pēc projekta apstiprināšanas Latvijas Bankas padomē.</w:t>
            </w:r>
          </w:p>
        </w:tc>
      </w:tr>
      <w:tr w:rsidR="000A6CFE" w:rsidRPr="00682F94" w14:paraId="311F2CB1" w14:textId="77777777" w:rsidTr="002A1A0D">
        <w:tc>
          <w:tcPr>
            <w:tcW w:w="3203" w:type="dxa"/>
          </w:tcPr>
          <w:p w14:paraId="03946ACD" w14:textId="3B5E95F1"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hyperlink r:id="rId18"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b) apakšpunkts</w:t>
            </w:r>
          </w:p>
        </w:tc>
        <w:tc>
          <w:tcPr>
            <w:tcW w:w="2307" w:type="dxa"/>
          </w:tcPr>
          <w:p w14:paraId="6FD1FAFC" w14:textId="53C0AA83" w:rsidR="000A6CFE" w:rsidRPr="00682F94" w:rsidRDefault="000F07A6" w:rsidP="002A1A0D">
            <w:pPr>
              <w:rPr>
                <w:rFonts w:ascii="Times New Roman" w:hAnsi="Times New Roman" w:cs="Times New Roman"/>
              </w:rPr>
            </w:pPr>
            <w:r>
              <w:rPr>
                <w:rFonts w:ascii="Times New Roman" w:hAnsi="Times New Roman" w:cs="Times New Roman"/>
              </w:rPr>
              <w:t>Projekta 73.2. apakšpunkts</w:t>
            </w:r>
          </w:p>
        </w:tc>
        <w:tc>
          <w:tcPr>
            <w:tcW w:w="2304" w:type="dxa"/>
          </w:tcPr>
          <w:p w14:paraId="65967E72"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597DC0A4"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48543CA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62A6B94A" w14:textId="77777777" w:rsidR="000A6CFE" w:rsidRPr="00682F94" w:rsidRDefault="000A6CFE" w:rsidP="002A1A0D">
            <w:pPr>
              <w:rPr>
                <w:rFonts w:ascii="Times New Roman" w:hAnsi="Times New Roman" w:cs="Times New Roman"/>
              </w:rPr>
            </w:pPr>
          </w:p>
        </w:tc>
      </w:tr>
      <w:tr w:rsidR="000A6CFE" w:rsidRPr="00682F94" w14:paraId="40542E6E" w14:textId="77777777" w:rsidTr="002A1A0D">
        <w:tc>
          <w:tcPr>
            <w:tcW w:w="3203" w:type="dxa"/>
          </w:tcPr>
          <w:p w14:paraId="14024FDB" w14:textId="5D68FF46" w:rsidR="000A6CFE" w:rsidRPr="00682F94" w:rsidRDefault="00F90D31" w:rsidP="002A1A0D">
            <w:pPr>
              <w:rPr>
                <w:rFonts w:ascii="Times New Roman" w:hAnsi="Times New Roman" w:cs="Times New Roman"/>
              </w:rPr>
            </w:pPr>
            <w:r w:rsidRPr="00682F94">
              <w:rPr>
                <w:rFonts w:ascii="Times New Roman" w:hAnsi="Times New Roman" w:cs="Times New Roman"/>
                <w:bCs/>
              </w:rPr>
              <w:lastRenderedPageBreak/>
              <w:t>Direktīvas </w:t>
            </w:r>
            <w:hyperlink r:id="rId19"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c) apakšpunkts</w:t>
            </w:r>
          </w:p>
        </w:tc>
        <w:tc>
          <w:tcPr>
            <w:tcW w:w="2307" w:type="dxa"/>
          </w:tcPr>
          <w:p w14:paraId="37BE37F6" w14:textId="407308ED" w:rsidR="000A6CFE" w:rsidRPr="00682F94" w:rsidRDefault="000F07A6" w:rsidP="002A1A0D">
            <w:pPr>
              <w:rPr>
                <w:rFonts w:ascii="Times New Roman" w:hAnsi="Times New Roman" w:cs="Times New Roman"/>
              </w:rPr>
            </w:pPr>
            <w:r>
              <w:rPr>
                <w:rFonts w:ascii="Times New Roman" w:hAnsi="Times New Roman" w:cs="Times New Roman"/>
              </w:rPr>
              <w:t>Projekta 73.3. apakšpunkts</w:t>
            </w:r>
          </w:p>
        </w:tc>
        <w:tc>
          <w:tcPr>
            <w:tcW w:w="2304" w:type="dxa"/>
          </w:tcPr>
          <w:p w14:paraId="1775A31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16FDC70D"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20CA0B9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022AD5AE" w14:textId="77777777" w:rsidR="000A6CFE" w:rsidRPr="00682F94" w:rsidRDefault="000A6CFE" w:rsidP="002A1A0D">
            <w:pPr>
              <w:rPr>
                <w:rFonts w:ascii="Times New Roman" w:hAnsi="Times New Roman" w:cs="Times New Roman"/>
              </w:rPr>
            </w:pPr>
          </w:p>
        </w:tc>
      </w:tr>
      <w:tr w:rsidR="000A6CFE" w:rsidRPr="00682F94" w14:paraId="410A48B8" w14:textId="77777777" w:rsidTr="002A1A0D">
        <w:tc>
          <w:tcPr>
            <w:tcW w:w="3203" w:type="dxa"/>
          </w:tcPr>
          <w:p w14:paraId="788610F8" w14:textId="087F201A"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hyperlink r:id="rId20"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d) apakšpunkts</w:t>
            </w:r>
          </w:p>
        </w:tc>
        <w:tc>
          <w:tcPr>
            <w:tcW w:w="2307" w:type="dxa"/>
          </w:tcPr>
          <w:p w14:paraId="4A45F739" w14:textId="59B2A1EB" w:rsidR="000A6CFE" w:rsidRPr="00682F94" w:rsidRDefault="000F07A6" w:rsidP="002A1A0D">
            <w:pPr>
              <w:rPr>
                <w:rFonts w:ascii="Times New Roman" w:hAnsi="Times New Roman" w:cs="Times New Roman"/>
              </w:rPr>
            </w:pPr>
            <w:r>
              <w:rPr>
                <w:rFonts w:ascii="Times New Roman" w:hAnsi="Times New Roman" w:cs="Times New Roman"/>
              </w:rPr>
              <w:t>Projekta 73.4. apakšpunkts</w:t>
            </w:r>
          </w:p>
        </w:tc>
        <w:tc>
          <w:tcPr>
            <w:tcW w:w="2304" w:type="dxa"/>
          </w:tcPr>
          <w:p w14:paraId="792A2CBB"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6202F8C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270E7AB4"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71861CC3" w14:textId="77777777" w:rsidR="000A6CFE" w:rsidRPr="00682F94" w:rsidRDefault="000A6CFE" w:rsidP="002A1A0D">
            <w:pPr>
              <w:rPr>
                <w:rFonts w:ascii="Times New Roman" w:hAnsi="Times New Roman" w:cs="Times New Roman"/>
              </w:rPr>
            </w:pPr>
          </w:p>
        </w:tc>
      </w:tr>
      <w:tr w:rsidR="000A6CFE" w:rsidRPr="00682F94" w14:paraId="53684787" w14:textId="77777777" w:rsidTr="002A1A0D">
        <w:tc>
          <w:tcPr>
            <w:tcW w:w="3203" w:type="dxa"/>
          </w:tcPr>
          <w:p w14:paraId="429499A1" w14:textId="4C6890B8"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hyperlink r:id="rId21"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e) apakšpunkts</w:t>
            </w:r>
          </w:p>
        </w:tc>
        <w:tc>
          <w:tcPr>
            <w:tcW w:w="2307" w:type="dxa"/>
          </w:tcPr>
          <w:p w14:paraId="59D686B6" w14:textId="4795B057" w:rsidR="000A6CFE" w:rsidRPr="00682F94" w:rsidRDefault="000F07A6" w:rsidP="002A1A0D">
            <w:pPr>
              <w:rPr>
                <w:rFonts w:ascii="Times New Roman" w:hAnsi="Times New Roman" w:cs="Times New Roman"/>
              </w:rPr>
            </w:pPr>
            <w:r>
              <w:rPr>
                <w:rFonts w:ascii="Times New Roman" w:hAnsi="Times New Roman" w:cs="Times New Roman"/>
              </w:rPr>
              <w:t>Projekta 73.7. apakšpunkts</w:t>
            </w:r>
          </w:p>
        </w:tc>
        <w:tc>
          <w:tcPr>
            <w:tcW w:w="2304" w:type="dxa"/>
          </w:tcPr>
          <w:p w14:paraId="15FACA1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5126886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4E4BA0EC"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46695ED7" w14:textId="77777777" w:rsidR="000A6CFE" w:rsidRPr="00682F94" w:rsidRDefault="000A6CFE" w:rsidP="002A1A0D">
            <w:pPr>
              <w:rPr>
                <w:rFonts w:ascii="Times New Roman" w:hAnsi="Times New Roman" w:cs="Times New Roman"/>
              </w:rPr>
            </w:pPr>
          </w:p>
        </w:tc>
      </w:tr>
      <w:tr w:rsidR="000A6CFE" w:rsidRPr="00682F94" w14:paraId="127CF244" w14:textId="77777777" w:rsidTr="002A1A0D">
        <w:tc>
          <w:tcPr>
            <w:tcW w:w="3203" w:type="dxa"/>
          </w:tcPr>
          <w:p w14:paraId="628CF5AF" w14:textId="17AF299D"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hyperlink r:id="rId22"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f) apakšpunkts</w:t>
            </w:r>
          </w:p>
        </w:tc>
        <w:tc>
          <w:tcPr>
            <w:tcW w:w="2307" w:type="dxa"/>
          </w:tcPr>
          <w:p w14:paraId="54BA2D23" w14:textId="6BEC30CE" w:rsidR="000A6CFE" w:rsidRPr="00682F94" w:rsidRDefault="000F07A6" w:rsidP="002A1A0D">
            <w:pPr>
              <w:rPr>
                <w:rFonts w:ascii="Times New Roman" w:hAnsi="Times New Roman" w:cs="Times New Roman"/>
              </w:rPr>
            </w:pPr>
            <w:r>
              <w:rPr>
                <w:rFonts w:ascii="Times New Roman" w:hAnsi="Times New Roman" w:cs="Times New Roman"/>
              </w:rPr>
              <w:t>Projekta 73.6. apakšpunkts</w:t>
            </w:r>
          </w:p>
        </w:tc>
        <w:tc>
          <w:tcPr>
            <w:tcW w:w="2304" w:type="dxa"/>
          </w:tcPr>
          <w:p w14:paraId="05628D82"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30DB560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697FD49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680B3F01" w14:textId="77777777" w:rsidR="000A6CFE" w:rsidRPr="00682F94" w:rsidRDefault="000A6CFE" w:rsidP="002A1A0D">
            <w:pPr>
              <w:rPr>
                <w:rFonts w:ascii="Times New Roman" w:hAnsi="Times New Roman" w:cs="Times New Roman"/>
              </w:rPr>
            </w:pPr>
          </w:p>
        </w:tc>
      </w:tr>
      <w:tr w:rsidR="000A6CFE" w:rsidRPr="00682F94" w14:paraId="459AA237" w14:textId="77777777" w:rsidTr="002A1A0D">
        <w:tc>
          <w:tcPr>
            <w:tcW w:w="3203" w:type="dxa"/>
          </w:tcPr>
          <w:p w14:paraId="5E66D991" w14:textId="54D97DCE"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hyperlink r:id="rId23"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g) apakšpunkts</w:t>
            </w:r>
          </w:p>
        </w:tc>
        <w:tc>
          <w:tcPr>
            <w:tcW w:w="2307" w:type="dxa"/>
          </w:tcPr>
          <w:p w14:paraId="2AB578BA" w14:textId="67D438D7" w:rsidR="000A6CFE" w:rsidRPr="00682F94" w:rsidRDefault="000F07A6" w:rsidP="002A1A0D">
            <w:pPr>
              <w:rPr>
                <w:rFonts w:ascii="Times New Roman" w:hAnsi="Times New Roman" w:cs="Times New Roman"/>
              </w:rPr>
            </w:pPr>
            <w:r>
              <w:rPr>
                <w:rFonts w:ascii="Times New Roman" w:hAnsi="Times New Roman" w:cs="Times New Roman"/>
              </w:rPr>
              <w:t>Projekta 7</w:t>
            </w:r>
            <w:r w:rsidR="00F55C3D">
              <w:rPr>
                <w:rFonts w:ascii="Times New Roman" w:hAnsi="Times New Roman" w:cs="Times New Roman"/>
              </w:rPr>
              <w:t>7</w:t>
            </w:r>
            <w:r>
              <w:rPr>
                <w:rFonts w:ascii="Times New Roman" w:hAnsi="Times New Roman" w:cs="Times New Roman"/>
              </w:rPr>
              <w:t>. un 7</w:t>
            </w:r>
            <w:r w:rsidR="00F55C3D">
              <w:rPr>
                <w:rFonts w:ascii="Times New Roman" w:hAnsi="Times New Roman" w:cs="Times New Roman"/>
              </w:rPr>
              <w:t>8</w:t>
            </w:r>
            <w:r>
              <w:rPr>
                <w:rFonts w:ascii="Times New Roman" w:hAnsi="Times New Roman" w:cs="Times New Roman"/>
              </w:rPr>
              <w:t>. punkts</w:t>
            </w:r>
          </w:p>
        </w:tc>
        <w:tc>
          <w:tcPr>
            <w:tcW w:w="2304" w:type="dxa"/>
          </w:tcPr>
          <w:p w14:paraId="0EE5446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0C7CD15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27CA2F6E" w14:textId="059DB315" w:rsidR="000A6CFE" w:rsidRPr="00682F94" w:rsidRDefault="005E39B4" w:rsidP="002A1A0D">
            <w:pPr>
              <w:rPr>
                <w:rFonts w:ascii="Times New Roman" w:hAnsi="Times New Roman" w:cs="Times New Roman"/>
              </w:rPr>
            </w:pPr>
            <w:r w:rsidRPr="00682F94">
              <w:rPr>
                <w:rFonts w:ascii="Times New Roman" w:hAnsi="Times New Roman" w:cs="Times New Roman"/>
              </w:rPr>
              <w:t>Direktīvas 2013/34</w:t>
            </w:r>
            <w:r w:rsidR="00273AB1">
              <w:rPr>
                <w:rFonts w:ascii="Times New Roman" w:hAnsi="Times New Roman" w:cs="Times New Roman"/>
              </w:rPr>
              <w:t>/ES</w:t>
            </w:r>
            <w:r w:rsidRPr="00682F94">
              <w:rPr>
                <w:rFonts w:ascii="Times New Roman" w:hAnsi="Times New Roman" w:cs="Times New Roman"/>
              </w:rPr>
              <w:t xml:space="preserve"> 6. panta 2. punktā minētā izvēles iespēja atļaut vai pieprasīt veikt savstarpējo ieskaitu ir izmantota, atrunājot projekta </w:t>
            </w:r>
            <w:r w:rsidR="002B2D75">
              <w:rPr>
                <w:rFonts w:ascii="Times New Roman" w:hAnsi="Times New Roman" w:cs="Times New Roman"/>
              </w:rPr>
              <w:t>100</w:t>
            </w:r>
            <w:r w:rsidRPr="002B2D75">
              <w:rPr>
                <w:rFonts w:ascii="Times New Roman" w:hAnsi="Times New Roman" w:cs="Times New Roman"/>
              </w:rPr>
              <w:t>. punktā</w:t>
            </w:r>
            <w:r w:rsidRPr="00682F94">
              <w:rPr>
                <w:rFonts w:ascii="Times New Roman" w:hAnsi="Times New Roman" w:cs="Times New Roman"/>
              </w:rPr>
              <w:t>, ka finanšu pārskatu pielikumā norāda bruto vērtību.</w:t>
            </w:r>
          </w:p>
          <w:p w14:paraId="5FD29573" w14:textId="77777777" w:rsidR="005E39B4" w:rsidRPr="00682F94" w:rsidRDefault="005E39B4" w:rsidP="002A1A0D">
            <w:pPr>
              <w:rPr>
                <w:rFonts w:ascii="Times New Roman" w:hAnsi="Times New Roman" w:cs="Times New Roman"/>
              </w:rPr>
            </w:pPr>
          </w:p>
          <w:p w14:paraId="2D6891E4" w14:textId="68E90542" w:rsidR="005E39B4" w:rsidRPr="00682F94" w:rsidRDefault="005E39B4" w:rsidP="002A1A0D">
            <w:pPr>
              <w:rPr>
                <w:rFonts w:ascii="Times New Roman" w:hAnsi="Times New Roman" w:cs="Times New Roman"/>
              </w:rPr>
            </w:pPr>
            <w:r w:rsidRPr="00682F94">
              <w:rPr>
                <w:rFonts w:ascii="Times New Roman" w:hAnsi="Times New Roman" w:cs="Times New Roman"/>
              </w:rPr>
              <w:t>Direktīvas 2013/34</w:t>
            </w:r>
            <w:r w:rsidR="00273AB1">
              <w:rPr>
                <w:rFonts w:ascii="Times New Roman" w:hAnsi="Times New Roman" w:cs="Times New Roman"/>
              </w:rPr>
              <w:t>/ES</w:t>
            </w:r>
            <w:r w:rsidRPr="00682F94">
              <w:rPr>
                <w:rFonts w:ascii="Times New Roman" w:hAnsi="Times New Roman" w:cs="Times New Roman"/>
              </w:rPr>
              <w:t xml:space="preserve"> 6. panta 3. punktā minētā iespēja atbrīvot no uzskaites, ņemot vērā darījuma vai pasākuma būtību netiek izmantota, jo pastāv risks, ka finanšu pārskati var nesniegt skaidru un patiesu priekšstatu.</w:t>
            </w:r>
          </w:p>
          <w:p w14:paraId="7AD7EE62" w14:textId="77777777" w:rsidR="00EF2D29" w:rsidRPr="00682F94" w:rsidRDefault="00EF2D29" w:rsidP="002A1A0D">
            <w:pPr>
              <w:rPr>
                <w:rFonts w:ascii="Times New Roman" w:hAnsi="Times New Roman" w:cs="Times New Roman"/>
              </w:rPr>
            </w:pPr>
          </w:p>
          <w:p w14:paraId="2B770457" w14:textId="0F56F489" w:rsidR="00EF2D29" w:rsidRPr="00682F94" w:rsidRDefault="00EF2D29" w:rsidP="002A1A0D">
            <w:pPr>
              <w:rPr>
                <w:rFonts w:ascii="Times New Roman" w:hAnsi="Times New Roman" w:cs="Times New Roman"/>
              </w:rPr>
            </w:pPr>
            <w:r w:rsidRPr="00682F94">
              <w:rPr>
                <w:rFonts w:ascii="Times New Roman" w:hAnsi="Times New Roman" w:cs="Times New Roman"/>
              </w:rPr>
              <w:t>Direktīvas 2013/34</w:t>
            </w:r>
            <w:r w:rsidR="00273AB1">
              <w:rPr>
                <w:rFonts w:ascii="Times New Roman" w:hAnsi="Times New Roman" w:cs="Times New Roman"/>
              </w:rPr>
              <w:t>/ES</w:t>
            </w:r>
            <w:r w:rsidRPr="00682F94">
              <w:rPr>
                <w:rFonts w:ascii="Times New Roman" w:hAnsi="Times New Roman" w:cs="Times New Roman"/>
              </w:rPr>
              <w:t xml:space="preserve"> 6. panta 5. punktā minētā iespēja </w:t>
            </w:r>
            <w:r w:rsidRPr="00682F94">
              <w:rPr>
                <w:rFonts w:ascii="Times New Roman" w:hAnsi="Times New Roman" w:cs="Times New Roman"/>
              </w:rPr>
              <w:lastRenderedPageBreak/>
              <w:t>pieprasīt atzīt paredzamās saistības un varbūtējos zaudējumus ir izmantota</w:t>
            </w:r>
            <w:r w:rsidR="005D32F1">
              <w:rPr>
                <w:rFonts w:ascii="Times New Roman" w:hAnsi="Times New Roman" w:cs="Times New Roman"/>
              </w:rPr>
              <w:t>,</w:t>
            </w:r>
            <w:r w:rsidRPr="00682F94">
              <w:rPr>
                <w:rFonts w:ascii="Times New Roman" w:hAnsi="Times New Roman" w:cs="Times New Roman"/>
              </w:rPr>
              <w:t xml:space="preserve"> iekļaujot </w:t>
            </w:r>
            <w:r w:rsidRPr="00577A7A">
              <w:rPr>
                <w:rFonts w:ascii="Times New Roman" w:hAnsi="Times New Roman" w:cs="Times New Roman"/>
              </w:rPr>
              <w:t xml:space="preserve">prasības projekta </w:t>
            </w:r>
            <w:r w:rsidR="00577A7A" w:rsidRPr="00577A7A">
              <w:rPr>
                <w:rFonts w:ascii="Times New Roman" w:hAnsi="Times New Roman" w:cs="Times New Roman"/>
              </w:rPr>
              <w:t>94</w:t>
            </w:r>
            <w:r w:rsidRPr="00577A7A">
              <w:rPr>
                <w:rFonts w:ascii="Times New Roman" w:hAnsi="Times New Roman" w:cs="Times New Roman"/>
              </w:rPr>
              <w:t>. punktā.</w:t>
            </w:r>
          </w:p>
        </w:tc>
        <w:tc>
          <w:tcPr>
            <w:tcW w:w="2351" w:type="dxa"/>
            <w:vMerge/>
          </w:tcPr>
          <w:p w14:paraId="0FEE575F" w14:textId="77777777" w:rsidR="000A6CFE" w:rsidRPr="00682F94" w:rsidRDefault="000A6CFE" w:rsidP="002A1A0D">
            <w:pPr>
              <w:rPr>
                <w:rFonts w:ascii="Times New Roman" w:hAnsi="Times New Roman" w:cs="Times New Roman"/>
              </w:rPr>
            </w:pPr>
          </w:p>
        </w:tc>
      </w:tr>
      <w:tr w:rsidR="000A6CFE" w:rsidRPr="00682F94" w14:paraId="28FD0D53" w14:textId="77777777" w:rsidTr="002A1A0D">
        <w:tc>
          <w:tcPr>
            <w:tcW w:w="3203" w:type="dxa"/>
          </w:tcPr>
          <w:p w14:paraId="584DF57D" w14:textId="27D97928"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hyperlink r:id="rId24"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h) apakšpunkts</w:t>
            </w:r>
          </w:p>
        </w:tc>
        <w:tc>
          <w:tcPr>
            <w:tcW w:w="2307" w:type="dxa"/>
          </w:tcPr>
          <w:p w14:paraId="41CFB0A0" w14:textId="07DF9B7E" w:rsidR="000A6CFE" w:rsidRPr="00682F94" w:rsidRDefault="00F01BBC" w:rsidP="002A1A0D">
            <w:pPr>
              <w:rPr>
                <w:rFonts w:ascii="Times New Roman" w:hAnsi="Times New Roman" w:cs="Times New Roman"/>
              </w:rPr>
            </w:pPr>
            <w:r>
              <w:rPr>
                <w:rFonts w:ascii="Times New Roman" w:hAnsi="Times New Roman" w:cs="Times New Roman"/>
              </w:rPr>
              <w:t>Projekta 76. punkts</w:t>
            </w:r>
          </w:p>
        </w:tc>
        <w:tc>
          <w:tcPr>
            <w:tcW w:w="2304" w:type="dxa"/>
          </w:tcPr>
          <w:p w14:paraId="57B7B96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3E505EA3"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2C4B723A"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6569DAD5" w14:textId="77777777" w:rsidR="000A6CFE" w:rsidRPr="00682F94" w:rsidRDefault="000A6CFE" w:rsidP="002A1A0D">
            <w:pPr>
              <w:rPr>
                <w:rFonts w:ascii="Times New Roman" w:hAnsi="Times New Roman" w:cs="Times New Roman"/>
              </w:rPr>
            </w:pPr>
          </w:p>
        </w:tc>
      </w:tr>
      <w:tr w:rsidR="000A6CFE" w:rsidRPr="00682F94" w14:paraId="3697D519" w14:textId="77777777" w:rsidTr="002A1A0D">
        <w:tc>
          <w:tcPr>
            <w:tcW w:w="3203" w:type="dxa"/>
          </w:tcPr>
          <w:p w14:paraId="0EF4EADE" w14:textId="53070DC3"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hyperlink r:id="rId25"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j) apakšpunkts</w:t>
            </w:r>
          </w:p>
        </w:tc>
        <w:tc>
          <w:tcPr>
            <w:tcW w:w="2307" w:type="dxa"/>
          </w:tcPr>
          <w:p w14:paraId="64E30596" w14:textId="56625901" w:rsidR="000A6CFE" w:rsidRPr="00682F94" w:rsidRDefault="00F01BBC" w:rsidP="002A1A0D">
            <w:pPr>
              <w:rPr>
                <w:rFonts w:ascii="Times New Roman" w:hAnsi="Times New Roman" w:cs="Times New Roman"/>
              </w:rPr>
            </w:pPr>
            <w:r>
              <w:rPr>
                <w:rFonts w:ascii="Times New Roman" w:hAnsi="Times New Roman" w:cs="Times New Roman"/>
              </w:rPr>
              <w:t>Projekta 73.5. apakšpunkts</w:t>
            </w:r>
          </w:p>
        </w:tc>
        <w:tc>
          <w:tcPr>
            <w:tcW w:w="2304" w:type="dxa"/>
          </w:tcPr>
          <w:p w14:paraId="745A3B82"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44A9D94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43010D6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1A6BDA06" w14:textId="77777777" w:rsidR="000A6CFE" w:rsidRPr="00682F94" w:rsidRDefault="000A6CFE" w:rsidP="002A1A0D">
            <w:pPr>
              <w:rPr>
                <w:rFonts w:ascii="Times New Roman" w:hAnsi="Times New Roman" w:cs="Times New Roman"/>
                <w:color w:val="FF0000"/>
              </w:rPr>
            </w:pPr>
          </w:p>
        </w:tc>
      </w:tr>
      <w:tr w:rsidR="000A6CFE" w:rsidRPr="00682F94" w14:paraId="6094ADDE" w14:textId="77777777" w:rsidTr="002A1A0D">
        <w:tc>
          <w:tcPr>
            <w:tcW w:w="3203" w:type="dxa"/>
          </w:tcPr>
          <w:p w14:paraId="79D6ED68" w14:textId="7A852951" w:rsidR="000A6CFE" w:rsidRPr="00682F94" w:rsidRDefault="00F90D31" w:rsidP="002A1A0D">
            <w:pPr>
              <w:rPr>
                <w:rFonts w:ascii="Times New Roman" w:hAnsi="Times New Roman" w:cs="Times New Roman"/>
              </w:rPr>
            </w:pPr>
            <w:r w:rsidRPr="00682F94">
              <w:rPr>
                <w:rFonts w:ascii="Times New Roman" w:hAnsi="Times New Roman" w:cs="Times New Roman"/>
                <w:bCs/>
              </w:rPr>
              <w:t>Direktīvas </w:t>
            </w:r>
            <w:hyperlink r:id="rId26"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1. punkta i) apakšpunkts</w:t>
            </w:r>
          </w:p>
        </w:tc>
        <w:tc>
          <w:tcPr>
            <w:tcW w:w="2307" w:type="dxa"/>
          </w:tcPr>
          <w:p w14:paraId="455E9A01" w14:textId="6B5547E2" w:rsidR="000A6CFE" w:rsidRPr="00682F94" w:rsidRDefault="00F01BBC" w:rsidP="002A1A0D">
            <w:pPr>
              <w:rPr>
                <w:rFonts w:ascii="Times New Roman" w:hAnsi="Times New Roman" w:cs="Times New Roman"/>
              </w:rPr>
            </w:pPr>
            <w:r>
              <w:rPr>
                <w:rFonts w:ascii="Times New Roman" w:hAnsi="Times New Roman" w:cs="Times New Roman"/>
              </w:rPr>
              <w:t>Projekta 8</w:t>
            </w:r>
            <w:r w:rsidR="00F55C3D">
              <w:rPr>
                <w:rFonts w:ascii="Times New Roman" w:hAnsi="Times New Roman" w:cs="Times New Roman"/>
              </w:rPr>
              <w:t>3</w:t>
            </w:r>
            <w:r>
              <w:rPr>
                <w:rFonts w:ascii="Times New Roman" w:hAnsi="Times New Roman" w:cs="Times New Roman"/>
              </w:rPr>
              <w:t>.</w:t>
            </w:r>
            <w:r w:rsidR="000F2C7A">
              <w:rPr>
                <w:rFonts w:ascii="Times New Roman" w:hAnsi="Times New Roman" w:cs="Times New Roman"/>
              </w:rPr>
              <w:t> </w:t>
            </w:r>
            <w:r>
              <w:rPr>
                <w:rFonts w:ascii="Times New Roman" w:hAnsi="Times New Roman" w:cs="Times New Roman"/>
              </w:rPr>
              <w:t>punkts</w:t>
            </w:r>
          </w:p>
        </w:tc>
        <w:tc>
          <w:tcPr>
            <w:tcW w:w="2304" w:type="dxa"/>
          </w:tcPr>
          <w:p w14:paraId="5946EF8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115F0B39"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063E37A4"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1BE94F52" w14:textId="77777777" w:rsidR="000A6CFE" w:rsidRPr="00682F94" w:rsidRDefault="000A6CFE" w:rsidP="002A1A0D">
            <w:pPr>
              <w:rPr>
                <w:rFonts w:ascii="Times New Roman" w:hAnsi="Times New Roman" w:cs="Times New Roman"/>
                <w:color w:val="FF0000"/>
              </w:rPr>
            </w:pPr>
          </w:p>
        </w:tc>
      </w:tr>
      <w:tr w:rsidR="000F2C7A" w:rsidRPr="00682F94" w14:paraId="4D2D412E" w14:textId="77777777" w:rsidTr="002A1A0D">
        <w:tc>
          <w:tcPr>
            <w:tcW w:w="3203" w:type="dxa"/>
          </w:tcPr>
          <w:p w14:paraId="08B3BBA7" w14:textId="4439C6AA" w:rsidR="000F2C7A" w:rsidRPr="00682F94" w:rsidRDefault="000F2C7A" w:rsidP="002A1A0D">
            <w:pPr>
              <w:rPr>
                <w:rFonts w:ascii="Times New Roman" w:hAnsi="Times New Roman" w:cs="Times New Roman"/>
                <w:bCs/>
              </w:rPr>
            </w:pPr>
            <w:r w:rsidRPr="00682F94">
              <w:rPr>
                <w:rFonts w:ascii="Times New Roman" w:hAnsi="Times New Roman" w:cs="Times New Roman"/>
                <w:bCs/>
              </w:rPr>
              <w:t>Direktīvas </w:t>
            </w:r>
            <w:hyperlink r:id="rId27"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6. panta </w:t>
            </w:r>
            <w:r>
              <w:rPr>
                <w:rFonts w:ascii="Times New Roman" w:eastAsia="Times New Roman" w:hAnsi="Times New Roman" w:cs="Times New Roman"/>
                <w:iCs/>
              </w:rPr>
              <w:t>5</w:t>
            </w:r>
            <w:r w:rsidRPr="00682F94">
              <w:rPr>
                <w:rFonts w:ascii="Times New Roman" w:eastAsia="Times New Roman" w:hAnsi="Times New Roman" w:cs="Times New Roman"/>
                <w:iCs/>
              </w:rPr>
              <w:t>. punkt</w:t>
            </w:r>
            <w:r>
              <w:rPr>
                <w:rFonts w:ascii="Times New Roman" w:eastAsia="Times New Roman" w:hAnsi="Times New Roman" w:cs="Times New Roman"/>
                <w:iCs/>
              </w:rPr>
              <w:t>s</w:t>
            </w:r>
          </w:p>
        </w:tc>
        <w:tc>
          <w:tcPr>
            <w:tcW w:w="2307" w:type="dxa"/>
          </w:tcPr>
          <w:p w14:paraId="7232AF23" w14:textId="4D92ADFB" w:rsidR="000F2C7A" w:rsidRDefault="000F2C7A" w:rsidP="002A1A0D">
            <w:pPr>
              <w:rPr>
                <w:rFonts w:ascii="Times New Roman" w:hAnsi="Times New Roman" w:cs="Times New Roman"/>
              </w:rPr>
            </w:pPr>
            <w:r>
              <w:rPr>
                <w:rFonts w:ascii="Times New Roman" w:hAnsi="Times New Roman" w:cs="Times New Roman"/>
              </w:rPr>
              <w:t>Projekta 93. punkts</w:t>
            </w:r>
          </w:p>
        </w:tc>
        <w:tc>
          <w:tcPr>
            <w:tcW w:w="2304" w:type="dxa"/>
          </w:tcPr>
          <w:p w14:paraId="1D75B7C5" w14:textId="6BDEA1F8" w:rsidR="000F2C7A" w:rsidRPr="00682F94" w:rsidRDefault="000F2C7A"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4817C354" w14:textId="17B35459" w:rsidR="000F2C7A" w:rsidRPr="00682F94" w:rsidRDefault="000F2C7A" w:rsidP="002A1A0D">
            <w:pPr>
              <w:rPr>
                <w:rFonts w:ascii="Times New Roman" w:hAnsi="Times New Roman" w:cs="Times New Roman"/>
              </w:rPr>
            </w:pPr>
            <w:r>
              <w:rPr>
                <w:rFonts w:ascii="Times New Roman" w:hAnsi="Times New Roman" w:cs="Times New Roman"/>
              </w:rPr>
              <w:t>Nē</w:t>
            </w:r>
          </w:p>
        </w:tc>
        <w:tc>
          <w:tcPr>
            <w:tcW w:w="2257" w:type="dxa"/>
          </w:tcPr>
          <w:p w14:paraId="52AD4149" w14:textId="7FD05876" w:rsidR="000F2C7A" w:rsidRPr="00682F94" w:rsidRDefault="000F2C7A" w:rsidP="002A1A0D">
            <w:pPr>
              <w:rPr>
                <w:rFonts w:ascii="Times New Roman" w:hAnsi="Times New Roman" w:cs="Times New Roman"/>
              </w:rPr>
            </w:pPr>
            <w:r>
              <w:rPr>
                <w:rFonts w:ascii="Times New Roman" w:hAnsi="Times New Roman" w:cs="Times New Roman"/>
              </w:rPr>
              <w:t>Jā</w:t>
            </w:r>
          </w:p>
        </w:tc>
        <w:tc>
          <w:tcPr>
            <w:tcW w:w="2351" w:type="dxa"/>
            <w:vMerge/>
          </w:tcPr>
          <w:p w14:paraId="5BAE6A34" w14:textId="77777777" w:rsidR="000F2C7A" w:rsidRPr="00682F94" w:rsidRDefault="000F2C7A" w:rsidP="002A1A0D">
            <w:pPr>
              <w:rPr>
                <w:rFonts w:ascii="Times New Roman" w:hAnsi="Times New Roman" w:cs="Times New Roman"/>
                <w:color w:val="FF0000"/>
              </w:rPr>
            </w:pPr>
          </w:p>
        </w:tc>
      </w:tr>
      <w:tr w:rsidR="000A6CFE" w:rsidRPr="00682F94" w14:paraId="3AD8826A" w14:textId="77777777" w:rsidTr="002A1A0D">
        <w:tc>
          <w:tcPr>
            <w:tcW w:w="3203" w:type="dxa"/>
          </w:tcPr>
          <w:p w14:paraId="42DEF683" w14:textId="2CD12E94" w:rsidR="000A6CFE" w:rsidRPr="00682F94" w:rsidRDefault="00EF2D29" w:rsidP="002A1A0D">
            <w:pPr>
              <w:rPr>
                <w:rFonts w:ascii="Times New Roman" w:hAnsi="Times New Roman" w:cs="Times New Roman"/>
              </w:rPr>
            </w:pPr>
            <w:r w:rsidRPr="00682F94">
              <w:rPr>
                <w:rFonts w:ascii="Times New Roman" w:hAnsi="Times New Roman" w:cs="Times New Roman"/>
                <w:bCs/>
              </w:rPr>
              <w:t>Direktīvas </w:t>
            </w:r>
            <w:hyperlink r:id="rId28"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16. panta 1. punkta a) apakšpunkts</w:t>
            </w:r>
          </w:p>
        </w:tc>
        <w:tc>
          <w:tcPr>
            <w:tcW w:w="2307" w:type="dxa"/>
          </w:tcPr>
          <w:p w14:paraId="7EA3E9C2" w14:textId="2858A035" w:rsidR="000A6CFE" w:rsidRPr="00682F94" w:rsidRDefault="00F01BBC" w:rsidP="002A1A0D">
            <w:pPr>
              <w:rPr>
                <w:rFonts w:ascii="Times New Roman" w:hAnsi="Times New Roman" w:cs="Times New Roman"/>
              </w:rPr>
            </w:pPr>
            <w:r>
              <w:rPr>
                <w:rFonts w:ascii="Times New Roman" w:hAnsi="Times New Roman" w:cs="Times New Roman"/>
              </w:rPr>
              <w:t>Projekta 9</w:t>
            </w:r>
            <w:r w:rsidR="00F55C3D">
              <w:rPr>
                <w:rFonts w:ascii="Times New Roman" w:hAnsi="Times New Roman" w:cs="Times New Roman"/>
              </w:rPr>
              <w:t>6</w:t>
            </w:r>
            <w:r>
              <w:rPr>
                <w:rFonts w:ascii="Times New Roman" w:hAnsi="Times New Roman" w:cs="Times New Roman"/>
              </w:rPr>
              <w:t>. punkts</w:t>
            </w:r>
          </w:p>
        </w:tc>
        <w:tc>
          <w:tcPr>
            <w:tcW w:w="2304" w:type="dxa"/>
          </w:tcPr>
          <w:p w14:paraId="714BC670"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0308A669"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7DE4B706"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4A4E59D1" w14:textId="77777777" w:rsidR="000A6CFE" w:rsidRPr="00682F94" w:rsidRDefault="000A6CFE" w:rsidP="002A1A0D">
            <w:pPr>
              <w:rPr>
                <w:rFonts w:ascii="Times New Roman" w:hAnsi="Times New Roman" w:cs="Times New Roman"/>
              </w:rPr>
            </w:pPr>
          </w:p>
        </w:tc>
      </w:tr>
      <w:tr w:rsidR="000A6CFE" w:rsidRPr="00682F94" w14:paraId="3FA15E11" w14:textId="77777777" w:rsidTr="002A1A0D">
        <w:tc>
          <w:tcPr>
            <w:tcW w:w="3203" w:type="dxa"/>
          </w:tcPr>
          <w:p w14:paraId="34F8DF65" w14:textId="3B3D2BB9" w:rsidR="000A6CFE" w:rsidRPr="00682F94" w:rsidRDefault="000F24C7" w:rsidP="002A1A0D">
            <w:pPr>
              <w:rPr>
                <w:rFonts w:ascii="Times New Roman" w:hAnsi="Times New Roman" w:cs="Times New Roman"/>
              </w:rPr>
            </w:pPr>
            <w:r w:rsidRPr="00682F94">
              <w:rPr>
                <w:rFonts w:ascii="Times New Roman" w:hAnsi="Times New Roman" w:cs="Times New Roman"/>
                <w:bCs/>
              </w:rPr>
              <w:t>Direktīvas </w:t>
            </w:r>
            <w:hyperlink r:id="rId29" w:tgtFrame="_blank" w:history="1">
              <w:r w:rsidRPr="00682F94">
                <w:rPr>
                  <w:rFonts w:ascii="Times New Roman" w:eastAsia="Times New Roman" w:hAnsi="Times New Roman" w:cs="Times New Roman"/>
                  <w:iCs/>
                </w:rPr>
                <w:t>2013/34/ES</w:t>
              </w:r>
            </w:hyperlink>
            <w:r w:rsidRPr="00682F94">
              <w:rPr>
                <w:rFonts w:ascii="Times New Roman" w:eastAsia="Times New Roman" w:hAnsi="Times New Roman" w:cs="Times New Roman"/>
                <w:iCs/>
              </w:rPr>
              <w:t xml:space="preserve"> 16. panta 1. punkta </w:t>
            </w:r>
            <w:r w:rsidR="00682F94" w:rsidRPr="00682F94">
              <w:rPr>
                <w:rFonts w:ascii="Times New Roman" w:eastAsia="Times New Roman" w:hAnsi="Times New Roman" w:cs="Times New Roman"/>
                <w:iCs/>
              </w:rPr>
              <w:t>d</w:t>
            </w:r>
            <w:r w:rsidRPr="00682F94">
              <w:rPr>
                <w:rFonts w:ascii="Times New Roman" w:eastAsia="Times New Roman" w:hAnsi="Times New Roman" w:cs="Times New Roman"/>
                <w:iCs/>
              </w:rPr>
              <w:t>) apakšpunkts</w:t>
            </w:r>
          </w:p>
        </w:tc>
        <w:tc>
          <w:tcPr>
            <w:tcW w:w="2307" w:type="dxa"/>
          </w:tcPr>
          <w:p w14:paraId="4A9EE694" w14:textId="6B06C793" w:rsidR="000A6CFE" w:rsidRPr="00682F94" w:rsidRDefault="007D60A1" w:rsidP="002A1A0D">
            <w:pPr>
              <w:rPr>
                <w:rFonts w:ascii="Times New Roman" w:hAnsi="Times New Roman" w:cs="Times New Roman"/>
              </w:rPr>
            </w:pPr>
            <w:r>
              <w:rPr>
                <w:rFonts w:ascii="Times New Roman" w:hAnsi="Times New Roman" w:cs="Times New Roman"/>
              </w:rPr>
              <w:t>Projekta 10</w:t>
            </w:r>
            <w:r w:rsidR="00F55C3D">
              <w:rPr>
                <w:rFonts w:ascii="Times New Roman" w:hAnsi="Times New Roman" w:cs="Times New Roman"/>
              </w:rPr>
              <w:t>7</w:t>
            </w:r>
            <w:r>
              <w:rPr>
                <w:rFonts w:ascii="Times New Roman" w:hAnsi="Times New Roman" w:cs="Times New Roman"/>
              </w:rPr>
              <w:t>. punkts</w:t>
            </w:r>
          </w:p>
        </w:tc>
        <w:tc>
          <w:tcPr>
            <w:tcW w:w="2304" w:type="dxa"/>
          </w:tcPr>
          <w:p w14:paraId="4D00A125"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Izpilda pilnībā</w:t>
            </w:r>
          </w:p>
        </w:tc>
        <w:tc>
          <w:tcPr>
            <w:tcW w:w="2349" w:type="dxa"/>
          </w:tcPr>
          <w:p w14:paraId="2C32D911"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Nē</w:t>
            </w:r>
          </w:p>
        </w:tc>
        <w:tc>
          <w:tcPr>
            <w:tcW w:w="2257" w:type="dxa"/>
          </w:tcPr>
          <w:p w14:paraId="35BE25BC" w14:textId="77777777" w:rsidR="000A6CFE" w:rsidRPr="00682F94" w:rsidRDefault="000A6CFE" w:rsidP="002A1A0D">
            <w:pPr>
              <w:rPr>
                <w:rFonts w:ascii="Times New Roman" w:hAnsi="Times New Roman" w:cs="Times New Roman"/>
              </w:rPr>
            </w:pPr>
            <w:r w:rsidRPr="00682F94">
              <w:rPr>
                <w:rFonts w:ascii="Times New Roman" w:hAnsi="Times New Roman" w:cs="Times New Roman"/>
              </w:rPr>
              <w:t>Jā</w:t>
            </w:r>
          </w:p>
        </w:tc>
        <w:tc>
          <w:tcPr>
            <w:tcW w:w="2351" w:type="dxa"/>
            <w:vMerge/>
          </w:tcPr>
          <w:p w14:paraId="5ABA7EDA" w14:textId="77777777" w:rsidR="000A6CFE" w:rsidRPr="00682F94" w:rsidRDefault="000A6CFE" w:rsidP="002A1A0D">
            <w:pPr>
              <w:rPr>
                <w:rFonts w:ascii="Times New Roman" w:hAnsi="Times New Roman" w:cs="Times New Roman"/>
                <w:color w:val="FF0000"/>
              </w:rPr>
            </w:pPr>
          </w:p>
        </w:tc>
      </w:tr>
      <w:tr w:rsidR="00B673BD" w:rsidRPr="00682F94" w14:paraId="4DF94F04" w14:textId="77777777" w:rsidTr="002A1A0D">
        <w:tc>
          <w:tcPr>
            <w:tcW w:w="3203" w:type="dxa"/>
          </w:tcPr>
          <w:p w14:paraId="2CA28918" w14:textId="7EB58506" w:rsidR="00B673BD" w:rsidRPr="00682F94" w:rsidRDefault="00682F94" w:rsidP="00B673BD">
            <w:pPr>
              <w:rPr>
                <w:rFonts w:ascii="Times New Roman" w:hAnsi="Times New Roman" w:cs="Times New Roman"/>
              </w:rPr>
            </w:pPr>
            <w:r w:rsidRPr="00682F94">
              <w:rPr>
                <w:rFonts w:ascii="Times New Roman" w:hAnsi="Times New Roman" w:cs="Times New Roman"/>
              </w:rPr>
              <w:t>Direktīvas 2013/34/ES 16. panta 1.</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e</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307" w:type="dxa"/>
          </w:tcPr>
          <w:p w14:paraId="72722C2A" w14:textId="7E2346B0" w:rsidR="00B673BD" w:rsidRPr="00682F94" w:rsidRDefault="00F01BBC" w:rsidP="00B673BD">
            <w:pPr>
              <w:rPr>
                <w:rFonts w:ascii="Times New Roman" w:hAnsi="Times New Roman" w:cs="Times New Roman"/>
              </w:rPr>
            </w:pPr>
            <w:r>
              <w:rPr>
                <w:rFonts w:ascii="Times New Roman" w:hAnsi="Times New Roman" w:cs="Times New Roman"/>
              </w:rPr>
              <w:t>Projekta 11</w:t>
            </w:r>
            <w:r w:rsidR="004177FB">
              <w:rPr>
                <w:rFonts w:ascii="Times New Roman" w:hAnsi="Times New Roman" w:cs="Times New Roman"/>
              </w:rPr>
              <w:t>0</w:t>
            </w:r>
            <w:r>
              <w:rPr>
                <w:rFonts w:ascii="Times New Roman" w:hAnsi="Times New Roman" w:cs="Times New Roman"/>
              </w:rPr>
              <w:t>. punkts</w:t>
            </w:r>
          </w:p>
        </w:tc>
        <w:tc>
          <w:tcPr>
            <w:tcW w:w="2304" w:type="dxa"/>
          </w:tcPr>
          <w:p w14:paraId="21154E48" w14:textId="06F349F3" w:rsidR="00B673BD" w:rsidRPr="00682F94" w:rsidRDefault="00B673BD"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4968DFEC" w14:textId="5B8A333B" w:rsidR="00B673BD" w:rsidRPr="00682F94" w:rsidRDefault="00B673BD" w:rsidP="00B673BD">
            <w:pPr>
              <w:rPr>
                <w:rFonts w:ascii="Times New Roman" w:hAnsi="Times New Roman" w:cs="Times New Roman"/>
              </w:rPr>
            </w:pPr>
            <w:r w:rsidRPr="00682F94">
              <w:rPr>
                <w:rFonts w:ascii="Times New Roman" w:hAnsi="Times New Roman" w:cs="Times New Roman"/>
              </w:rPr>
              <w:t>Nē</w:t>
            </w:r>
          </w:p>
        </w:tc>
        <w:tc>
          <w:tcPr>
            <w:tcW w:w="2257" w:type="dxa"/>
          </w:tcPr>
          <w:p w14:paraId="57632A50" w14:textId="6A9BAB06" w:rsidR="00B673BD" w:rsidRPr="00682F94" w:rsidRDefault="00B673BD" w:rsidP="00B673BD">
            <w:pPr>
              <w:rPr>
                <w:rFonts w:ascii="Times New Roman" w:hAnsi="Times New Roman" w:cs="Times New Roman"/>
              </w:rPr>
            </w:pPr>
            <w:r w:rsidRPr="00682F94">
              <w:rPr>
                <w:rFonts w:ascii="Times New Roman" w:hAnsi="Times New Roman" w:cs="Times New Roman"/>
              </w:rPr>
              <w:t>Jā</w:t>
            </w:r>
          </w:p>
        </w:tc>
        <w:tc>
          <w:tcPr>
            <w:tcW w:w="2351" w:type="dxa"/>
            <w:vMerge/>
          </w:tcPr>
          <w:p w14:paraId="125B2724" w14:textId="77777777" w:rsidR="00B673BD" w:rsidRPr="00682F94" w:rsidRDefault="00B673BD" w:rsidP="00B673BD">
            <w:pPr>
              <w:rPr>
                <w:rFonts w:ascii="Times New Roman" w:hAnsi="Times New Roman" w:cs="Times New Roman"/>
              </w:rPr>
            </w:pPr>
          </w:p>
        </w:tc>
      </w:tr>
      <w:tr w:rsidR="000F24C7" w:rsidRPr="00682F94" w14:paraId="7D84FC5B" w14:textId="77777777" w:rsidTr="002A1A0D">
        <w:tc>
          <w:tcPr>
            <w:tcW w:w="3203" w:type="dxa"/>
          </w:tcPr>
          <w:p w14:paraId="2F5950BF" w14:textId="15A0F2B2" w:rsidR="000F24C7" w:rsidRPr="00682F94" w:rsidRDefault="00682F94" w:rsidP="00B673BD">
            <w:pPr>
              <w:rPr>
                <w:rFonts w:ascii="Times New Roman" w:hAnsi="Times New Roman" w:cs="Times New Roman"/>
              </w:rPr>
            </w:pPr>
            <w:r w:rsidRPr="00682F94">
              <w:rPr>
                <w:rFonts w:ascii="Times New Roman" w:hAnsi="Times New Roman" w:cs="Times New Roman"/>
              </w:rPr>
              <w:t>Direktīvas 2013/34/ES 16. panta 1.</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f</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307" w:type="dxa"/>
          </w:tcPr>
          <w:p w14:paraId="107B7898" w14:textId="2A5BCA8B" w:rsidR="000F24C7" w:rsidRPr="00682F94" w:rsidRDefault="00AD16EC" w:rsidP="00B673BD">
            <w:pPr>
              <w:rPr>
                <w:rFonts w:ascii="Times New Roman" w:hAnsi="Times New Roman" w:cs="Times New Roman"/>
              </w:rPr>
            </w:pPr>
            <w:r>
              <w:rPr>
                <w:rFonts w:ascii="Times New Roman" w:hAnsi="Times New Roman" w:cs="Times New Roman"/>
              </w:rPr>
              <w:t>Projekta 10</w:t>
            </w:r>
            <w:r w:rsidR="004177FB">
              <w:rPr>
                <w:rFonts w:ascii="Times New Roman" w:hAnsi="Times New Roman" w:cs="Times New Roman"/>
              </w:rPr>
              <w:t>5</w:t>
            </w:r>
            <w:r>
              <w:rPr>
                <w:rFonts w:ascii="Times New Roman" w:hAnsi="Times New Roman" w:cs="Times New Roman"/>
              </w:rPr>
              <w:t>. punkts</w:t>
            </w:r>
          </w:p>
        </w:tc>
        <w:tc>
          <w:tcPr>
            <w:tcW w:w="2304" w:type="dxa"/>
          </w:tcPr>
          <w:p w14:paraId="6BCE2473" w14:textId="05EBE4B8" w:rsidR="000F24C7" w:rsidRPr="00682F94" w:rsidRDefault="000F24C7"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5E5949AF" w14:textId="37940CE7" w:rsidR="000F24C7" w:rsidRPr="00682F94" w:rsidRDefault="000F24C7" w:rsidP="00B673BD">
            <w:pPr>
              <w:rPr>
                <w:rFonts w:ascii="Times New Roman" w:hAnsi="Times New Roman" w:cs="Times New Roman"/>
              </w:rPr>
            </w:pPr>
            <w:r w:rsidRPr="00682F94">
              <w:rPr>
                <w:rFonts w:ascii="Times New Roman" w:hAnsi="Times New Roman" w:cs="Times New Roman"/>
              </w:rPr>
              <w:t>Nē</w:t>
            </w:r>
          </w:p>
        </w:tc>
        <w:tc>
          <w:tcPr>
            <w:tcW w:w="2257" w:type="dxa"/>
          </w:tcPr>
          <w:p w14:paraId="226CACCC" w14:textId="4CAC2915" w:rsidR="000F24C7" w:rsidRPr="00682F94" w:rsidRDefault="000F24C7" w:rsidP="00B673BD">
            <w:pPr>
              <w:rPr>
                <w:rFonts w:ascii="Times New Roman" w:hAnsi="Times New Roman" w:cs="Times New Roman"/>
              </w:rPr>
            </w:pPr>
            <w:r w:rsidRPr="00682F94">
              <w:rPr>
                <w:rFonts w:ascii="Times New Roman" w:hAnsi="Times New Roman" w:cs="Times New Roman"/>
              </w:rPr>
              <w:t>Jā</w:t>
            </w:r>
          </w:p>
        </w:tc>
        <w:tc>
          <w:tcPr>
            <w:tcW w:w="2351" w:type="dxa"/>
            <w:vMerge/>
          </w:tcPr>
          <w:p w14:paraId="3E2DC901" w14:textId="77777777" w:rsidR="000F24C7" w:rsidRPr="00682F94" w:rsidRDefault="000F24C7" w:rsidP="00B673BD">
            <w:pPr>
              <w:rPr>
                <w:rFonts w:ascii="Times New Roman" w:hAnsi="Times New Roman" w:cs="Times New Roman"/>
              </w:rPr>
            </w:pPr>
          </w:p>
        </w:tc>
      </w:tr>
      <w:tr w:rsidR="000F24C7" w:rsidRPr="00682F94" w14:paraId="386E2CE8" w14:textId="77777777" w:rsidTr="002A1A0D">
        <w:tc>
          <w:tcPr>
            <w:tcW w:w="3203" w:type="dxa"/>
          </w:tcPr>
          <w:p w14:paraId="0DDBC91E" w14:textId="65EE1DD1" w:rsidR="000F24C7" w:rsidRPr="00682F94" w:rsidRDefault="00682F94" w:rsidP="00B673BD">
            <w:pPr>
              <w:rPr>
                <w:rFonts w:ascii="Times New Roman" w:hAnsi="Times New Roman" w:cs="Times New Roman"/>
              </w:rPr>
            </w:pPr>
            <w:r w:rsidRPr="00682F94">
              <w:rPr>
                <w:rFonts w:ascii="Times New Roman" w:hAnsi="Times New Roman" w:cs="Times New Roman"/>
              </w:rPr>
              <w:t>Direktīvas 2013/34/ES 16.</w:t>
            </w:r>
            <w:r w:rsidR="008E26B4">
              <w:rPr>
                <w:rFonts w:ascii="Times New Roman" w:hAnsi="Times New Roman" w:cs="Times New Roman"/>
              </w:rPr>
              <w:t> </w:t>
            </w:r>
            <w:r w:rsidRPr="00682F94">
              <w:rPr>
                <w:rFonts w:ascii="Times New Roman" w:hAnsi="Times New Roman" w:cs="Times New Roman"/>
              </w:rPr>
              <w:t>panta 1.</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g</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307" w:type="dxa"/>
          </w:tcPr>
          <w:p w14:paraId="43BF40F7" w14:textId="1E761309" w:rsidR="000F24C7" w:rsidRPr="00682F94" w:rsidRDefault="00AD16EC" w:rsidP="00B673BD">
            <w:pPr>
              <w:rPr>
                <w:rFonts w:ascii="Times New Roman" w:hAnsi="Times New Roman" w:cs="Times New Roman"/>
              </w:rPr>
            </w:pPr>
            <w:r>
              <w:rPr>
                <w:rFonts w:ascii="Times New Roman" w:hAnsi="Times New Roman" w:cs="Times New Roman"/>
              </w:rPr>
              <w:t>Projekta 10</w:t>
            </w:r>
            <w:r w:rsidR="004177FB">
              <w:rPr>
                <w:rFonts w:ascii="Times New Roman" w:hAnsi="Times New Roman" w:cs="Times New Roman"/>
              </w:rPr>
              <w:t>7</w:t>
            </w:r>
            <w:r>
              <w:rPr>
                <w:rFonts w:ascii="Times New Roman" w:hAnsi="Times New Roman" w:cs="Times New Roman"/>
              </w:rPr>
              <w:t>. punkts</w:t>
            </w:r>
          </w:p>
        </w:tc>
        <w:tc>
          <w:tcPr>
            <w:tcW w:w="2304" w:type="dxa"/>
          </w:tcPr>
          <w:p w14:paraId="1B2C1EFF" w14:textId="401F6A33" w:rsidR="000F24C7" w:rsidRPr="00682F94" w:rsidRDefault="000F24C7" w:rsidP="00B673BD">
            <w:pPr>
              <w:rPr>
                <w:rFonts w:ascii="Times New Roman" w:hAnsi="Times New Roman" w:cs="Times New Roman"/>
              </w:rPr>
            </w:pPr>
            <w:r w:rsidRPr="002C2C4A">
              <w:rPr>
                <w:rFonts w:ascii="Times New Roman" w:hAnsi="Times New Roman" w:cs="Times New Roman"/>
              </w:rPr>
              <w:t>Izpilda pilnībā</w:t>
            </w:r>
          </w:p>
        </w:tc>
        <w:tc>
          <w:tcPr>
            <w:tcW w:w="2349" w:type="dxa"/>
          </w:tcPr>
          <w:p w14:paraId="06ADD942" w14:textId="68B8E757" w:rsidR="000F24C7" w:rsidRPr="00682F94" w:rsidRDefault="000F24C7" w:rsidP="00B673BD">
            <w:pPr>
              <w:rPr>
                <w:rFonts w:ascii="Times New Roman" w:hAnsi="Times New Roman" w:cs="Times New Roman"/>
              </w:rPr>
            </w:pPr>
            <w:r w:rsidRPr="00682F94">
              <w:rPr>
                <w:rFonts w:ascii="Times New Roman" w:hAnsi="Times New Roman" w:cs="Times New Roman"/>
              </w:rPr>
              <w:t>Nē</w:t>
            </w:r>
          </w:p>
        </w:tc>
        <w:tc>
          <w:tcPr>
            <w:tcW w:w="2257" w:type="dxa"/>
          </w:tcPr>
          <w:p w14:paraId="56746A6E" w14:textId="362DCAC4" w:rsidR="000F24C7" w:rsidRPr="00682F94" w:rsidRDefault="000F24C7" w:rsidP="00B673BD">
            <w:pPr>
              <w:rPr>
                <w:rFonts w:ascii="Times New Roman" w:hAnsi="Times New Roman" w:cs="Times New Roman"/>
              </w:rPr>
            </w:pPr>
            <w:r w:rsidRPr="00682F94">
              <w:rPr>
                <w:rFonts w:ascii="Times New Roman" w:hAnsi="Times New Roman" w:cs="Times New Roman"/>
              </w:rPr>
              <w:t>Jā</w:t>
            </w:r>
          </w:p>
        </w:tc>
        <w:tc>
          <w:tcPr>
            <w:tcW w:w="2351" w:type="dxa"/>
            <w:vMerge/>
          </w:tcPr>
          <w:p w14:paraId="4B23D34E" w14:textId="77777777" w:rsidR="000F24C7" w:rsidRPr="00682F94" w:rsidRDefault="000F24C7" w:rsidP="00B673BD">
            <w:pPr>
              <w:rPr>
                <w:rFonts w:ascii="Times New Roman" w:hAnsi="Times New Roman" w:cs="Times New Roman"/>
              </w:rPr>
            </w:pPr>
          </w:p>
        </w:tc>
      </w:tr>
      <w:tr w:rsidR="000F24C7" w:rsidRPr="00682F94" w14:paraId="2EC02736" w14:textId="77777777" w:rsidTr="002A1A0D">
        <w:tc>
          <w:tcPr>
            <w:tcW w:w="3203" w:type="dxa"/>
          </w:tcPr>
          <w:p w14:paraId="7FA1C65C" w14:textId="34A56881" w:rsidR="000F24C7" w:rsidRPr="00682F94" w:rsidRDefault="008E26B4" w:rsidP="00B673BD">
            <w:pPr>
              <w:rPr>
                <w:rFonts w:ascii="Times New Roman" w:hAnsi="Times New Roman" w:cs="Times New Roman"/>
              </w:rPr>
            </w:pPr>
            <w:r w:rsidRPr="00682F94">
              <w:rPr>
                <w:rFonts w:ascii="Times New Roman" w:hAnsi="Times New Roman" w:cs="Times New Roman"/>
              </w:rPr>
              <w:t>Direktīvas 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panta 1.</w:t>
            </w:r>
            <w:r>
              <w:rPr>
                <w:rFonts w:ascii="Times New Roman" w:hAnsi="Times New Roman" w:cs="Times New Roman"/>
              </w:rPr>
              <w:t> </w:t>
            </w:r>
            <w:r w:rsidRPr="00682F94">
              <w:rPr>
                <w:rFonts w:ascii="Times New Roman" w:hAnsi="Times New Roman" w:cs="Times New Roman"/>
              </w:rPr>
              <w:t>punkts</w:t>
            </w:r>
          </w:p>
        </w:tc>
        <w:tc>
          <w:tcPr>
            <w:tcW w:w="2307" w:type="dxa"/>
          </w:tcPr>
          <w:p w14:paraId="7C43BB38" w14:textId="27F527B4" w:rsidR="000F24C7" w:rsidRPr="00682F94" w:rsidRDefault="00AD16EC" w:rsidP="00B673BD">
            <w:pPr>
              <w:rPr>
                <w:rFonts w:ascii="Times New Roman" w:hAnsi="Times New Roman" w:cs="Times New Roman"/>
              </w:rPr>
            </w:pPr>
            <w:r>
              <w:rPr>
                <w:rFonts w:ascii="Times New Roman" w:hAnsi="Times New Roman" w:cs="Times New Roman"/>
              </w:rPr>
              <w:t>Projekta 11.3. apakšpunkts</w:t>
            </w:r>
          </w:p>
        </w:tc>
        <w:tc>
          <w:tcPr>
            <w:tcW w:w="2304" w:type="dxa"/>
          </w:tcPr>
          <w:p w14:paraId="4D7240AA" w14:textId="492661D7" w:rsidR="000F24C7" w:rsidRPr="00682F94" w:rsidRDefault="00682F94" w:rsidP="00B673BD">
            <w:pPr>
              <w:rPr>
                <w:rFonts w:ascii="Times New Roman" w:hAnsi="Times New Roman" w:cs="Times New Roman"/>
              </w:rPr>
            </w:pPr>
            <w:r w:rsidRPr="00682F94">
              <w:rPr>
                <w:rFonts w:ascii="Times New Roman" w:hAnsi="Times New Roman" w:cs="Times New Roman"/>
              </w:rPr>
              <w:t>Izpilda pilnībā</w:t>
            </w:r>
            <w:r w:rsidR="00565A6A">
              <w:rPr>
                <w:rFonts w:ascii="Times New Roman" w:hAnsi="Times New Roman" w:cs="Times New Roman"/>
              </w:rPr>
              <w:t xml:space="preserve">, izņemot </w:t>
            </w:r>
            <w:r w:rsidR="00565A6A" w:rsidRPr="00682F94">
              <w:rPr>
                <w:rFonts w:ascii="Times New Roman" w:hAnsi="Times New Roman" w:cs="Times New Roman"/>
              </w:rPr>
              <w:t>Direktīvas 2013/34/ES 1</w:t>
            </w:r>
            <w:r w:rsidR="00565A6A">
              <w:rPr>
                <w:rFonts w:ascii="Times New Roman" w:hAnsi="Times New Roman" w:cs="Times New Roman"/>
              </w:rPr>
              <w:t>9</w:t>
            </w:r>
            <w:r w:rsidR="00565A6A" w:rsidRPr="00682F94">
              <w:rPr>
                <w:rFonts w:ascii="Times New Roman" w:hAnsi="Times New Roman" w:cs="Times New Roman"/>
              </w:rPr>
              <w:t>.</w:t>
            </w:r>
            <w:r w:rsidR="00565A6A">
              <w:rPr>
                <w:rFonts w:ascii="Times New Roman" w:hAnsi="Times New Roman" w:cs="Times New Roman"/>
              </w:rPr>
              <w:t> </w:t>
            </w:r>
            <w:r w:rsidR="00565A6A" w:rsidRPr="00682F94">
              <w:rPr>
                <w:rFonts w:ascii="Times New Roman" w:hAnsi="Times New Roman" w:cs="Times New Roman"/>
              </w:rPr>
              <w:t>panta 1.</w:t>
            </w:r>
            <w:r w:rsidR="00565A6A">
              <w:rPr>
                <w:rFonts w:ascii="Times New Roman" w:hAnsi="Times New Roman" w:cs="Times New Roman"/>
              </w:rPr>
              <w:t> </w:t>
            </w:r>
            <w:r w:rsidR="00565A6A" w:rsidRPr="00682F94">
              <w:rPr>
                <w:rFonts w:ascii="Times New Roman" w:hAnsi="Times New Roman" w:cs="Times New Roman"/>
              </w:rPr>
              <w:t>punkt</w:t>
            </w:r>
            <w:r w:rsidR="00565A6A">
              <w:rPr>
                <w:rFonts w:ascii="Times New Roman" w:hAnsi="Times New Roman" w:cs="Times New Roman"/>
              </w:rPr>
              <w:t xml:space="preserve">a ceturto daļu, jo tā </w:t>
            </w:r>
            <w:r w:rsidR="00565A6A" w:rsidRPr="00565A6A">
              <w:rPr>
                <w:rFonts w:ascii="Times New Roman" w:hAnsi="Times New Roman" w:cs="Times New Roman"/>
              </w:rPr>
              <w:t>attiecas uz sabiedriskas nozīmes struktūrām</w:t>
            </w:r>
            <w:r w:rsidR="00565A6A">
              <w:rPr>
                <w:rFonts w:ascii="Times New Roman" w:hAnsi="Times New Roman" w:cs="Times New Roman"/>
              </w:rPr>
              <w:t xml:space="preserve"> un līdz ar to nav attiecināma uz slēgtajiem alternatīvo ieguldījumu fondiem.</w:t>
            </w:r>
          </w:p>
        </w:tc>
        <w:tc>
          <w:tcPr>
            <w:tcW w:w="2349" w:type="dxa"/>
          </w:tcPr>
          <w:p w14:paraId="33279433" w14:textId="583C7E00" w:rsidR="000F24C7" w:rsidRPr="00682F94" w:rsidRDefault="000F24C7" w:rsidP="00B673BD">
            <w:pPr>
              <w:rPr>
                <w:rFonts w:ascii="Times New Roman" w:hAnsi="Times New Roman" w:cs="Times New Roman"/>
              </w:rPr>
            </w:pPr>
            <w:r w:rsidRPr="00682F94">
              <w:rPr>
                <w:rFonts w:ascii="Times New Roman" w:hAnsi="Times New Roman" w:cs="Times New Roman"/>
              </w:rPr>
              <w:t>Nē</w:t>
            </w:r>
          </w:p>
        </w:tc>
        <w:tc>
          <w:tcPr>
            <w:tcW w:w="2257" w:type="dxa"/>
          </w:tcPr>
          <w:p w14:paraId="106D2539" w14:textId="26F911D2" w:rsidR="000F24C7" w:rsidRPr="00682F94" w:rsidRDefault="000F24C7" w:rsidP="00B673BD">
            <w:pPr>
              <w:rPr>
                <w:rFonts w:ascii="Times New Roman" w:hAnsi="Times New Roman" w:cs="Times New Roman"/>
              </w:rPr>
            </w:pPr>
            <w:r w:rsidRPr="00682F94">
              <w:rPr>
                <w:rFonts w:ascii="Times New Roman" w:hAnsi="Times New Roman" w:cs="Times New Roman"/>
              </w:rPr>
              <w:t>Jā</w:t>
            </w:r>
          </w:p>
        </w:tc>
        <w:tc>
          <w:tcPr>
            <w:tcW w:w="2351" w:type="dxa"/>
            <w:vMerge/>
          </w:tcPr>
          <w:p w14:paraId="4639B421" w14:textId="77777777" w:rsidR="000F24C7" w:rsidRPr="00682F94" w:rsidRDefault="000F24C7" w:rsidP="00B673BD">
            <w:pPr>
              <w:rPr>
                <w:rFonts w:ascii="Times New Roman" w:hAnsi="Times New Roman" w:cs="Times New Roman"/>
              </w:rPr>
            </w:pPr>
          </w:p>
        </w:tc>
      </w:tr>
      <w:tr w:rsidR="002E4C06" w:rsidRPr="00682F94" w14:paraId="417AB3B5" w14:textId="77777777" w:rsidTr="002A1A0D">
        <w:tc>
          <w:tcPr>
            <w:tcW w:w="3203" w:type="dxa"/>
          </w:tcPr>
          <w:p w14:paraId="729B3E10" w14:textId="3CE1180D" w:rsidR="002E4C06" w:rsidRPr="00682F94" w:rsidRDefault="008E26B4" w:rsidP="00B673BD">
            <w:pPr>
              <w:rPr>
                <w:rFonts w:ascii="Times New Roman" w:hAnsi="Times New Roman" w:cs="Times New Roman"/>
              </w:rPr>
            </w:pPr>
            <w:r w:rsidRPr="00682F94">
              <w:rPr>
                <w:rFonts w:ascii="Times New Roman" w:hAnsi="Times New Roman" w:cs="Times New Roman"/>
              </w:rPr>
              <w:lastRenderedPageBreak/>
              <w:t>Direktīvas 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panta </w:t>
            </w:r>
            <w:r>
              <w:rPr>
                <w:rFonts w:ascii="Times New Roman" w:hAnsi="Times New Roman" w:cs="Times New Roman"/>
              </w:rPr>
              <w:t>2</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a</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307" w:type="dxa"/>
          </w:tcPr>
          <w:p w14:paraId="48A8DF34" w14:textId="527164DA" w:rsidR="002E4C06" w:rsidRPr="00682F94" w:rsidRDefault="00AD16EC" w:rsidP="00B673BD">
            <w:pPr>
              <w:rPr>
                <w:rFonts w:ascii="Times New Roman" w:hAnsi="Times New Roman" w:cs="Times New Roman"/>
              </w:rPr>
            </w:pPr>
            <w:r>
              <w:rPr>
                <w:rFonts w:ascii="Times New Roman" w:hAnsi="Times New Roman" w:cs="Times New Roman"/>
              </w:rPr>
              <w:t>Projekta 11.7. apakšpunkts</w:t>
            </w:r>
          </w:p>
        </w:tc>
        <w:tc>
          <w:tcPr>
            <w:tcW w:w="2304" w:type="dxa"/>
          </w:tcPr>
          <w:p w14:paraId="11879D3E" w14:textId="5078F3A0" w:rsidR="002E4C06" w:rsidRPr="00682F94" w:rsidRDefault="002E4C06"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1AA814B7" w14:textId="2674011B" w:rsidR="002E4C06" w:rsidRPr="00682F94" w:rsidRDefault="002E4C06" w:rsidP="00B673BD">
            <w:pPr>
              <w:rPr>
                <w:rFonts w:ascii="Times New Roman" w:hAnsi="Times New Roman" w:cs="Times New Roman"/>
              </w:rPr>
            </w:pPr>
            <w:r>
              <w:rPr>
                <w:rFonts w:ascii="Times New Roman" w:hAnsi="Times New Roman" w:cs="Times New Roman"/>
              </w:rPr>
              <w:t>Nē</w:t>
            </w:r>
          </w:p>
        </w:tc>
        <w:tc>
          <w:tcPr>
            <w:tcW w:w="2257" w:type="dxa"/>
          </w:tcPr>
          <w:p w14:paraId="3D2F6501" w14:textId="04B62298" w:rsidR="002E4C06" w:rsidRPr="00682F94" w:rsidRDefault="002E4C06" w:rsidP="00B673BD">
            <w:pPr>
              <w:rPr>
                <w:rFonts w:ascii="Times New Roman" w:hAnsi="Times New Roman" w:cs="Times New Roman"/>
              </w:rPr>
            </w:pPr>
            <w:r>
              <w:rPr>
                <w:rFonts w:ascii="Times New Roman" w:hAnsi="Times New Roman" w:cs="Times New Roman"/>
              </w:rPr>
              <w:t>Jā</w:t>
            </w:r>
          </w:p>
        </w:tc>
        <w:tc>
          <w:tcPr>
            <w:tcW w:w="2351" w:type="dxa"/>
            <w:vMerge/>
          </w:tcPr>
          <w:p w14:paraId="5E42BDDD" w14:textId="77777777" w:rsidR="002E4C06" w:rsidRPr="00682F94" w:rsidRDefault="002E4C06" w:rsidP="00B673BD">
            <w:pPr>
              <w:rPr>
                <w:rFonts w:ascii="Times New Roman" w:hAnsi="Times New Roman" w:cs="Times New Roman"/>
              </w:rPr>
            </w:pPr>
          </w:p>
        </w:tc>
      </w:tr>
      <w:tr w:rsidR="002E4C06" w:rsidRPr="00682F94" w14:paraId="6AF63B6D" w14:textId="77777777" w:rsidTr="002A1A0D">
        <w:tc>
          <w:tcPr>
            <w:tcW w:w="3203" w:type="dxa"/>
          </w:tcPr>
          <w:p w14:paraId="77E7C9F5" w14:textId="081B5FF4" w:rsidR="002E4C06" w:rsidRPr="00682F94" w:rsidRDefault="008E26B4" w:rsidP="00B673BD">
            <w:pPr>
              <w:rPr>
                <w:rFonts w:ascii="Times New Roman" w:hAnsi="Times New Roman" w:cs="Times New Roman"/>
              </w:rPr>
            </w:pPr>
            <w:r w:rsidRPr="00682F94">
              <w:rPr>
                <w:rFonts w:ascii="Times New Roman" w:hAnsi="Times New Roman" w:cs="Times New Roman"/>
              </w:rPr>
              <w:t>Direktīvas 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panta </w:t>
            </w:r>
            <w:r>
              <w:rPr>
                <w:rFonts w:ascii="Times New Roman" w:hAnsi="Times New Roman" w:cs="Times New Roman"/>
              </w:rPr>
              <w:t>2</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b</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307" w:type="dxa"/>
          </w:tcPr>
          <w:p w14:paraId="123BB76A" w14:textId="0E09CE53" w:rsidR="002E4C06" w:rsidRPr="00682F94" w:rsidRDefault="00AD16EC" w:rsidP="00B673BD">
            <w:pPr>
              <w:rPr>
                <w:rFonts w:ascii="Times New Roman" w:hAnsi="Times New Roman" w:cs="Times New Roman"/>
              </w:rPr>
            </w:pPr>
            <w:r>
              <w:rPr>
                <w:rFonts w:ascii="Times New Roman" w:hAnsi="Times New Roman" w:cs="Times New Roman"/>
              </w:rPr>
              <w:t>Projekta 11.8. apakšpunkts</w:t>
            </w:r>
          </w:p>
        </w:tc>
        <w:tc>
          <w:tcPr>
            <w:tcW w:w="2304" w:type="dxa"/>
          </w:tcPr>
          <w:p w14:paraId="17F81748" w14:textId="5EE93F13" w:rsidR="002E4C06" w:rsidRPr="00682F94" w:rsidRDefault="002E4C06" w:rsidP="00B673BD">
            <w:pPr>
              <w:rPr>
                <w:rFonts w:ascii="Times New Roman" w:hAnsi="Times New Roman" w:cs="Times New Roman"/>
              </w:rPr>
            </w:pPr>
            <w:r w:rsidRPr="002E4C06">
              <w:rPr>
                <w:rFonts w:ascii="Times New Roman" w:hAnsi="Times New Roman" w:cs="Times New Roman"/>
              </w:rPr>
              <w:t>Izpilda pilnībā</w:t>
            </w:r>
          </w:p>
        </w:tc>
        <w:tc>
          <w:tcPr>
            <w:tcW w:w="2349" w:type="dxa"/>
          </w:tcPr>
          <w:p w14:paraId="23A1DA5B" w14:textId="053001F7" w:rsidR="002E4C06" w:rsidRPr="00682F94" w:rsidRDefault="002E4C06" w:rsidP="00B673BD">
            <w:pPr>
              <w:rPr>
                <w:rFonts w:ascii="Times New Roman" w:hAnsi="Times New Roman" w:cs="Times New Roman"/>
              </w:rPr>
            </w:pPr>
            <w:r>
              <w:rPr>
                <w:rFonts w:ascii="Times New Roman" w:hAnsi="Times New Roman" w:cs="Times New Roman"/>
              </w:rPr>
              <w:t>Nē</w:t>
            </w:r>
          </w:p>
        </w:tc>
        <w:tc>
          <w:tcPr>
            <w:tcW w:w="2257" w:type="dxa"/>
          </w:tcPr>
          <w:p w14:paraId="1342AD8D" w14:textId="42950A18" w:rsidR="002E4C06" w:rsidRPr="00682F94" w:rsidRDefault="002E4C06" w:rsidP="00B673BD">
            <w:pPr>
              <w:rPr>
                <w:rFonts w:ascii="Times New Roman" w:hAnsi="Times New Roman" w:cs="Times New Roman"/>
              </w:rPr>
            </w:pPr>
            <w:r>
              <w:rPr>
                <w:rFonts w:ascii="Times New Roman" w:hAnsi="Times New Roman" w:cs="Times New Roman"/>
              </w:rPr>
              <w:t>Jā</w:t>
            </w:r>
          </w:p>
        </w:tc>
        <w:tc>
          <w:tcPr>
            <w:tcW w:w="2351" w:type="dxa"/>
            <w:vMerge/>
          </w:tcPr>
          <w:p w14:paraId="0008C18F" w14:textId="77777777" w:rsidR="002E4C06" w:rsidRPr="00682F94" w:rsidRDefault="002E4C06" w:rsidP="00B673BD">
            <w:pPr>
              <w:rPr>
                <w:rFonts w:ascii="Times New Roman" w:hAnsi="Times New Roman" w:cs="Times New Roman"/>
              </w:rPr>
            </w:pPr>
          </w:p>
        </w:tc>
      </w:tr>
      <w:tr w:rsidR="0092193E" w:rsidRPr="00682F94" w14:paraId="206DF7E3" w14:textId="77777777" w:rsidTr="002A1A0D">
        <w:tc>
          <w:tcPr>
            <w:tcW w:w="3203" w:type="dxa"/>
          </w:tcPr>
          <w:p w14:paraId="744FE39F" w14:textId="56A4D09B" w:rsidR="0092193E" w:rsidRPr="00682F94" w:rsidRDefault="0092193E" w:rsidP="00B673BD">
            <w:pPr>
              <w:rPr>
                <w:rFonts w:ascii="Times New Roman" w:hAnsi="Times New Roman" w:cs="Times New Roman"/>
              </w:rPr>
            </w:pPr>
            <w:r w:rsidRPr="00682F94">
              <w:rPr>
                <w:rFonts w:ascii="Times New Roman" w:hAnsi="Times New Roman" w:cs="Times New Roman"/>
              </w:rPr>
              <w:t>Direktīvas 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panta </w:t>
            </w:r>
            <w:r>
              <w:rPr>
                <w:rFonts w:ascii="Times New Roman" w:hAnsi="Times New Roman" w:cs="Times New Roman"/>
              </w:rPr>
              <w:t>2</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d</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307" w:type="dxa"/>
          </w:tcPr>
          <w:p w14:paraId="37DC305E" w14:textId="277336A2" w:rsidR="0092193E" w:rsidRDefault="0092193E" w:rsidP="00B673BD">
            <w:pPr>
              <w:rPr>
                <w:rFonts w:ascii="Times New Roman" w:hAnsi="Times New Roman" w:cs="Times New Roman"/>
              </w:rPr>
            </w:pPr>
            <w:r>
              <w:rPr>
                <w:rFonts w:ascii="Times New Roman" w:hAnsi="Times New Roman" w:cs="Times New Roman"/>
              </w:rPr>
              <w:t>Projekta 12. punkts</w:t>
            </w:r>
          </w:p>
        </w:tc>
        <w:tc>
          <w:tcPr>
            <w:tcW w:w="2304" w:type="dxa"/>
          </w:tcPr>
          <w:p w14:paraId="15384551" w14:textId="6109B6A6" w:rsidR="0092193E" w:rsidRPr="002E4C06" w:rsidRDefault="0092193E" w:rsidP="00B673BD">
            <w:pPr>
              <w:rPr>
                <w:rFonts w:ascii="Times New Roman" w:hAnsi="Times New Roman" w:cs="Times New Roman"/>
              </w:rPr>
            </w:pPr>
            <w:r w:rsidRPr="002E4C06">
              <w:rPr>
                <w:rFonts w:ascii="Times New Roman" w:hAnsi="Times New Roman" w:cs="Times New Roman"/>
              </w:rPr>
              <w:t>Izpilda pilnībā</w:t>
            </w:r>
            <w:r w:rsidR="00C278C8">
              <w:rPr>
                <w:rFonts w:ascii="Times New Roman" w:hAnsi="Times New Roman" w:cs="Times New Roman"/>
              </w:rPr>
              <w:t xml:space="preserve">, bet Direktīvas 2013/34/ES 19. panta 2. punkta c) apakšpunkts netiek pārņemts, jo Alternatīvo ieguldījumu fondu un to pārvaldnieku likuma 30. panta piektajā daļā noteikta prasība, ka slēgtā alternatīvo ieguldījumu fonda pārvaldniekam ir aizliegta ieguldījumu daļu </w:t>
            </w:r>
            <w:proofErr w:type="spellStart"/>
            <w:r w:rsidR="00C278C8">
              <w:rPr>
                <w:rFonts w:ascii="Times New Roman" w:hAnsi="Times New Roman" w:cs="Times New Roman"/>
              </w:rPr>
              <w:t>atpakaļpirkšana</w:t>
            </w:r>
            <w:proofErr w:type="spellEnd"/>
            <w:r w:rsidR="00C278C8">
              <w:rPr>
                <w:rFonts w:ascii="Times New Roman" w:hAnsi="Times New Roman" w:cs="Times New Roman"/>
              </w:rPr>
              <w:t>.</w:t>
            </w:r>
          </w:p>
        </w:tc>
        <w:tc>
          <w:tcPr>
            <w:tcW w:w="2349" w:type="dxa"/>
          </w:tcPr>
          <w:p w14:paraId="2AC7ECA0" w14:textId="45A641AB" w:rsidR="0092193E" w:rsidRDefault="0092193E" w:rsidP="00B673BD">
            <w:pPr>
              <w:rPr>
                <w:rFonts w:ascii="Times New Roman" w:hAnsi="Times New Roman" w:cs="Times New Roman"/>
              </w:rPr>
            </w:pPr>
            <w:r>
              <w:rPr>
                <w:rFonts w:ascii="Times New Roman" w:hAnsi="Times New Roman" w:cs="Times New Roman"/>
              </w:rPr>
              <w:t>Nē</w:t>
            </w:r>
          </w:p>
        </w:tc>
        <w:tc>
          <w:tcPr>
            <w:tcW w:w="2257" w:type="dxa"/>
          </w:tcPr>
          <w:p w14:paraId="52CD7271" w14:textId="1931FDDB" w:rsidR="0092193E" w:rsidRDefault="0092193E" w:rsidP="00B673BD">
            <w:pPr>
              <w:rPr>
                <w:rFonts w:ascii="Times New Roman" w:hAnsi="Times New Roman" w:cs="Times New Roman"/>
              </w:rPr>
            </w:pPr>
            <w:r>
              <w:rPr>
                <w:rFonts w:ascii="Times New Roman" w:hAnsi="Times New Roman" w:cs="Times New Roman"/>
              </w:rPr>
              <w:t>Jā</w:t>
            </w:r>
          </w:p>
        </w:tc>
        <w:tc>
          <w:tcPr>
            <w:tcW w:w="2351" w:type="dxa"/>
            <w:vMerge/>
          </w:tcPr>
          <w:p w14:paraId="2EAC3B5C" w14:textId="77777777" w:rsidR="0092193E" w:rsidRPr="00682F94" w:rsidRDefault="0092193E" w:rsidP="00B673BD">
            <w:pPr>
              <w:rPr>
                <w:rFonts w:ascii="Times New Roman" w:hAnsi="Times New Roman" w:cs="Times New Roman"/>
              </w:rPr>
            </w:pPr>
          </w:p>
        </w:tc>
      </w:tr>
      <w:tr w:rsidR="00B673BD" w:rsidRPr="00682F94" w14:paraId="19DB9208" w14:textId="77777777" w:rsidTr="002A1A0D">
        <w:tc>
          <w:tcPr>
            <w:tcW w:w="3203" w:type="dxa"/>
          </w:tcPr>
          <w:p w14:paraId="70593C78" w14:textId="3DAC32F1" w:rsidR="00B673BD" w:rsidRPr="00682F94" w:rsidRDefault="008E26B4" w:rsidP="00B673BD">
            <w:pPr>
              <w:rPr>
                <w:rFonts w:ascii="Times New Roman" w:hAnsi="Times New Roman" w:cs="Times New Roman"/>
              </w:rPr>
            </w:pPr>
            <w:r w:rsidRPr="00682F94">
              <w:rPr>
                <w:rFonts w:ascii="Times New Roman" w:hAnsi="Times New Roman" w:cs="Times New Roman"/>
              </w:rPr>
              <w:t>Direktīvas 2013/34/ES 1</w:t>
            </w:r>
            <w:r>
              <w:rPr>
                <w:rFonts w:ascii="Times New Roman" w:hAnsi="Times New Roman" w:cs="Times New Roman"/>
              </w:rPr>
              <w:t>9</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panta </w:t>
            </w:r>
            <w:r>
              <w:rPr>
                <w:rFonts w:ascii="Times New Roman" w:hAnsi="Times New Roman" w:cs="Times New Roman"/>
              </w:rPr>
              <w:t>2</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 xml:space="preserve">punkta </w:t>
            </w:r>
            <w:r>
              <w:rPr>
                <w:rFonts w:ascii="Times New Roman" w:hAnsi="Times New Roman" w:cs="Times New Roman"/>
              </w:rPr>
              <w:t>e</w:t>
            </w:r>
            <w:r w:rsidRPr="00682F94">
              <w:rPr>
                <w:rFonts w:ascii="Times New Roman" w:hAnsi="Times New Roman" w:cs="Times New Roman"/>
              </w:rPr>
              <w:t>)</w:t>
            </w:r>
            <w:r>
              <w:rPr>
                <w:rFonts w:ascii="Times New Roman" w:hAnsi="Times New Roman" w:cs="Times New Roman"/>
              </w:rPr>
              <w:t> </w:t>
            </w:r>
            <w:r w:rsidRPr="00682F94">
              <w:rPr>
                <w:rFonts w:ascii="Times New Roman" w:hAnsi="Times New Roman" w:cs="Times New Roman"/>
              </w:rPr>
              <w:t>apakšpunkts</w:t>
            </w:r>
          </w:p>
        </w:tc>
        <w:tc>
          <w:tcPr>
            <w:tcW w:w="2307" w:type="dxa"/>
          </w:tcPr>
          <w:p w14:paraId="2A71B6A4" w14:textId="2BCD09F0" w:rsidR="00B673BD" w:rsidRPr="00682F94" w:rsidRDefault="007D60A1" w:rsidP="00B673BD">
            <w:pPr>
              <w:rPr>
                <w:rFonts w:ascii="Times New Roman" w:hAnsi="Times New Roman" w:cs="Times New Roman"/>
              </w:rPr>
            </w:pPr>
            <w:r>
              <w:rPr>
                <w:rFonts w:ascii="Times New Roman" w:hAnsi="Times New Roman" w:cs="Times New Roman"/>
              </w:rPr>
              <w:t>Projekta 11.4. apakšpunkts</w:t>
            </w:r>
          </w:p>
        </w:tc>
        <w:tc>
          <w:tcPr>
            <w:tcW w:w="2304" w:type="dxa"/>
          </w:tcPr>
          <w:p w14:paraId="67786C8B" w14:textId="50AE46F9" w:rsidR="00B673BD" w:rsidRPr="00682F94" w:rsidRDefault="00B673BD" w:rsidP="00B673BD">
            <w:pPr>
              <w:rPr>
                <w:rFonts w:ascii="Times New Roman" w:hAnsi="Times New Roman" w:cs="Times New Roman"/>
              </w:rPr>
            </w:pPr>
            <w:r w:rsidRPr="00682F94">
              <w:rPr>
                <w:rFonts w:ascii="Times New Roman" w:hAnsi="Times New Roman" w:cs="Times New Roman"/>
              </w:rPr>
              <w:t>Izpilda pilnībā</w:t>
            </w:r>
          </w:p>
        </w:tc>
        <w:tc>
          <w:tcPr>
            <w:tcW w:w="2349" w:type="dxa"/>
          </w:tcPr>
          <w:p w14:paraId="11E90ED4" w14:textId="77CFD52D" w:rsidR="00B673BD" w:rsidRPr="00682F94" w:rsidRDefault="00B673BD" w:rsidP="00B673BD">
            <w:pPr>
              <w:rPr>
                <w:rFonts w:ascii="Times New Roman" w:hAnsi="Times New Roman" w:cs="Times New Roman"/>
              </w:rPr>
            </w:pPr>
            <w:r w:rsidRPr="00682F94">
              <w:rPr>
                <w:rFonts w:ascii="Times New Roman" w:hAnsi="Times New Roman" w:cs="Times New Roman"/>
              </w:rPr>
              <w:t>Nē</w:t>
            </w:r>
          </w:p>
        </w:tc>
        <w:tc>
          <w:tcPr>
            <w:tcW w:w="2257" w:type="dxa"/>
          </w:tcPr>
          <w:p w14:paraId="75313003" w14:textId="7A3B579A" w:rsidR="003049B1" w:rsidRDefault="003049B1" w:rsidP="00B673BD">
            <w:pPr>
              <w:rPr>
                <w:rFonts w:ascii="Times New Roman" w:hAnsi="Times New Roman" w:cs="Times New Roman"/>
              </w:rPr>
            </w:pPr>
            <w:r w:rsidRPr="00682F94">
              <w:rPr>
                <w:rFonts w:ascii="Times New Roman" w:hAnsi="Times New Roman" w:cs="Times New Roman"/>
              </w:rPr>
              <w:t>Direktīvas 2013/34</w:t>
            </w:r>
            <w:r w:rsidR="00273AB1">
              <w:rPr>
                <w:rFonts w:ascii="Times New Roman" w:hAnsi="Times New Roman" w:cs="Times New Roman"/>
              </w:rPr>
              <w:t>/ES</w:t>
            </w:r>
            <w:r w:rsidRPr="00682F94">
              <w:rPr>
                <w:rFonts w:ascii="Times New Roman" w:hAnsi="Times New Roman" w:cs="Times New Roman"/>
              </w:rPr>
              <w:t xml:space="preserve"> </w:t>
            </w:r>
            <w:r>
              <w:rPr>
                <w:rFonts w:ascii="Times New Roman" w:hAnsi="Times New Roman" w:cs="Times New Roman"/>
              </w:rPr>
              <w:t>19</w:t>
            </w:r>
            <w:r w:rsidRPr="00682F94">
              <w:rPr>
                <w:rFonts w:ascii="Times New Roman" w:hAnsi="Times New Roman" w:cs="Times New Roman"/>
              </w:rPr>
              <w:t xml:space="preserve">. panta </w:t>
            </w:r>
            <w:r>
              <w:rPr>
                <w:rFonts w:ascii="Times New Roman" w:hAnsi="Times New Roman" w:cs="Times New Roman"/>
              </w:rPr>
              <w:t>3</w:t>
            </w:r>
            <w:r w:rsidRPr="00682F94">
              <w:rPr>
                <w:rFonts w:ascii="Times New Roman" w:hAnsi="Times New Roman" w:cs="Times New Roman"/>
              </w:rPr>
              <w:t>. punktā minētā iespēja</w:t>
            </w:r>
            <w:r>
              <w:rPr>
                <w:rFonts w:ascii="Times New Roman" w:hAnsi="Times New Roman" w:cs="Times New Roman"/>
              </w:rPr>
              <w:t xml:space="preserve"> atbrīvot mazu uzņēmumu no vadības ziņojuma sagatavošanas netiek izmantota, ņemot vērā</w:t>
            </w:r>
            <w:r w:rsidR="00147DE1">
              <w:rPr>
                <w:rFonts w:ascii="Times New Roman" w:hAnsi="Times New Roman" w:cs="Times New Roman"/>
              </w:rPr>
              <w:t>,</w:t>
            </w:r>
            <w:r>
              <w:rPr>
                <w:rFonts w:ascii="Times New Roman" w:hAnsi="Times New Roman" w:cs="Times New Roman"/>
              </w:rPr>
              <w:t xml:space="preserve"> ka </w:t>
            </w:r>
            <w:r w:rsidR="00AD16EC">
              <w:rPr>
                <w:rFonts w:ascii="Times New Roman" w:hAnsi="Times New Roman" w:cs="Times New Roman"/>
              </w:rPr>
              <w:t>slēgtie alternatīvo ieguldījumu fondi</w:t>
            </w:r>
            <w:r>
              <w:rPr>
                <w:rFonts w:ascii="Times New Roman" w:hAnsi="Times New Roman" w:cs="Times New Roman"/>
              </w:rPr>
              <w:t xml:space="preserve"> ir finanšu tirgus dalībnieki, kuru pienākums ir plašākas informācijas sniegšana </w:t>
            </w:r>
            <w:r w:rsidR="0092193E">
              <w:rPr>
                <w:rFonts w:ascii="Times New Roman" w:hAnsi="Times New Roman" w:cs="Times New Roman"/>
              </w:rPr>
              <w:t>ieguldītājiem</w:t>
            </w:r>
            <w:r>
              <w:rPr>
                <w:rFonts w:ascii="Times New Roman" w:hAnsi="Times New Roman" w:cs="Times New Roman"/>
              </w:rPr>
              <w:t>.</w:t>
            </w:r>
          </w:p>
          <w:p w14:paraId="123E0472" w14:textId="77777777" w:rsidR="003049B1" w:rsidRDefault="003049B1" w:rsidP="00B673BD">
            <w:pPr>
              <w:rPr>
                <w:rFonts w:ascii="Times New Roman" w:hAnsi="Times New Roman" w:cs="Times New Roman"/>
              </w:rPr>
            </w:pPr>
          </w:p>
          <w:p w14:paraId="34EA97EF" w14:textId="7EF2A83E" w:rsidR="00B673BD" w:rsidRPr="00682F94" w:rsidRDefault="003049B1" w:rsidP="00B673BD">
            <w:pPr>
              <w:rPr>
                <w:rFonts w:ascii="Times New Roman" w:hAnsi="Times New Roman" w:cs="Times New Roman"/>
              </w:rPr>
            </w:pPr>
            <w:r w:rsidRPr="00682F94">
              <w:rPr>
                <w:rFonts w:ascii="Times New Roman" w:hAnsi="Times New Roman" w:cs="Times New Roman"/>
              </w:rPr>
              <w:lastRenderedPageBreak/>
              <w:t>Direktīvas 2013/34</w:t>
            </w:r>
            <w:r w:rsidR="00273AB1">
              <w:rPr>
                <w:rFonts w:ascii="Times New Roman" w:hAnsi="Times New Roman" w:cs="Times New Roman"/>
              </w:rPr>
              <w:t>/ES</w:t>
            </w:r>
            <w:r w:rsidRPr="00682F94">
              <w:rPr>
                <w:rFonts w:ascii="Times New Roman" w:hAnsi="Times New Roman" w:cs="Times New Roman"/>
              </w:rPr>
              <w:t xml:space="preserve"> </w:t>
            </w:r>
            <w:r>
              <w:rPr>
                <w:rFonts w:ascii="Times New Roman" w:hAnsi="Times New Roman" w:cs="Times New Roman"/>
              </w:rPr>
              <w:t>19</w:t>
            </w:r>
            <w:r w:rsidRPr="00682F94">
              <w:rPr>
                <w:rFonts w:ascii="Times New Roman" w:hAnsi="Times New Roman" w:cs="Times New Roman"/>
              </w:rPr>
              <w:t xml:space="preserve">. panta </w:t>
            </w:r>
            <w:r>
              <w:rPr>
                <w:rFonts w:ascii="Times New Roman" w:hAnsi="Times New Roman" w:cs="Times New Roman"/>
              </w:rPr>
              <w:t>4</w:t>
            </w:r>
            <w:r w:rsidRPr="00682F94">
              <w:rPr>
                <w:rFonts w:ascii="Times New Roman" w:hAnsi="Times New Roman" w:cs="Times New Roman"/>
              </w:rPr>
              <w:t>. punktā minēt</w:t>
            </w:r>
            <w:r w:rsidR="00A70D1A">
              <w:rPr>
                <w:rFonts w:ascii="Times New Roman" w:hAnsi="Times New Roman" w:cs="Times New Roman"/>
              </w:rPr>
              <w:t>ā</w:t>
            </w:r>
            <w:r w:rsidRPr="00682F94">
              <w:rPr>
                <w:rFonts w:ascii="Times New Roman" w:hAnsi="Times New Roman" w:cs="Times New Roman"/>
              </w:rPr>
              <w:t xml:space="preserve"> iespēja</w:t>
            </w:r>
            <w:r>
              <w:rPr>
                <w:rFonts w:ascii="Times New Roman" w:hAnsi="Times New Roman" w:cs="Times New Roman"/>
              </w:rPr>
              <w:t xml:space="preserve"> atbrīvot mazu un vidēju uzņēmumu no raksturojošo </w:t>
            </w:r>
            <w:proofErr w:type="spellStart"/>
            <w:r>
              <w:rPr>
                <w:rFonts w:ascii="Times New Roman" w:hAnsi="Times New Roman" w:cs="Times New Roman"/>
              </w:rPr>
              <w:t>nefinanšu</w:t>
            </w:r>
            <w:proofErr w:type="spellEnd"/>
            <w:r>
              <w:rPr>
                <w:rFonts w:ascii="Times New Roman" w:hAnsi="Times New Roman" w:cs="Times New Roman"/>
              </w:rPr>
              <w:t xml:space="preserve"> rādītāju atklāšanas vadības ziņojumā, </w:t>
            </w:r>
            <w:r w:rsidR="00AD16EC">
              <w:rPr>
                <w:rFonts w:ascii="Times New Roman" w:hAnsi="Times New Roman" w:cs="Times New Roman"/>
              </w:rPr>
              <w:t>netiek izmantota</w:t>
            </w:r>
            <w:r w:rsidR="0092193E">
              <w:rPr>
                <w:rFonts w:ascii="Times New Roman" w:hAnsi="Times New Roman" w:cs="Times New Roman"/>
              </w:rPr>
              <w:t>, ņemot vērā</w:t>
            </w:r>
            <w:r w:rsidR="00147DE1">
              <w:rPr>
                <w:rFonts w:ascii="Times New Roman" w:hAnsi="Times New Roman" w:cs="Times New Roman"/>
              </w:rPr>
              <w:t>,</w:t>
            </w:r>
            <w:r w:rsidR="0092193E">
              <w:rPr>
                <w:rFonts w:ascii="Times New Roman" w:hAnsi="Times New Roman" w:cs="Times New Roman"/>
              </w:rPr>
              <w:t xml:space="preserve"> ka slēgtie alternatīvo ieguldījumu fondi ir finanšu tirgus dalībnieki, kuru pienākums ir plašākas informācijas sniegšana ieguldītājiem.</w:t>
            </w:r>
          </w:p>
        </w:tc>
        <w:tc>
          <w:tcPr>
            <w:tcW w:w="2351" w:type="dxa"/>
            <w:vMerge/>
          </w:tcPr>
          <w:p w14:paraId="26D37927" w14:textId="77777777" w:rsidR="00B673BD" w:rsidRPr="00682F94" w:rsidRDefault="00B673BD" w:rsidP="00B673BD">
            <w:pPr>
              <w:rPr>
                <w:rFonts w:ascii="Times New Roman" w:hAnsi="Times New Roman" w:cs="Times New Roman"/>
              </w:rPr>
            </w:pPr>
          </w:p>
        </w:tc>
      </w:tr>
    </w:tbl>
    <w:p w14:paraId="3D3AC116" w14:textId="77777777" w:rsidR="00E53DE9" w:rsidRPr="00682F94" w:rsidRDefault="00E53DE9" w:rsidP="0049248A">
      <w:pPr>
        <w:spacing w:after="0" w:line="240" w:lineRule="auto"/>
        <w:rPr>
          <w:rFonts w:ascii="Times New Roman" w:hAnsi="Times New Roman" w:cs="Times New Roman"/>
        </w:rPr>
      </w:pPr>
    </w:p>
    <w:sectPr w:rsidR="00E53DE9" w:rsidRPr="00682F94" w:rsidSect="000A6CFE">
      <w:pgSz w:w="16838" w:h="11906" w:orient="landscape" w:code="9"/>
      <w:pgMar w:top="170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EAD58" w14:textId="77777777" w:rsidR="00F826BC" w:rsidRDefault="00F826BC" w:rsidP="009B27BE">
      <w:pPr>
        <w:spacing w:after="0" w:line="240" w:lineRule="auto"/>
      </w:pPr>
      <w:r>
        <w:separator/>
      </w:r>
    </w:p>
  </w:endnote>
  <w:endnote w:type="continuationSeparator" w:id="0">
    <w:p w14:paraId="3F6A3B7A" w14:textId="77777777" w:rsidR="00F826BC" w:rsidRDefault="00F826BC"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2FC56" w14:textId="77777777" w:rsidR="00F826BC" w:rsidRDefault="00F826BC" w:rsidP="009B27BE">
      <w:pPr>
        <w:spacing w:after="0" w:line="240" w:lineRule="auto"/>
      </w:pPr>
      <w:r>
        <w:separator/>
      </w:r>
    </w:p>
  </w:footnote>
  <w:footnote w:type="continuationSeparator" w:id="0">
    <w:p w14:paraId="00D4A8D9" w14:textId="77777777" w:rsidR="00F826BC" w:rsidRDefault="00F826BC"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EB8D1A2" w14:textId="77777777"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34F26DE"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Virsrakst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B0C6EC3"/>
    <w:multiLevelType w:val="hybridMultilevel"/>
    <w:tmpl w:val="E9DC642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2FE5579"/>
    <w:multiLevelType w:val="hybridMultilevel"/>
    <w:tmpl w:val="1840B85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72B7876"/>
    <w:multiLevelType w:val="hybridMultilevel"/>
    <w:tmpl w:val="477A627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26324480">
    <w:abstractNumId w:val="2"/>
  </w:num>
  <w:num w:numId="2" w16cid:durableId="133988287">
    <w:abstractNumId w:val="3"/>
  </w:num>
  <w:num w:numId="3" w16cid:durableId="66001806">
    <w:abstractNumId w:val="0"/>
  </w:num>
  <w:num w:numId="4" w16cid:durableId="821774274">
    <w:abstractNumId w:val="4"/>
  </w:num>
  <w:num w:numId="5" w16cid:durableId="1785880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5CA"/>
    <w:rsid w:val="00011100"/>
    <w:rsid w:val="000263F5"/>
    <w:rsid w:val="000412C7"/>
    <w:rsid w:val="000744FB"/>
    <w:rsid w:val="000806C5"/>
    <w:rsid w:val="0008510E"/>
    <w:rsid w:val="0009616F"/>
    <w:rsid w:val="000A15D5"/>
    <w:rsid w:val="000A6CFE"/>
    <w:rsid w:val="000B4E0A"/>
    <w:rsid w:val="000C48BA"/>
    <w:rsid w:val="000D43BE"/>
    <w:rsid w:val="000F07A6"/>
    <w:rsid w:val="000F24C7"/>
    <w:rsid w:val="000F2C7A"/>
    <w:rsid w:val="00103DCA"/>
    <w:rsid w:val="00132070"/>
    <w:rsid w:val="00133F6A"/>
    <w:rsid w:val="00143A48"/>
    <w:rsid w:val="00147DE1"/>
    <w:rsid w:val="00164811"/>
    <w:rsid w:val="00191CAF"/>
    <w:rsid w:val="001A5171"/>
    <w:rsid w:val="001B3579"/>
    <w:rsid w:val="001E680D"/>
    <w:rsid w:val="00225A99"/>
    <w:rsid w:val="00237951"/>
    <w:rsid w:val="00256531"/>
    <w:rsid w:val="00273635"/>
    <w:rsid w:val="00273AB1"/>
    <w:rsid w:val="002B2D75"/>
    <w:rsid w:val="002C2C4A"/>
    <w:rsid w:val="002C3A66"/>
    <w:rsid w:val="002C576C"/>
    <w:rsid w:val="002E4C06"/>
    <w:rsid w:val="002E646D"/>
    <w:rsid w:val="003049B1"/>
    <w:rsid w:val="00322359"/>
    <w:rsid w:val="003344C2"/>
    <w:rsid w:val="003418A8"/>
    <w:rsid w:val="00366075"/>
    <w:rsid w:val="00384B16"/>
    <w:rsid w:val="003907B5"/>
    <w:rsid w:val="003A3BB6"/>
    <w:rsid w:val="003B0CFE"/>
    <w:rsid w:val="003B481B"/>
    <w:rsid w:val="003C3C23"/>
    <w:rsid w:val="003D316F"/>
    <w:rsid w:val="003F2D0C"/>
    <w:rsid w:val="003F6F3B"/>
    <w:rsid w:val="003F7D03"/>
    <w:rsid w:val="00413F06"/>
    <w:rsid w:val="004177FB"/>
    <w:rsid w:val="00446031"/>
    <w:rsid w:val="004475A1"/>
    <w:rsid w:val="0049248A"/>
    <w:rsid w:val="004954C4"/>
    <w:rsid w:val="004B0265"/>
    <w:rsid w:val="004E1E78"/>
    <w:rsid w:val="004E6E61"/>
    <w:rsid w:val="00565A6A"/>
    <w:rsid w:val="005715E1"/>
    <w:rsid w:val="00577A7A"/>
    <w:rsid w:val="00590977"/>
    <w:rsid w:val="005B3E28"/>
    <w:rsid w:val="005D0BB7"/>
    <w:rsid w:val="005D2F2A"/>
    <w:rsid w:val="005D32F1"/>
    <w:rsid w:val="005E39B4"/>
    <w:rsid w:val="0060016E"/>
    <w:rsid w:val="00623ECF"/>
    <w:rsid w:val="00642172"/>
    <w:rsid w:val="0066065B"/>
    <w:rsid w:val="00682F94"/>
    <w:rsid w:val="006B1938"/>
    <w:rsid w:val="006C2739"/>
    <w:rsid w:val="006F338E"/>
    <w:rsid w:val="00741EC6"/>
    <w:rsid w:val="00756820"/>
    <w:rsid w:val="00762371"/>
    <w:rsid w:val="00790CDB"/>
    <w:rsid w:val="00795DD5"/>
    <w:rsid w:val="007C4E6D"/>
    <w:rsid w:val="007D60A1"/>
    <w:rsid w:val="007E313B"/>
    <w:rsid w:val="007F0451"/>
    <w:rsid w:val="00843BFA"/>
    <w:rsid w:val="00844E6E"/>
    <w:rsid w:val="00857431"/>
    <w:rsid w:val="00866DB4"/>
    <w:rsid w:val="008A1E0D"/>
    <w:rsid w:val="008C698D"/>
    <w:rsid w:val="008D138A"/>
    <w:rsid w:val="008E26B4"/>
    <w:rsid w:val="00901ED2"/>
    <w:rsid w:val="00910597"/>
    <w:rsid w:val="009122C0"/>
    <w:rsid w:val="00920831"/>
    <w:rsid w:val="0092193E"/>
    <w:rsid w:val="00957964"/>
    <w:rsid w:val="0096515C"/>
    <w:rsid w:val="009836A0"/>
    <w:rsid w:val="009B1C91"/>
    <w:rsid w:val="009B27BE"/>
    <w:rsid w:val="009D45CA"/>
    <w:rsid w:val="009D69BC"/>
    <w:rsid w:val="009D6DB9"/>
    <w:rsid w:val="009E42E6"/>
    <w:rsid w:val="00A001F2"/>
    <w:rsid w:val="00A0418B"/>
    <w:rsid w:val="00A13A92"/>
    <w:rsid w:val="00A14FD8"/>
    <w:rsid w:val="00A42788"/>
    <w:rsid w:val="00A70D1A"/>
    <w:rsid w:val="00AD16EC"/>
    <w:rsid w:val="00AD7EBA"/>
    <w:rsid w:val="00B04FEC"/>
    <w:rsid w:val="00B072F0"/>
    <w:rsid w:val="00B159F9"/>
    <w:rsid w:val="00B239A5"/>
    <w:rsid w:val="00B27A39"/>
    <w:rsid w:val="00B43F26"/>
    <w:rsid w:val="00B62244"/>
    <w:rsid w:val="00B673BD"/>
    <w:rsid w:val="00B719A7"/>
    <w:rsid w:val="00B861AD"/>
    <w:rsid w:val="00B95DAB"/>
    <w:rsid w:val="00B96114"/>
    <w:rsid w:val="00BC0C0A"/>
    <w:rsid w:val="00C06F92"/>
    <w:rsid w:val="00C10CB8"/>
    <w:rsid w:val="00C2649E"/>
    <w:rsid w:val="00C278C8"/>
    <w:rsid w:val="00C30A9F"/>
    <w:rsid w:val="00C356D9"/>
    <w:rsid w:val="00C572C9"/>
    <w:rsid w:val="00C85C34"/>
    <w:rsid w:val="00C94C61"/>
    <w:rsid w:val="00CA28AB"/>
    <w:rsid w:val="00CB4091"/>
    <w:rsid w:val="00CB7057"/>
    <w:rsid w:val="00CC3715"/>
    <w:rsid w:val="00CE3CB6"/>
    <w:rsid w:val="00CE3D69"/>
    <w:rsid w:val="00CF69C8"/>
    <w:rsid w:val="00D0300C"/>
    <w:rsid w:val="00D17D5D"/>
    <w:rsid w:val="00D27F1C"/>
    <w:rsid w:val="00D508D3"/>
    <w:rsid w:val="00D73A44"/>
    <w:rsid w:val="00DB1BBA"/>
    <w:rsid w:val="00DC492A"/>
    <w:rsid w:val="00DD3467"/>
    <w:rsid w:val="00DE6EA1"/>
    <w:rsid w:val="00DF490B"/>
    <w:rsid w:val="00E04474"/>
    <w:rsid w:val="00E136FC"/>
    <w:rsid w:val="00E20A60"/>
    <w:rsid w:val="00E253DA"/>
    <w:rsid w:val="00E34208"/>
    <w:rsid w:val="00E3649B"/>
    <w:rsid w:val="00E53DE9"/>
    <w:rsid w:val="00E5649B"/>
    <w:rsid w:val="00E60064"/>
    <w:rsid w:val="00E63A49"/>
    <w:rsid w:val="00E64EE3"/>
    <w:rsid w:val="00E76454"/>
    <w:rsid w:val="00EA6EFE"/>
    <w:rsid w:val="00EB261C"/>
    <w:rsid w:val="00EB4D1B"/>
    <w:rsid w:val="00EE56A9"/>
    <w:rsid w:val="00EF2D29"/>
    <w:rsid w:val="00EF330D"/>
    <w:rsid w:val="00EF48BD"/>
    <w:rsid w:val="00F01BBC"/>
    <w:rsid w:val="00F2789A"/>
    <w:rsid w:val="00F51860"/>
    <w:rsid w:val="00F531DF"/>
    <w:rsid w:val="00F55C3D"/>
    <w:rsid w:val="00F665F1"/>
    <w:rsid w:val="00F753B8"/>
    <w:rsid w:val="00F826BC"/>
    <w:rsid w:val="00F90D31"/>
    <w:rsid w:val="00FA4B91"/>
    <w:rsid w:val="00FC45FB"/>
    <w:rsid w:val="00FC5687"/>
    <w:rsid w:val="00FE264D"/>
    <w:rsid w:val="00FE65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7AF76"/>
  <w15:chartTrackingRefBased/>
  <w15:docId w15:val="{80B5B4F9-D10C-4E06-8DF1-EBE85281C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2">
    <w:name w:val="heading 2"/>
    <w:basedOn w:val="Parasts"/>
    <w:next w:val="Pamatteksts"/>
    <w:link w:val="Virsraksts2Rakstz"/>
    <w:qFormat/>
    <w:rsid w:val="00E64EE3"/>
    <w:pPr>
      <w:keepLines/>
      <w:numPr>
        <w:ilvl w:val="1"/>
        <w:numId w:val="3"/>
      </w:numPr>
      <w:suppressAutoHyphens/>
      <w:spacing w:after="0" w:line="240" w:lineRule="auto"/>
      <w:jc w:val="both"/>
      <w:outlineLvl w:val="1"/>
    </w:pPr>
    <w:rPr>
      <w:rFonts w:ascii="Times New Roman" w:eastAsia="Calibri" w:hAnsi="Times New Roman" w:cs="Times New Roman"/>
      <w:color w:val="000000"/>
      <w:sz w:val="24"/>
      <w:szCs w:val="24"/>
      <w:lang w:val="x-none" w:eastAsia="zh-CN"/>
      <w14:ligatures w14:val="standardContextual"/>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styleId="Sarakstarindkopa">
    <w:name w:val="List Paragraph"/>
    <w:basedOn w:val="Parasts"/>
    <w:uiPriority w:val="34"/>
    <w:qFormat/>
    <w:rsid w:val="00E64EE3"/>
    <w:pPr>
      <w:ind w:left="720"/>
      <w:contextualSpacing/>
    </w:pPr>
    <w:rPr>
      <w14:ligatures w14:val="standardContextual"/>
    </w:rPr>
  </w:style>
  <w:style w:type="character" w:styleId="Komentraatsauce">
    <w:name w:val="annotation reference"/>
    <w:basedOn w:val="Noklusjumarindkopasfonts"/>
    <w:uiPriority w:val="99"/>
    <w:semiHidden/>
    <w:unhideWhenUsed/>
    <w:rsid w:val="00E64EE3"/>
    <w:rPr>
      <w:sz w:val="16"/>
      <w:szCs w:val="16"/>
    </w:rPr>
  </w:style>
  <w:style w:type="paragraph" w:styleId="Komentrateksts">
    <w:name w:val="annotation text"/>
    <w:basedOn w:val="Parasts"/>
    <w:link w:val="KomentratekstsRakstz"/>
    <w:uiPriority w:val="99"/>
    <w:unhideWhenUsed/>
    <w:rsid w:val="00E64EE3"/>
    <w:pPr>
      <w:spacing w:line="240" w:lineRule="auto"/>
    </w:pPr>
    <w:rPr>
      <w:sz w:val="20"/>
      <w:szCs w:val="20"/>
    </w:rPr>
  </w:style>
  <w:style w:type="character" w:customStyle="1" w:styleId="KomentratekstsRakstz">
    <w:name w:val="Komentāra teksts Rakstz."/>
    <w:basedOn w:val="Noklusjumarindkopasfonts"/>
    <w:link w:val="Komentrateksts"/>
    <w:uiPriority w:val="99"/>
    <w:rsid w:val="00E64EE3"/>
    <w:rPr>
      <w:sz w:val="20"/>
      <w:szCs w:val="20"/>
    </w:rPr>
  </w:style>
  <w:style w:type="paragraph" w:styleId="Komentratma">
    <w:name w:val="annotation subject"/>
    <w:basedOn w:val="Komentrateksts"/>
    <w:next w:val="Komentrateksts"/>
    <w:link w:val="KomentratmaRakstz"/>
    <w:uiPriority w:val="99"/>
    <w:semiHidden/>
    <w:unhideWhenUsed/>
    <w:rsid w:val="00E64EE3"/>
    <w:rPr>
      <w:b/>
      <w:bCs/>
    </w:rPr>
  </w:style>
  <w:style w:type="character" w:customStyle="1" w:styleId="KomentratmaRakstz">
    <w:name w:val="Komentāra tēma Rakstz."/>
    <w:basedOn w:val="KomentratekstsRakstz"/>
    <w:link w:val="Komentratma"/>
    <w:uiPriority w:val="99"/>
    <w:semiHidden/>
    <w:rsid w:val="00E64EE3"/>
    <w:rPr>
      <w:b/>
      <w:bCs/>
      <w:sz w:val="20"/>
      <w:szCs w:val="20"/>
    </w:rPr>
  </w:style>
  <w:style w:type="character" w:customStyle="1" w:styleId="Virsraksts2Rakstz">
    <w:name w:val="Virsraksts 2 Rakstz."/>
    <w:basedOn w:val="Noklusjumarindkopasfonts"/>
    <w:link w:val="Virsraksts2"/>
    <w:rsid w:val="00E64EE3"/>
    <w:rPr>
      <w:rFonts w:ascii="Times New Roman" w:eastAsia="Calibri" w:hAnsi="Times New Roman" w:cs="Times New Roman"/>
      <w:color w:val="000000"/>
      <w:sz w:val="24"/>
      <w:szCs w:val="24"/>
      <w:lang w:val="x-none" w:eastAsia="zh-CN"/>
      <w14:ligatures w14:val="standardContextual"/>
    </w:rPr>
  </w:style>
  <w:style w:type="paragraph" w:styleId="Pamatteksts">
    <w:name w:val="Body Text"/>
    <w:basedOn w:val="Parasts"/>
    <w:link w:val="PamattekstsRakstz"/>
    <w:uiPriority w:val="99"/>
    <w:semiHidden/>
    <w:unhideWhenUsed/>
    <w:rsid w:val="00E64EE3"/>
    <w:pPr>
      <w:spacing w:after="120"/>
    </w:pPr>
  </w:style>
  <w:style w:type="character" w:customStyle="1" w:styleId="PamattekstsRakstz">
    <w:name w:val="Pamatteksts Rakstz."/>
    <w:basedOn w:val="Noklusjumarindkopasfonts"/>
    <w:link w:val="Pamatteksts"/>
    <w:uiPriority w:val="99"/>
    <w:semiHidden/>
    <w:rsid w:val="00E64EE3"/>
  </w:style>
  <w:style w:type="character" w:styleId="Hipersaite">
    <w:name w:val="Hyperlink"/>
    <w:basedOn w:val="Noklusjumarindkopasfonts"/>
    <w:uiPriority w:val="99"/>
    <w:unhideWhenUsed/>
    <w:rsid w:val="009122C0"/>
    <w:rPr>
      <w:color w:val="0563C1" w:themeColor="hyperlink"/>
      <w:u w:val="single"/>
    </w:rPr>
  </w:style>
  <w:style w:type="character" w:styleId="Neatrisintapieminana">
    <w:name w:val="Unresolved Mention"/>
    <w:basedOn w:val="Noklusjumarindkopasfonts"/>
    <w:uiPriority w:val="99"/>
    <w:semiHidden/>
    <w:unhideWhenUsed/>
    <w:rsid w:val="009122C0"/>
    <w:rPr>
      <w:color w:val="605E5C"/>
      <w:shd w:val="clear" w:color="auto" w:fill="E1DFDD"/>
    </w:rPr>
  </w:style>
  <w:style w:type="table" w:styleId="Reatabula">
    <w:name w:val="Table Grid"/>
    <w:basedOn w:val="Parastatabula"/>
    <w:uiPriority w:val="39"/>
    <w:rsid w:val="000A6CFE"/>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oklusjumarindkopasfonts"/>
    <w:rsid w:val="000A6CFE"/>
    <w:rPr>
      <w:rFonts w:ascii="Segoe UI" w:hAnsi="Segoe UI" w:cs="Segoe UI" w:hint="default"/>
      <w:color w:val="333333"/>
      <w:sz w:val="18"/>
      <w:szCs w:val="18"/>
    </w:rPr>
  </w:style>
  <w:style w:type="paragraph" w:styleId="Prskatjums">
    <w:name w:val="Revision"/>
    <w:hidden/>
    <w:uiPriority w:val="99"/>
    <w:semiHidden/>
    <w:rsid w:val="00273A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48462565">
      <w:bodyDiv w:val="1"/>
      <w:marLeft w:val="0"/>
      <w:marRight w:val="0"/>
      <w:marTop w:val="0"/>
      <w:marBottom w:val="0"/>
      <w:divBdr>
        <w:top w:val="none" w:sz="0" w:space="0" w:color="auto"/>
        <w:left w:val="none" w:sz="0" w:space="0" w:color="auto"/>
        <w:bottom w:val="none" w:sz="0" w:space="0" w:color="auto"/>
        <w:right w:val="none" w:sz="0" w:space="0" w:color="auto"/>
      </w:divBdr>
    </w:div>
    <w:div w:id="95979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dir/2006/43/oj/?locale=LV" TargetMode="External"/><Relationship Id="rId18" Type="http://schemas.openxmlformats.org/officeDocument/2006/relationships/hyperlink" Target="http://eur-lex.europa.eu/eli/dir/2013/34/oj/?locale=LV" TargetMode="External"/><Relationship Id="rId26" Type="http://schemas.openxmlformats.org/officeDocument/2006/relationships/hyperlink" Target="http://eur-lex.europa.eu/eli/dir/2013/34/oj/?locale=LV" TargetMode="External"/><Relationship Id="rId3" Type="http://schemas.openxmlformats.org/officeDocument/2006/relationships/customXml" Target="../customXml/item3.xml"/><Relationship Id="rId21" Type="http://schemas.openxmlformats.org/officeDocument/2006/relationships/hyperlink" Target="http://eur-lex.europa.eu/eli/dir/2013/34/oj/?locale=LV" TargetMode="External"/><Relationship Id="rId7" Type="http://schemas.openxmlformats.org/officeDocument/2006/relationships/settings" Target="settings.xml"/><Relationship Id="rId12" Type="http://schemas.openxmlformats.org/officeDocument/2006/relationships/hyperlink" Target="http://eur-lex.europa.eu/eli/dir/2013/34/oj/?locale=LV" TargetMode="External"/><Relationship Id="rId17" Type="http://schemas.openxmlformats.org/officeDocument/2006/relationships/hyperlink" Target="http://eur-lex.europa.eu/eli/dir/2013/34/oj/?locale=LV" TargetMode="External"/><Relationship Id="rId25" Type="http://schemas.openxmlformats.org/officeDocument/2006/relationships/hyperlink" Target="http://eur-lex.europa.eu/eli/dir/2013/34/oj/?locale=LV" TargetMode="External"/><Relationship Id="rId2" Type="http://schemas.openxmlformats.org/officeDocument/2006/relationships/customXml" Target="../customXml/item2.xml"/><Relationship Id="rId16" Type="http://schemas.openxmlformats.org/officeDocument/2006/relationships/hyperlink" Target="http://eur-lex.europa.eu/eli/dir/2013/34/oj/?locale=LV" TargetMode="External"/><Relationship Id="rId20" Type="http://schemas.openxmlformats.org/officeDocument/2006/relationships/hyperlink" Target="http://eur-lex.europa.eu/eli/dir/2013/34/oj/?locale=LV" TargetMode="External"/><Relationship Id="rId29" Type="http://schemas.openxmlformats.org/officeDocument/2006/relationships/hyperlink" Target="http://eur-lex.europa.eu/eli/dir/2013/34/oj/?locale=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ur-lex.europa.eu/eli/dir/2013/34/oj/?locale=LV" TargetMode="External"/><Relationship Id="rId5" Type="http://schemas.openxmlformats.org/officeDocument/2006/relationships/numbering" Target="numbering.xml"/><Relationship Id="rId15" Type="http://schemas.openxmlformats.org/officeDocument/2006/relationships/hyperlink" Target="http://eur-lex.europa.eu/eli/dir/1983/349/oj/?locale=LV" TargetMode="External"/><Relationship Id="rId23" Type="http://schemas.openxmlformats.org/officeDocument/2006/relationships/hyperlink" Target="http://eur-lex.europa.eu/eli/dir/2013/34/oj/?locale=LV" TargetMode="External"/><Relationship Id="rId28" Type="http://schemas.openxmlformats.org/officeDocument/2006/relationships/hyperlink" Target="http://eur-lex.europa.eu/eli/dir/2013/34/oj/?locale=LV" TargetMode="External"/><Relationship Id="rId10" Type="http://schemas.openxmlformats.org/officeDocument/2006/relationships/endnotes" Target="endnotes.xml"/><Relationship Id="rId19" Type="http://schemas.openxmlformats.org/officeDocument/2006/relationships/hyperlink" Target="http://eur-lex.europa.eu/eli/dir/2013/34/oj/?locale=LV"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dir/1978/660/oj/?locale=LV" TargetMode="External"/><Relationship Id="rId22" Type="http://schemas.openxmlformats.org/officeDocument/2006/relationships/hyperlink" Target="http://eur-lex.europa.eu/eli/dir/2013/34/oj/?locale=LV" TargetMode="External"/><Relationship Id="rId27" Type="http://schemas.openxmlformats.org/officeDocument/2006/relationships/hyperlink" Target="http://eur-lex.europa.eu/eli/dir/2013/34/oj/?locale=L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ANA_ANOTACIJA.dotx</Template>
  <TotalTime>2</TotalTime>
  <Pages>12</Pages>
  <Words>13535</Words>
  <Characters>7716</Characters>
  <Application>Microsoft Office Word</Application>
  <DocSecurity>0</DocSecurity>
  <Lines>64</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Grava</dc:creator>
  <cp:keywords/>
  <dc:description/>
  <cp:lastModifiedBy>Sarmīte Glāzere</cp:lastModifiedBy>
  <cp:revision>2</cp:revision>
  <dcterms:created xsi:type="dcterms:W3CDTF">2024-10-28T09:24:00Z</dcterms:created>
  <dcterms:modified xsi:type="dcterms:W3CDTF">2024-10-28T09:24:00Z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