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A3998" w14:textId="690A725E" w:rsidR="003B481B" w:rsidRPr="000B4E0A" w:rsidRDefault="00CA28AB" w:rsidP="00B75A54">
      <w:pPr>
        <w:spacing w:after="0" w:line="240" w:lineRule="auto"/>
        <w:jc w:val="center"/>
        <w:rPr>
          <w:rFonts w:ascii="Times New Roman" w:hAnsi="Times New Roman" w:cs="Times New Roman"/>
          <w:sz w:val="24"/>
          <w:szCs w:val="24"/>
        </w:rPr>
      </w:pPr>
      <w:r w:rsidRPr="00CA28AB">
        <w:rPr>
          <w:rFonts w:ascii="Times New Roman" w:hAnsi="Times New Roman" w:cs="Times New Roman"/>
          <w:b/>
          <w:bCs/>
          <w:sz w:val="24"/>
          <w:szCs w:val="24"/>
        </w:rPr>
        <w:t xml:space="preserve">Latvijas Bankas noteikumu projekta </w:t>
      </w:r>
      <w:r w:rsidR="001F3BDD">
        <w:rPr>
          <w:rFonts w:ascii="Times New Roman" w:hAnsi="Times New Roman" w:cs="Times New Roman"/>
          <w:b/>
          <w:bCs/>
          <w:sz w:val="24"/>
          <w:szCs w:val="24"/>
        </w:rPr>
        <w:t>"</w:t>
      </w:r>
      <w:r w:rsidR="00EE0D14" w:rsidRPr="00EE0D14">
        <w:rPr>
          <w:rFonts w:ascii="Times New Roman" w:hAnsi="Times New Roman" w:cs="Times New Roman"/>
          <w:b/>
          <w:bCs/>
          <w:sz w:val="24"/>
          <w:szCs w:val="24"/>
        </w:rPr>
        <w:t>Atļaujas izmantot kapitāla prasību aprēķinā iekšējos modeļus, pieejas un metodes saņemšanas noteikumi</w:t>
      </w:r>
      <w:r w:rsidR="001F3BDD">
        <w:rPr>
          <w:rFonts w:ascii="Times New Roman" w:hAnsi="Times New Roman" w:cs="Times New Roman"/>
          <w:b/>
          <w:bCs/>
          <w:sz w:val="24"/>
          <w:szCs w:val="24"/>
        </w:rPr>
        <w:t>"</w:t>
      </w:r>
      <w:r w:rsidR="003B481B" w:rsidRPr="00CA28AB">
        <w:rPr>
          <w:rFonts w:ascii="Times New Roman" w:hAnsi="Times New Roman" w:cs="Times New Roman"/>
          <w:b/>
          <w:bCs/>
          <w:sz w:val="24"/>
          <w:szCs w:val="24"/>
        </w:rPr>
        <w:t xml:space="preserve"> anotācija</w:t>
      </w:r>
    </w:p>
    <w:p w14:paraId="17C0462D" w14:textId="77777777" w:rsidR="003B481B" w:rsidRPr="000B4E0A" w:rsidRDefault="003B481B" w:rsidP="0049248A">
      <w:pPr>
        <w:spacing w:after="0" w:line="240" w:lineRule="auto"/>
        <w:rPr>
          <w:rFonts w:ascii="Times New Roman" w:hAnsi="Times New Roman" w:cs="Times New Roman"/>
          <w:sz w:val="24"/>
          <w:szCs w:val="24"/>
        </w:rPr>
      </w:pPr>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7088"/>
      </w:tblGrid>
      <w:tr w:rsidR="000B4E0A" w:rsidRPr="000B4E0A" w14:paraId="1B283FB8" w14:textId="77777777" w:rsidTr="00812985">
        <w:trPr>
          <w:trHeight w:val="567"/>
        </w:trPr>
        <w:tc>
          <w:tcPr>
            <w:tcW w:w="1210" w:type="pct"/>
            <w:shd w:val="clear" w:color="auto" w:fill="auto"/>
            <w:hideMark/>
          </w:tcPr>
          <w:p w14:paraId="4650EA8A"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294280D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90" w:type="pct"/>
            <w:shd w:val="clear" w:color="auto" w:fill="auto"/>
          </w:tcPr>
          <w:p w14:paraId="775536E7" w14:textId="6E62ECC8" w:rsidR="00E53DE9" w:rsidRPr="00AB107B" w:rsidRDefault="00EE0D14" w:rsidP="00EA1AC6">
            <w:pPr>
              <w:spacing w:after="120" w:line="240" w:lineRule="auto"/>
              <w:jc w:val="both"/>
              <w:rPr>
                <w:rFonts w:ascii="Times New Roman" w:eastAsia="Times New Roman" w:hAnsi="Times New Roman" w:cs="Times New Roman"/>
                <w:sz w:val="24"/>
                <w:szCs w:val="24"/>
                <w:lang w:eastAsia="lv-LV"/>
              </w:rPr>
            </w:pPr>
            <w:r w:rsidRPr="00EE0D14">
              <w:rPr>
                <w:rFonts w:ascii="Times New Roman" w:eastAsia="Times New Roman" w:hAnsi="Times New Roman" w:cs="Times New Roman"/>
                <w:sz w:val="24"/>
                <w:szCs w:val="24"/>
                <w:lang w:eastAsia="lv-LV"/>
              </w:rPr>
              <w:t>Atļaujas izmantot kapitāla prasību aprēķinā iekšējos modeļus, pieejas un metodes saņemšanas noteikumi</w:t>
            </w:r>
            <w:r w:rsidR="00D16C76">
              <w:rPr>
                <w:rFonts w:ascii="Times New Roman" w:eastAsia="Times New Roman" w:hAnsi="Times New Roman" w:cs="Times New Roman"/>
                <w:sz w:val="24"/>
                <w:szCs w:val="24"/>
                <w:lang w:eastAsia="lv-LV"/>
              </w:rPr>
              <w:t xml:space="preserve"> (turpmāk – Noteikumu projekts)</w:t>
            </w:r>
          </w:p>
        </w:tc>
      </w:tr>
      <w:tr w:rsidR="00AB107B" w:rsidRPr="000B4E0A" w14:paraId="39384EAA" w14:textId="77777777" w:rsidTr="00812985">
        <w:trPr>
          <w:trHeight w:val="567"/>
        </w:trPr>
        <w:tc>
          <w:tcPr>
            <w:tcW w:w="1210" w:type="pct"/>
            <w:shd w:val="clear" w:color="auto" w:fill="auto"/>
            <w:hideMark/>
          </w:tcPr>
          <w:p w14:paraId="00265ED7" w14:textId="0E8A7A78" w:rsidR="00AB107B" w:rsidRPr="00E253DA" w:rsidRDefault="00AB107B" w:rsidP="00AB107B">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tc>
        <w:tc>
          <w:tcPr>
            <w:tcW w:w="3790" w:type="pct"/>
            <w:shd w:val="clear" w:color="auto" w:fill="auto"/>
          </w:tcPr>
          <w:p w14:paraId="5B1113FA" w14:textId="64229FF4" w:rsidR="00AB107B" w:rsidRPr="00AB107B" w:rsidRDefault="00AB107B" w:rsidP="00EA1AC6">
            <w:pPr>
              <w:spacing w:after="120" w:line="240" w:lineRule="auto"/>
              <w:jc w:val="both"/>
              <w:rPr>
                <w:rFonts w:ascii="Times New Roman" w:eastAsia="Times New Roman" w:hAnsi="Times New Roman" w:cs="Times New Roman"/>
                <w:sz w:val="24"/>
                <w:szCs w:val="24"/>
                <w:lang w:eastAsia="lv-LV"/>
              </w:rPr>
            </w:pPr>
            <w:r w:rsidRPr="00AB107B">
              <w:rPr>
                <w:rFonts w:ascii="Times New Roman" w:hAnsi="Times New Roman" w:cs="Times New Roman"/>
                <w:sz w:val="24"/>
                <w:szCs w:val="24"/>
              </w:rPr>
              <w:t>Latvijas Bankas noteikumi</w:t>
            </w:r>
          </w:p>
        </w:tc>
      </w:tr>
      <w:tr w:rsidR="00AB107B" w:rsidRPr="000B4E0A" w14:paraId="035D2BE3" w14:textId="77777777" w:rsidTr="00812985">
        <w:trPr>
          <w:trHeight w:val="567"/>
        </w:trPr>
        <w:tc>
          <w:tcPr>
            <w:tcW w:w="1210" w:type="pct"/>
            <w:shd w:val="clear" w:color="auto" w:fill="auto"/>
            <w:hideMark/>
          </w:tcPr>
          <w:p w14:paraId="402EA6C0" w14:textId="77777777" w:rsidR="00AB107B" w:rsidRPr="00E253DA" w:rsidRDefault="00AB107B" w:rsidP="00AB107B">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58BFE92B" w14:textId="77777777" w:rsidR="00AB107B" w:rsidRPr="00E253DA" w:rsidRDefault="00AB107B" w:rsidP="00AB107B">
            <w:pPr>
              <w:spacing w:after="0" w:line="240" w:lineRule="auto"/>
              <w:rPr>
                <w:rFonts w:ascii="Times New Roman" w:eastAsia="Times New Roman" w:hAnsi="Times New Roman" w:cs="Times New Roman"/>
                <w:b/>
                <w:bCs/>
                <w:sz w:val="24"/>
                <w:szCs w:val="24"/>
                <w:lang w:eastAsia="lv-LV"/>
              </w:rPr>
            </w:pPr>
          </w:p>
        </w:tc>
        <w:tc>
          <w:tcPr>
            <w:tcW w:w="3790" w:type="pct"/>
            <w:shd w:val="clear" w:color="auto" w:fill="auto"/>
          </w:tcPr>
          <w:p w14:paraId="5560F328" w14:textId="5CE83F3D" w:rsidR="000308E6" w:rsidRPr="00AB107B" w:rsidRDefault="00AB107B" w:rsidP="00B75A54">
            <w:pPr>
              <w:spacing w:after="120" w:line="240" w:lineRule="auto"/>
              <w:jc w:val="both"/>
              <w:rPr>
                <w:rFonts w:ascii="Times New Roman" w:eastAsia="Times New Roman" w:hAnsi="Times New Roman" w:cs="Times New Roman"/>
                <w:sz w:val="24"/>
                <w:szCs w:val="24"/>
                <w:lang w:eastAsia="lv-LV"/>
              </w:rPr>
            </w:pPr>
            <w:r w:rsidRPr="00AB107B">
              <w:rPr>
                <w:rFonts w:ascii="Times New Roman" w:hAnsi="Times New Roman" w:cs="Times New Roman"/>
                <w:sz w:val="24"/>
                <w:szCs w:val="24"/>
              </w:rPr>
              <w:t xml:space="preserve">Kredītiestāžu likuma </w:t>
            </w:r>
            <w:r w:rsidR="00EE0D14" w:rsidRPr="00EE0D14">
              <w:rPr>
                <w:rFonts w:ascii="Times New Roman" w:hAnsi="Times New Roman" w:cs="Times New Roman"/>
                <w:sz w:val="24"/>
                <w:szCs w:val="24"/>
              </w:rPr>
              <w:t>50.</w:t>
            </w:r>
            <w:r w:rsidR="004C329A">
              <w:rPr>
                <w:rFonts w:ascii="Times New Roman" w:hAnsi="Times New Roman" w:cs="Times New Roman"/>
                <w:sz w:val="24"/>
                <w:szCs w:val="24"/>
              </w:rPr>
              <w:t> </w:t>
            </w:r>
            <w:r w:rsidR="00EE0D14" w:rsidRPr="00EE0D14">
              <w:rPr>
                <w:rFonts w:ascii="Times New Roman" w:hAnsi="Times New Roman" w:cs="Times New Roman"/>
                <w:sz w:val="24"/>
                <w:szCs w:val="24"/>
              </w:rPr>
              <w:t>panta treš</w:t>
            </w:r>
            <w:r w:rsidR="009F2C2B">
              <w:rPr>
                <w:rFonts w:ascii="Times New Roman" w:hAnsi="Times New Roman" w:cs="Times New Roman"/>
                <w:sz w:val="24"/>
                <w:szCs w:val="24"/>
              </w:rPr>
              <w:t>ā</w:t>
            </w:r>
            <w:r w:rsidR="00EE0D14" w:rsidRPr="00EE0D14">
              <w:rPr>
                <w:rFonts w:ascii="Times New Roman" w:hAnsi="Times New Roman" w:cs="Times New Roman"/>
                <w:sz w:val="24"/>
                <w:szCs w:val="24"/>
              </w:rPr>
              <w:t xml:space="preserve"> daļ</w:t>
            </w:r>
            <w:r w:rsidR="009F2C2B">
              <w:rPr>
                <w:rFonts w:ascii="Times New Roman" w:hAnsi="Times New Roman" w:cs="Times New Roman"/>
                <w:sz w:val="24"/>
                <w:szCs w:val="24"/>
              </w:rPr>
              <w:t>a</w:t>
            </w:r>
            <w:r w:rsidR="00B75A54">
              <w:rPr>
                <w:rFonts w:ascii="Times New Roman" w:hAnsi="Times New Roman" w:cs="Times New Roman"/>
                <w:sz w:val="24"/>
                <w:szCs w:val="24"/>
              </w:rPr>
              <w:t xml:space="preserve"> un </w:t>
            </w:r>
            <w:r w:rsidR="000308E6">
              <w:rPr>
                <w:rFonts w:ascii="Times New Roman" w:eastAsia="Times New Roman" w:hAnsi="Times New Roman" w:cs="Times New Roman"/>
                <w:sz w:val="24"/>
                <w:szCs w:val="24"/>
                <w:lang w:eastAsia="lv-LV"/>
              </w:rPr>
              <w:t>Latvijas Bankas likuma pārejas noteikumu 3. punkts</w:t>
            </w:r>
          </w:p>
        </w:tc>
      </w:tr>
      <w:tr w:rsidR="000B4E0A" w:rsidRPr="000B4E0A" w14:paraId="2D46A2F5" w14:textId="77777777" w:rsidTr="00812985">
        <w:trPr>
          <w:trHeight w:val="567"/>
        </w:trPr>
        <w:tc>
          <w:tcPr>
            <w:tcW w:w="1210" w:type="pct"/>
            <w:shd w:val="clear" w:color="auto" w:fill="auto"/>
            <w:hideMark/>
          </w:tcPr>
          <w:p w14:paraId="28695B97"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CEB653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90" w:type="pct"/>
            <w:shd w:val="clear" w:color="auto" w:fill="auto"/>
          </w:tcPr>
          <w:p w14:paraId="43F37328" w14:textId="77777777" w:rsidR="00CE174C" w:rsidRPr="002C12BF" w:rsidRDefault="00CE174C" w:rsidP="00EA1AC6">
            <w:pPr>
              <w:spacing w:after="120" w:line="240" w:lineRule="auto"/>
              <w:jc w:val="both"/>
              <w:rPr>
                <w:rFonts w:ascii="Times New Roman" w:hAnsi="Times New Roman" w:cs="Times New Roman"/>
                <w:sz w:val="24"/>
                <w:szCs w:val="24"/>
              </w:rPr>
            </w:pPr>
            <w:r w:rsidRPr="002C12BF">
              <w:rPr>
                <w:rFonts w:ascii="Times New Roman" w:hAnsi="Times New Roman" w:cs="Times New Roman"/>
                <w:sz w:val="24"/>
                <w:szCs w:val="24"/>
              </w:rPr>
              <w:t>Saskaņā ar Latvijas Bankas likuma pārejas noteikumu 3.</w:t>
            </w:r>
            <w:r>
              <w:rPr>
                <w:rFonts w:ascii="Times New Roman" w:hAnsi="Times New Roman" w:cs="Times New Roman"/>
                <w:sz w:val="24"/>
                <w:szCs w:val="24"/>
              </w:rPr>
              <w:t> </w:t>
            </w:r>
            <w:r w:rsidRPr="002C12BF">
              <w:rPr>
                <w:rFonts w:ascii="Times New Roman" w:hAnsi="Times New Roman" w:cs="Times New Roman"/>
                <w:sz w:val="24"/>
                <w:szCs w:val="24"/>
              </w:rPr>
              <w:t>punktu Latvijas Bankas un Finanšu un kapitāla tirgus komisijas līdz Latvijas Bankas likuma spēkā stāšanās dienai izdotie ārējie normatīvie akti, vadlīnijas un ieteikumi piemērojami līdz dienai, kad stājas spēkā attiecīgie Latvijas Bankas ārējie normatīvie akti, vadlīnijas vai ieteikumi, bet ne ilgāk kā līdz 2024.</w:t>
            </w:r>
            <w:r>
              <w:rPr>
                <w:rFonts w:ascii="Times New Roman" w:hAnsi="Times New Roman" w:cs="Times New Roman"/>
                <w:sz w:val="24"/>
                <w:szCs w:val="24"/>
              </w:rPr>
              <w:t> </w:t>
            </w:r>
            <w:r w:rsidRPr="002C12BF">
              <w:rPr>
                <w:rFonts w:ascii="Times New Roman" w:hAnsi="Times New Roman" w:cs="Times New Roman"/>
                <w:sz w:val="24"/>
                <w:szCs w:val="24"/>
              </w:rPr>
              <w:t>gada 31.</w:t>
            </w:r>
            <w:r>
              <w:rPr>
                <w:rFonts w:ascii="Times New Roman" w:hAnsi="Times New Roman" w:cs="Times New Roman"/>
                <w:sz w:val="24"/>
                <w:szCs w:val="24"/>
              </w:rPr>
              <w:t> </w:t>
            </w:r>
            <w:r w:rsidRPr="002C12BF">
              <w:rPr>
                <w:rFonts w:ascii="Times New Roman" w:hAnsi="Times New Roman" w:cs="Times New Roman"/>
                <w:sz w:val="24"/>
                <w:szCs w:val="24"/>
              </w:rPr>
              <w:t>decembrim.</w:t>
            </w:r>
          </w:p>
          <w:p w14:paraId="12D5086C" w14:textId="3176E936" w:rsidR="006907E2" w:rsidRDefault="00CE174C" w:rsidP="00EA1AC6">
            <w:pPr>
              <w:spacing w:after="120" w:line="240" w:lineRule="auto"/>
              <w:jc w:val="both"/>
              <w:rPr>
                <w:rFonts w:ascii="Times New Roman" w:eastAsia="Times New Roman" w:hAnsi="Times New Roman" w:cs="Times New Roman"/>
                <w:sz w:val="24"/>
                <w:szCs w:val="24"/>
                <w:lang w:eastAsia="lv-LV"/>
              </w:rPr>
            </w:pPr>
            <w:r w:rsidRPr="002C12BF">
              <w:rPr>
                <w:rFonts w:ascii="Times New Roman" w:hAnsi="Times New Roman" w:cs="Times New Roman"/>
                <w:sz w:val="24"/>
                <w:szCs w:val="24"/>
              </w:rPr>
              <w:t xml:space="preserve">Ņemot vērā minēto, Latvijas Banka ir izstrādājusi </w:t>
            </w:r>
            <w:r w:rsidR="00D16C76">
              <w:rPr>
                <w:rFonts w:ascii="Times New Roman" w:hAnsi="Times New Roman" w:cs="Times New Roman"/>
                <w:sz w:val="24"/>
                <w:szCs w:val="24"/>
              </w:rPr>
              <w:t>N</w:t>
            </w:r>
            <w:r w:rsidRPr="002C12BF">
              <w:rPr>
                <w:rFonts w:ascii="Times New Roman" w:hAnsi="Times New Roman" w:cs="Times New Roman"/>
                <w:sz w:val="24"/>
                <w:szCs w:val="24"/>
              </w:rPr>
              <w:t>oteikumu projektu, kas aizstās</w:t>
            </w:r>
            <w:r w:rsidR="00EE0D14">
              <w:rPr>
                <w:rFonts w:ascii="Times New Roman" w:hAnsi="Times New Roman" w:cs="Times New Roman"/>
                <w:sz w:val="24"/>
                <w:szCs w:val="24"/>
              </w:rPr>
              <w:t xml:space="preserve"> </w:t>
            </w:r>
            <w:r w:rsidRPr="00856F8D">
              <w:rPr>
                <w:rFonts w:ascii="Times New Roman" w:hAnsi="Times New Roman" w:cs="Times New Roman"/>
                <w:sz w:val="24"/>
                <w:szCs w:val="24"/>
              </w:rPr>
              <w:t xml:space="preserve">Finanšu un kapitāla tirgus komisijas </w:t>
            </w:r>
            <w:r w:rsidR="0097774C">
              <w:rPr>
                <w:rFonts w:ascii="Times New Roman" w:eastAsia="Times New Roman" w:hAnsi="Times New Roman" w:cs="Times New Roman"/>
                <w:sz w:val="24"/>
                <w:szCs w:val="24"/>
                <w:lang w:eastAsia="lv-LV"/>
              </w:rPr>
              <w:t xml:space="preserve">2020. gada </w:t>
            </w:r>
            <w:r w:rsidR="006907E2">
              <w:rPr>
                <w:rFonts w:ascii="Times New Roman" w:eastAsia="Times New Roman" w:hAnsi="Times New Roman" w:cs="Times New Roman"/>
                <w:sz w:val="24"/>
                <w:szCs w:val="24"/>
                <w:lang w:eastAsia="lv-LV"/>
              </w:rPr>
              <w:t>22</w:t>
            </w:r>
            <w:r w:rsidR="0097774C">
              <w:rPr>
                <w:rFonts w:ascii="Times New Roman" w:eastAsia="Times New Roman" w:hAnsi="Times New Roman" w:cs="Times New Roman"/>
                <w:sz w:val="24"/>
                <w:szCs w:val="24"/>
                <w:lang w:eastAsia="lv-LV"/>
              </w:rPr>
              <w:t>. </w:t>
            </w:r>
            <w:r w:rsidR="006907E2">
              <w:rPr>
                <w:rFonts w:ascii="Times New Roman" w:eastAsia="Times New Roman" w:hAnsi="Times New Roman" w:cs="Times New Roman"/>
                <w:sz w:val="24"/>
                <w:szCs w:val="24"/>
                <w:lang w:eastAsia="lv-LV"/>
              </w:rPr>
              <w:t>decembra</w:t>
            </w:r>
            <w:r w:rsidR="0097774C">
              <w:rPr>
                <w:rFonts w:ascii="Times New Roman" w:eastAsia="Times New Roman" w:hAnsi="Times New Roman" w:cs="Times New Roman"/>
                <w:sz w:val="24"/>
                <w:szCs w:val="24"/>
                <w:lang w:eastAsia="lv-LV"/>
              </w:rPr>
              <w:t xml:space="preserve"> </w:t>
            </w:r>
            <w:r w:rsidR="0097774C" w:rsidRPr="001E55E4">
              <w:rPr>
                <w:rFonts w:ascii="Times New Roman" w:eastAsia="Times New Roman" w:hAnsi="Times New Roman" w:cs="Times New Roman"/>
                <w:sz w:val="24"/>
                <w:szCs w:val="24"/>
                <w:lang w:eastAsia="lv-LV"/>
              </w:rPr>
              <w:t>normatīvos noteikum</w:t>
            </w:r>
            <w:r w:rsidR="00B803E7">
              <w:rPr>
                <w:rFonts w:ascii="Times New Roman" w:eastAsia="Times New Roman" w:hAnsi="Times New Roman" w:cs="Times New Roman"/>
                <w:sz w:val="24"/>
                <w:szCs w:val="24"/>
                <w:lang w:eastAsia="lv-LV"/>
              </w:rPr>
              <w:t>u</w:t>
            </w:r>
            <w:r w:rsidR="0097774C" w:rsidRPr="001E55E4">
              <w:rPr>
                <w:rFonts w:ascii="Times New Roman" w:eastAsia="Times New Roman" w:hAnsi="Times New Roman" w:cs="Times New Roman"/>
                <w:sz w:val="24"/>
                <w:szCs w:val="24"/>
                <w:lang w:eastAsia="lv-LV"/>
              </w:rPr>
              <w:t>s Nr.</w:t>
            </w:r>
            <w:r w:rsidR="0097774C">
              <w:rPr>
                <w:rFonts w:ascii="Times New Roman" w:eastAsia="Times New Roman" w:hAnsi="Times New Roman" w:cs="Times New Roman"/>
                <w:sz w:val="24"/>
                <w:szCs w:val="24"/>
                <w:lang w:eastAsia="lv-LV"/>
              </w:rPr>
              <w:t> </w:t>
            </w:r>
            <w:r w:rsidR="0097774C" w:rsidRPr="001E55E4">
              <w:rPr>
                <w:rFonts w:ascii="Times New Roman" w:eastAsia="Times New Roman" w:hAnsi="Times New Roman" w:cs="Times New Roman"/>
                <w:sz w:val="24"/>
                <w:szCs w:val="24"/>
                <w:lang w:eastAsia="lv-LV"/>
              </w:rPr>
              <w:t>2</w:t>
            </w:r>
            <w:r w:rsidR="006907E2">
              <w:rPr>
                <w:rFonts w:ascii="Times New Roman" w:eastAsia="Times New Roman" w:hAnsi="Times New Roman" w:cs="Times New Roman"/>
                <w:sz w:val="24"/>
                <w:szCs w:val="24"/>
                <w:lang w:eastAsia="lv-LV"/>
              </w:rPr>
              <w:t>47</w:t>
            </w:r>
            <w:r w:rsidR="0097774C">
              <w:rPr>
                <w:rFonts w:ascii="Times New Roman" w:eastAsia="Times New Roman" w:hAnsi="Times New Roman" w:cs="Times New Roman"/>
                <w:sz w:val="24"/>
                <w:szCs w:val="24"/>
                <w:lang w:eastAsia="lv-LV"/>
              </w:rPr>
              <w:t xml:space="preserve"> </w:t>
            </w:r>
            <w:r w:rsidR="0097774C" w:rsidRPr="006E4B12">
              <w:rPr>
                <w:rFonts w:ascii="Times New Roman" w:eastAsia="Times New Roman" w:hAnsi="Times New Roman" w:cs="Times New Roman"/>
                <w:sz w:val="24"/>
                <w:szCs w:val="24"/>
                <w:lang w:eastAsia="lv-LV"/>
              </w:rPr>
              <w:t>"</w:t>
            </w:r>
            <w:r w:rsidR="006907E2" w:rsidRPr="006907E2">
              <w:rPr>
                <w:rFonts w:ascii="Times New Roman" w:eastAsia="Times New Roman" w:hAnsi="Times New Roman" w:cs="Times New Roman"/>
                <w:sz w:val="24"/>
                <w:szCs w:val="24"/>
                <w:lang w:eastAsia="lv-LV"/>
              </w:rPr>
              <w:t xml:space="preserve">Atļaujas izmantot kapitāla prasību aprēķinā iekšējos modeļus, pieejas un metodes saskaņā ar Eiropas Parlamenta un Padomes </w:t>
            </w:r>
            <w:r w:rsidR="00B75A54" w:rsidRPr="006907E2">
              <w:rPr>
                <w:rFonts w:ascii="Times New Roman" w:eastAsia="Times New Roman" w:hAnsi="Times New Roman" w:cs="Times New Roman"/>
                <w:sz w:val="24"/>
                <w:szCs w:val="24"/>
                <w:lang w:eastAsia="lv-LV"/>
              </w:rPr>
              <w:t xml:space="preserve">Regulu </w:t>
            </w:r>
            <w:r w:rsidR="006907E2" w:rsidRPr="006907E2">
              <w:rPr>
                <w:rFonts w:ascii="Times New Roman" w:eastAsia="Times New Roman" w:hAnsi="Times New Roman" w:cs="Times New Roman"/>
                <w:sz w:val="24"/>
                <w:szCs w:val="24"/>
                <w:lang w:eastAsia="lv-LV"/>
              </w:rPr>
              <w:t>(ES) Nr.</w:t>
            </w:r>
            <w:r w:rsidR="004C329A">
              <w:rPr>
                <w:rFonts w:ascii="Times New Roman" w:eastAsia="Times New Roman" w:hAnsi="Times New Roman" w:cs="Times New Roman"/>
                <w:sz w:val="24"/>
                <w:szCs w:val="24"/>
                <w:lang w:eastAsia="lv-LV"/>
              </w:rPr>
              <w:t> </w:t>
            </w:r>
            <w:r w:rsidR="006907E2" w:rsidRPr="006907E2">
              <w:rPr>
                <w:rFonts w:ascii="Times New Roman" w:eastAsia="Times New Roman" w:hAnsi="Times New Roman" w:cs="Times New Roman"/>
                <w:sz w:val="24"/>
                <w:szCs w:val="24"/>
                <w:lang w:eastAsia="lv-LV"/>
              </w:rPr>
              <w:t>575/2013 (2013.</w:t>
            </w:r>
            <w:r w:rsidR="004C329A">
              <w:rPr>
                <w:rFonts w:ascii="Times New Roman" w:eastAsia="Times New Roman" w:hAnsi="Times New Roman" w:cs="Times New Roman"/>
                <w:sz w:val="24"/>
                <w:szCs w:val="24"/>
                <w:lang w:eastAsia="lv-LV"/>
              </w:rPr>
              <w:t> </w:t>
            </w:r>
            <w:r w:rsidR="006907E2" w:rsidRPr="006907E2">
              <w:rPr>
                <w:rFonts w:ascii="Times New Roman" w:eastAsia="Times New Roman" w:hAnsi="Times New Roman" w:cs="Times New Roman"/>
                <w:sz w:val="24"/>
                <w:szCs w:val="24"/>
                <w:lang w:eastAsia="lv-LV"/>
              </w:rPr>
              <w:t>gada 26.</w:t>
            </w:r>
            <w:r w:rsidR="004C329A">
              <w:rPr>
                <w:rFonts w:ascii="Times New Roman" w:eastAsia="Times New Roman" w:hAnsi="Times New Roman" w:cs="Times New Roman"/>
                <w:sz w:val="24"/>
                <w:szCs w:val="24"/>
                <w:lang w:eastAsia="lv-LV"/>
              </w:rPr>
              <w:t> </w:t>
            </w:r>
            <w:r w:rsidR="006907E2" w:rsidRPr="006907E2">
              <w:rPr>
                <w:rFonts w:ascii="Times New Roman" w:eastAsia="Times New Roman" w:hAnsi="Times New Roman" w:cs="Times New Roman"/>
                <w:sz w:val="24"/>
                <w:szCs w:val="24"/>
                <w:lang w:eastAsia="lv-LV"/>
              </w:rPr>
              <w:t>jūnijs) par prudenciālajām prasībām attiecībā uz kredītiestādēm un ar ko groza Regulu (ES) Nr.</w:t>
            </w:r>
            <w:r w:rsidR="004C329A">
              <w:rPr>
                <w:rFonts w:ascii="Times New Roman" w:eastAsia="Times New Roman" w:hAnsi="Times New Roman" w:cs="Times New Roman"/>
                <w:sz w:val="24"/>
                <w:szCs w:val="24"/>
                <w:lang w:eastAsia="lv-LV"/>
              </w:rPr>
              <w:t> </w:t>
            </w:r>
            <w:r w:rsidR="006907E2" w:rsidRPr="006907E2">
              <w:rPr>
                <w:rFonts w:ascii="Times New Roman" w:eastAsia="Times New Roman" w:hAnsi="Times New Roman" w:cs="Times New Roman"/>
                <w:sz w:val="24"/>
                <w:szCs w:val="24"/>
                <w:lang w:eastAsia="lv-LV"/>
              </w:rPr>
              <w:t xml:space="preserve">648/2012 saņemšanas </w:t>
            </w:r>
            <w:r w:rsidR="0097774C" w:rsidRPr="006E4B12">
              <w:rPr>
                <w:rFonts w:ascii="Times New Roman" w:eastAsia="Times New Roman" w:hAnsi="Times New Roman" w:cs="Times New Roman"/>
                <w:sz w:val="24"/>
                <w:szCs w:val="24"/>
                <w:lang w:eastAsia="lv-LV"/>
              </w:rPr>
              <w:t>normatīvie noteikumi" (turpmāk</w:t>
            </w:r>
            <w:r w:rsidR="0097774C">
              <w:rPr>
                <w:rFonts w:ascii="Times New Roman" w:eastAsia="Times New Roman" w:hAnsi="Times New Roman" w:cs="Times New Roman"/>
                <w:sz w:val="24"/>
                <w:szCs w:val="24"/>
                <w:lang w:eastAsia="lv-LV"/>
              </w:rPr>
              <w:t> </w:t>
            </w:r>
            <w:r w:rsidR="0097774C" w:rsidRPr="006E4B12">
              <w:rPr>
                <w:rFonts w:ascii="Times New Roman" w:eastAsia="Times New Roman" w:hAnsi="Times New Roman" w:cs="Times New Roman"/>
                <w:sz w:val="24"/>
                <w:szCs w:val="24"/>
                <w:lang w:eastAsia="lv-LV"/>
              </w:rPr>
              <w:t xml:space="preserve">– </w:t>
            </w:r>
            <w:r w:rsidR="0097774C">
              <w:rPr>
                <w:rFonts w:ascii="Times New Roman" w:eastAsia="Times New Roman" w:hAnsi="Times New Roman" w:cs="Times New Roman"/>
                <w:sz w:val="24"/>
                <w:szCs w:val="24"/>
                <w:lang w:eastAsia="lv-LV"/>
              </w:rPr>
              <w:t>N</w:t>
            </w:r>
            <w:r w:rsidR="0097774C" w:rsidRPr="006E4B12">
              <w:rPr>
                <w:rFonts w:ascii="Times New Roman" w:eastAsia="Times New Roman" w:hAnsi="Times New Roman" w:cs="Times New Roman"/>
                <w:sz w:val="24"/>
                <w:szCs w:val="24"/>
                <w:lang w:eastAsia="lv-LV"/>
              </w:rPr>
              <w:t>oteikum</w:t>
            </w:r>
            <w:r w:rsidR="0097774C">
              <w:rPr>
                <w:rFonts w:ascii="Times New Roman" w:eastAsia="Times New Roman" w:hAnsi="Times New Roman" w:cs="Times New Roman"/>
                <w:sz w:val="24"/>
                <w:szCs w:val="24"/>
                <w:lang w:eastAsia="lv-LV"/>
              </w:rPr>
              <w:t>i</w:t>
            </w:r>
            <w:r w:rsidR="0097774C" w:rsidRPr="006E4B12">
              <w:rPr>
                <w:rFonts w:ascii="Times New Roman" w:eastAsia="Times New Roman" w:hAnsi="Times New Roman" w:cs="Times New Roman"/>
                <w:sz w:val="24"/>
                <w:szCs w:val="24"/>
                <w:lang w:eastAsia="lv-LV"/>
              </w:rPr>
              <w:t xml:space="preserve"> Nr.</w:t>
            </w:r>
            <w:r w:rsidR="0097774C">
              <w:rPr>
                <w:rFonts w:ascii="Times New Roman" w:eastAsia="Times New Roman" w:hAnsi="Times New Roman" w:cs="Times New Roman"/>
                <w:sz w:val="24"/>
                <w:szCs w:val="24"/>
                <w:lang w:eastAsia="lv-LV"/>
              </w:rPr>
              <w:t> </w:t>
            </w:r>
            <w:r w:rsidR="0097774C" w:rsidRPr="00C1503D">
              <w:rPr>
                <w:rFonts w:ascii="Times New Roman" w:eastAsia="Times New Roman" w:hAnsi="Times New Roman" w:cs="Times New Roman"/>
                <w:sz w:val="24"/>
                <w:szCs w:val="24"/>
                <w:lang w:eastAsia="lv-LV"/>
              </w:rPr>
              <w:t>2</w:t>
            </w:r>
            <w:r w:rsidR="006907E2">
              <w:rPr>
                <w:rFonts w:ascii="Times New Roman" w:eastAsia="Times New Roman" w:hAnsi="Times New Roman" w:cs="Times New Roman"/>
                <w:sz w:val="24"/>
                <w:szCs w:val="24"/>
                <w:lang w:eastAsia="lv-LV"/>
              </w:rPr>
              <w:t>47</w:t>
            </w:r>
            <w:r w:rsidR="0097774C">
              <w:rPr>
                <w:rFonts w:ascii="Times New Roman" w:eastAsia="Times New Roman" w:hAnsi="Times New Roman" w:cs="Times New Roman"/>
                <w:sz w:val="24"/>
                <w:szCs w:val="24"/>
                <w:lang w:eastAsia="lv-LV"/>
              </w:rPr>
              <w:t>)</w:t>
            </w:r>
            <w:r w:rsidR="00A13A06">
              <w:rPr>
                <w:rFonts w:ascii="Times New Roman" w:eastAsia="Times New Roman" w:hAnsi="Times New Roman" w:cs="Times New Roman"/>
                <w:sz w:val="24"/>
                <w:szCs w:val="24"/>
                <w:lang w:eastAsia="lv-LV"/>
              </w:rPr>
              <w:t>.</w:t>
            </w:r>
            <w:r w:rsidR="006907E2">
              <w:rPr>
                <w:rFonts w:ascii="Times New Roman" w:eastAsia="Times New Roman" w:hAnsi="Times New Roman" w:cs="Times New Roman"/>
                <w:sz w:val="24"/>
                <w:szCs w:val="24"/>
                <w:lang w:eastAsia="lv-LV"/>
              </w:rPr>
              <w:t xml:space="preserve"> </w:t>
            </w:r>
          </w:p>
          <w:p w14:paraId="45FBBE30" w14:textId="150E1AAD" w:rsidR="006907E2" w:rsidRDefault="006907E2" w:rsidP="00EA1AC6">
            <w:pPr>
              <w:spacing w:after="120" w:line="240" w:lineRule="auto"/>
              <w:jc w:val="both"/>
              <w:rPr>
                <w:rFonts w:ascii="Times New Roman" w:hAnsi="Times New Roman" w:cs="Times New Roman"/>
                <w:sz w:val="24"/>
                <w:szCs w:val="24"/>
              </w:rPr>
            </w:pPr>
            <w:r w:rsidRPr="00EE0D14">
              <w:rPr>
                <w:rFonts w:ascii="Times New Roman" w:eastAsia="Times New Roman" w:hAnsi="Times New Roman" w:cs="Times New Roman"/>
                <w:sz w:val="24"/>
                <w:szCs w:val="24"/>
                <w:lang w:eastAsia="lv-LV"/>
              </w:rPr>
              <w:t xml:space="preserve">Eiropas Parlamenta un Padomes </w:t>
            </w:r>
            <w:r w:rsidR="00D16C76" w:rsidRPr="009F2C2B">
              <w:rPr>
                <w:rFonts w:ascii="Times New Roman" w:eastAsia="Times New Roman" w:hAnsi="Times New Roman" w:cs="Times New Roman"/>
                <w:sz w:val="24"/>
                <w:szCs w:val="24"/>
                <w:lang w:eastAsia="lv-LV"/>
              </w:rPr>
              <w:t>2013.</w:t>
            </w:r>
            <w:r w:rsidR="00465DCE">
              <w:rPr>
                <w:rFonts w:ascii="Times New Roman" w:eastAsia="Times New Roman" w:hAnsi="Times New Roman" w:cs="Times New Roman"/>
                <w:sz w:val="24"/>
                <w:szCs w:val="24"/>
                <w:lang w:eastAsia="lv-LV"/>
              </w:rPr>
              <w:t> </w:t>
            </w:r>
            <w:r w:rsidR="00D16C76" w:rsidRPr="009F2C2B">
              <w:rPr>
                <w:rFonts w:ascii="Times New Roman" w:eastAsia="Times New Roman" w:hAnsi="Times New Roman" w:cs="Times New Roman"/>
                <w:sz w:val="24"/>
                <w:szCs w:val="24"/>
                <w:lang w:eastAsia="lv-LV"/>
              </w:rPr>
              <w:t>gada 26.</w:t>
            </w:r>
            <w:r w:rsidR="00465DCE">
              <w:rPr>
                <w:rFonts w:ascii="Times New Roman" w:eastAsia="Times New Roman" w:hAnsi="Times New Roman" w:cs="Times New Roman"/>
                <w:sz w:val="24"/>
                <w:szCs w:val="24"/>
                <w:lang w:eastAsia="lv-LV"/>
              </w:rPr>
              <w:t> </w:t>
            </w:r>
            <w:r w:rsidR="00D16C76" w:rsidRPr="009F2C2B">
              <w:rPr>
                <w:rFonts w:ascii="Times New Roman" w:eastAsia="Times New Roman" w:hAnsi="Times New Roman" w:cs="Times New Roman"/>
                <w:sz w:val="24"/>
                <w:szCs w:val="24"/>
                <w:lang w:eastAsia="lv-LV"/>
              </w:rPr>
              <w:t>jūnija</w:t>
            </w:r>
            <w:r w:rsidR="00D16C76" w:rsidRPr="00EE0D14">
              <w:rPr>
                <w:rFonts w:ascii="Times New Roman" w:eastAsia="Times New Roman" w:hAnsi="Times New Roman" w:cs="Times New Roman"/>
                <w:sz w:val="24"/>
                <w:szCs w:val="24"/>
                <w:lang w:eastAsia="lv-LV"/>
              </w:rPr>
              <w:t xml:space="preserve"> </w:t>
            </w:r>
            <w:r w:rsidRPr="00EE0D14">
              <w:rPr>
                <w:rFonts w:ascii="Times New Roman" w:eastAsia="Times New Roman" w:hAnsi="Times New Roman" w:cs="Times New Roman"/>
                <w:sz w:val="24"/>
                <w:szCs w:val="24"/>
                <w:lang w:eastAsia="lv-LV"/>
              </w:rPr>
              <w:t>regul</w:t>
            </w:r>
            <w:r>
              <w:rPr>
                <w:rFonts w:ascii="Times New Roman" w:eastAsia="Times New Roman" w:hAnsi="Times New Roman" w:cs="Times New Roman"/>
                <w:sz w:val="24"/>
                <w:szCs w:val="24"/>
                <w:lang w:eastAsia="lv-LV"/>
              </w:rPr>
              <w:t>a</w:t>
            </w:r>
            <w:r w:rsidRPr="00EE0D14">
              <w:rPr>
                <w:rFonts w:ascii="Times New Roman" w:eastAsia="Times New Roman" w:hAnsi="Times New Roman" w:cs="Times New Roman"/>
                <w:sz w:val="24"/>
                <w:szCs w:val="24"/>
                <w:lang w:eastAsia="lv-LV"/>
              </w:rPr>
              <w:t xml:space="preserve"> (ES) Nr.</w:t>
            </w:r>
            <w:r w:rsidR="004C329A">
              <w:rPr>
                <w:rFonts w:ascii="Times New Roman" w:eastAsia="Times New Roman" w:hAnsi="Times New Roman" w:cs="Times New Roman"/>
                <w:sz w:val="24"/>
                <w:szCs w:val="24"/>
                <w:lang w:eastAsia="lv-LV"/>
              </w:rPr>
              <w:t> </w:t>
            </w:r>
            <w:r w:rsidRPr="00EE0D14">
              <w:rPr>
                <w:rFonts w:ascii="Times New Roman" w:eastAsia="Times New Roman" w:hAnsi="Times New Roman" w:cs="Times New Roman"/>
                <w:sz w:val="24"/>
                <w:szCs w:val="24"/>
                <w:lang w:eastAsia="lv-LV"/>
              </w:rPr>
              <w:t>575/2013 par prudenciālajām prasībām attiecībā uz kredītiestādēm</w:t>
            </w:r>
            <w:r w:rsidR="004215BC">
              <w:rPr>
                <w:rFonts w:ascii="Times New Roman" w:eastAsia="Times New Roman" w:hAnsi="Times New Roman" w:cs="Times New Roman"/>
                <w:sz w:val="24"/>
                <w:szCs w:val="24"/>
                <w:lang w:eastAsia="lv-LV"/>
              </w:rPr>
              <w:t>,</w:t>
            </w:r>
            <w:r w:rsidRPr="00EE0D14">
              <w:rPr>
                <w:rFonts w:ascii="Times New Roman" w:eastAsia="Times New Roman" w:hAnsi="Times New Roman" w:cs="Times New Roman"/>
                <w:sz w:val="24"/>
                <w:szCs w:val="24"/>
                <w:lang w:eastAsia="lv-LV"/>
              </w:rPr>
              <w:t xml:space="preserve"> un ar ko groza </w:t>
            </w:r>
            <w:r w:rsidR="00D16C76">
              <w:rPr>
                <w:rFonts w:ascii="Times New Roman" w:eastAsia="Times New Roman" w:hAnsi="Times New Roman" w:cs="Times New Roman"/>
                <w:sz w:val="24"/>
                <w:szCs w:val="24"/>
                <w:lang w:eastAsia="lv-LV"/>
              </w:rPr>
              <w:t>r</w:t>
            </w:r>
            <w:r w:rsidRPr="00EE0D14">
              <w:rPr>
                <w:rFonts w:ascii="Times New Roman" w:eastAsia="Times New Roman" w:hAnsi="Times New Roman" w:cs="Times New Roman"/>
                <w:sz w:val="24"/>
                <w:szCs w:val="24"/>
                <w:lang w:eastAsia="lv-LV"/>
              </w:rPr>
              <w:t>egulu (ES) Nr.</w:t>
            </w:r>
            <w:r w:rsidR="004C329A">
              <w:rPr>
                <w:rFonts w:ascii="Times New Roman" w:eastAsia="Times New Roman" w:hAnsi="Times New Roman" w:cs="Times New Roman"/>
                <w:sz w:val="24"/>
                <w:szCs w:val="24"/>
                <w:lang w:eastAsia="lv-LV"/>
              </w:rPr>
              <w:t> </w:t>
            </w:r>
            <w:r w:rsidRPr="00EE0D14">
              <w:rPr>
                <w:rFonts w:ascii="Times New Roman" w:eastAsia="Times New Roman" w:hAnsi="Times New Roman" w:cs="Times New Roman"/>
                <w:sz w:val="24"/>
                <w:szCs w:val="24"/>
                <w:lang w:eastAsia="lv-LV"/>
              </w:rPr>
              <w:t>648/2012</w:t>
            </w:r>
            <w:r>
              <w:rPr>
                <w:rFonts w:ascii="Times New Roman" w:eastAsia="Times New Roman" w:hAnsi="Times New Roman" w:cs="Times New Roman"/>
                <w:sz w:val="24"/>
                <w:szCs w:val="24"/>
                <w:lang w:eastAsia="lv-LV"/>
              </w:rPr>
              <w:t xml:space="preserve"> (</w:t>
            </w:r>
            <w:r w:rsidRPr="00492ED8">
              <w:rPr>
                <w:rFonts w:ascii="Times New Roman" w:hAnsi="Times New Roman" w:cs="Times New Roman"/>
                <w:sz w:val="24"/>
                <w:szCs w:val="24"/>
              </w:rPr>
              <w:t>turpmāk</w:t>
            </w:r>
            <w:r>
              <w:rPr>
                <w:rFonts w:ascii="Times New Roman" w:hAnsi="Times New Roman" w:cs="Times New Roman"/>
                <w:sz w:val="24"/>
                <w:szCs w:val="24"/>
              </w:rPr>
              <w:t> </w:t>
            </w:r>
            <w:r w:rsidRPr="00492ED8">
              <w:rPr>
                <w:rFonts w:ascii="Times New Roman" w:hAnsi="Times New Roman" w:cs="Times New Roman"/>
                <w:sz w:val="24"/>
                <w:szCs w:val="24"/>
              </w:rPr>
              <w:t xml:space="preserve">– </w:t>
            </w:r>
            <w:r>
              <w:rPr>
                <w:rFonts w:ascii="Times New Roman" w:hAnsi="Times New Roman" w:cs="Times New Roman"/>
                <w:sz w:val="24"/>
                <w:szCs w:val="24"/>
              </w:rPr>
              <w:t>Regula</w:t>
            </w:r>
            <w:r w:rsidRPr="00492ED8">
              <w:rPr>
                <w:rFonts w:ascii="Times New Roman" w:hAnsi="Times New Roman" w:cs="Times New Roman"/>
                <w:sz w:val="24"/>
                <w:szCs w:val="24"/>
              </w:rPr>
              <w:t xml:space="preserve"> Nr.</w:t>
            </w:r>
            <w:r>
              <w:rPr>
                <w:rFonts w:ascii="Times New Roman" w:hAnsi="Times New Roman" w:cs="Times New Roman"/>
                <w:sz w:val="24"/>
                <w:szCs w:val="24"/>
              </w:rPr>
              <w:t> 575/2013) paredz iespēju kredītiestādēm kapitāla prasību aprēķin</w:t>
            </w:r>
            <w:r w:rsidR="00AC7B58">
              <w:rPr>
                <w:rFonts w:ascii="Times New Roman" w:hAnsi="Times New Roman" w:cs="Times New Roman"/>
                <w:sz w:val="24"/>
                <w:szCs w:val="24"/>
              </w:rPr>
              <w:t>ā</w:t>
            </w:r>
            <w:r>
              <w:rPr>
                <w:rFonts w:ascii="Times New Roman" w:hAnsi="Times New Roman" w:cs="Times New Roman"/>
                <w:sz w:val="24"/>
                <w:szCs w:val="24"/>
              </w:rPr>
              <w:t xml:space="preserve"> izmantot iekšējo mode</w:t>
            </w:r>
            <w:r w:rsidR="00D32FB0">
              <w:rPr>
                <w:rFonts w:ascii="Times New Roman" w:hAnsi="Times New Roman" w:cs="Times New Roman"/>
                <w:sz w:val="24"/>
                <w:szCs w:val="24"/>
              </w:rPr>
              <w:t>li</w:t>
            </w:r>
            <w:r>
              <w:rPr>
                <w:rFonts w:ascii="Times New Roman" w:hAnsi="Times New Roman" w:cs="Times New Roman"/>
                <w:sz w:val="24"/>
                <w:szCs w:val="24"/>
              </w:rPr>
              <w:t>, pieej</w:t>
            </w:r>
            <w:r w:rsidR="00D32FB0">
              <w:rPr>
                <w:rFonts w:ascii="Times New Roman" w:hAnsi="Times New Roman" w:cs="Times New Roman"/>
                <w:sz w:val="24"/>
                <w:szCs w:val="24"/>
              </w:rPr>
              <w:t>u</w:t>
            </w:r>
            <w:r>
              <w:rPr>
                <w:rFonts w:ascii="Times New Roman" w:hAnsi="Times New Roman" w:cs="Times New Roman"/>
                <w:sz w:val="24"/>
                <w:szCs w:val="24"/>
              </w:rPr>
              <w:t xml:space="preserve"> vai metod</w:t>
            </w:r>
            <w:r w:rsidR="00D32FB0">
              <w:rPr>
                <w:rFonts w:ascii="Times New Roman" w:hAnsi="Times New Roman" w:cs="Times New Roman"/>
                <w:sz w:val="24"/>
                <w:szCs w:val="24"/>
              </w:rPr>
              <w:t>i</w:t>
            </w:r>
            <w:r>
              <w:rPr>
                <w:rFonts w:ascii="Times New Roman" w:hAnsi="Times New Roman" w:cs="Times New Roman"/>
                <w:sz w:val="24"/>
                <w:szCs w:val="24"/>
              </w:rPr>
              <w:t>. Atbilstoši Regulā Nr. 575/2013 ietvertajām prasībām kredītiestādēm pirms noteikt</w:t>
            </w:r>
            <w:r w:rsidR="00D32FB0">
              <w:rPr>
                <w:rFonts w:ascii="Times New Roman" w:hAnsi="Times New Roman" w:cs="Times New Roman"/>
                <w:sz w:val="24"/>
                <w:szCs w:val="24"/>
              </w:rPr>
              <w:t>a</w:t>
            </w:r>
            <w:r>
              <w:rPr>
                <w:rFonts w:ascii="Times New Roman" w:hAnsi="Times New Roman" w:cs="Times New Roman"/>
                <w:sz w:val="24"/>
                <w:szCs w:val="24"/>
              </w:rPr>
              <w:t xml:space="preserve"> iekšēj</w:t>
            </w:r>
            <w:r w:rsidR="00D32FB0">
              <w:rPr>
                <w:rFonts w:ascii="Times New Roman" w:hAnsi="Times New Roman" w:cs="Times New Roman"/>
                <w:sz w:val="24"/>
                <w:szCs w:val="24"/>
              </w:rPr>
              <w:t>ā</w:t>
            </w:r>
            <w:r>
              <w:rPr>
                <w:rFonts w:ascii="Times New Roman" w:hAnsi="Times New Roman" w:cs="Times New Roman"/>
                <w:sz w:val="24"/>
                <w:szCs w:val="24"/>
              </w:rPr>
              <w:t xml:space="preserve"> modeļ</w:t>
            </w:r>
            <w:r w:rsidR="00D32FB0">
              <w:rPr>
                <w:rFonts w:ascii="Times New Roman" w:hAnsi="Times New Roman" w:cs="Times New Roman"/>
                <w:sz w:val="24"/>
                <w:szCs w:val="24"/>
              </w:rPr>
              <w:t>a</w:t>
            </w:r>
            <w:r>
              <w:rPr>
                <w:rFonts w:ascii="Times New Roman" w:hAnsi="Times New Roman" w:cs="Times New Roman"/>
                <w:sz w:val="24"/>
                <w:szCs w:val="24"/>
              </w:rPr>
              <w:t>, pieej</w:t>
            </w:r>
            <w:r w:rsidR="00D32FB0">
              <w:rPr>
                <w:rFonts w:ascii="Times New Roman" w:hAnsi="Times New Roman" w:cs="Times New Roman"/>
                <w:sz w:val="24"/>
                <w:szCs w:val="24"/>
              </w:rPr>
              <w:t>as</w:t>
            </w:r>
            <w:r>
              <w:rPr>
                <w:rFonts w:ascii="Times New Roman" w:hAnsi="Times New Roman" w:cs="Times New Roman"/>
                <w:sz w:val="24"/>
                <w:szCs w:val="24"/>
              </w:rPr>
              <w:t xml:space="preserve"> vai metodes izmantošanas uzsākšanas ir jāsaņem kompetento iestāžu atļauja.</w:t>
            </w:r>
            <w:r w:rsidR="004F18F1">
              <w:rPr>
                <w:rFonts w:ascii="Times New Roman" w:hAnsi="Times New Roman" w:cs="Times New Roman"/>
                <w:sz w:val="24"/>
                <w:szCs w:val="24"/>
              </w:rPr>
              <w:t xml:space="preserve"> Ņemot vērā Regulas Nr. 575/2013 prasības, tika izstrādāti Noteikumi Nr. 247, kas noteica kārtību</w:t>
            </w:r>
            <w:r w:rsidR="000B1F2D">
              <w:rPr>
                <w:rFonts w:ascii="Times New Roman" w:hAnsi="Times New Roman" w:cs="Times New Roman"/>
                <w:sz w:val="24"/>
                <w:szCs w:val="24"/>
              </w:rPr>
              <w:t>,</w:t>
            </w:r>
            <w:r w:rsidR="004F18F1">
              <w:rPr>
                <w:rFonts w:ascii="Times New Roman" w:hAnsi="Times New Roman" w:cs="Times New Roman"/>
                <w:sz w:val="24"/>
                <w:szCs w:val="24"/>
              </w:rPr>
              <w:t xml:space="preserve"> kādā </w:t>
            </w:r>
            <w:r w:rsidR="00E878F5">
              <w:rPr>
                <w:rFonts w:ascii="Times New Roman" w:hAnsi="Times New Roman" w:cs="Times New Roman"/>
                <w:sz w:val="24"/>
                <w:szCs w:val="24"/>
              </w:rPr>
              <w:t>kredītiestādes</w:t>
            </w:r>
            <w:r w:rsidR="004F18F1">
              <w:rPr>
                <w:rFonts w:ascii="Times New Roman" w:hAnsi="Times New Roman" w:cs="Times New Roman"/>
                <w:sz w:val="24"/>
                <w:szCs w:val="24"/>
              </w:rPr>
              <w:t xml:space="preserve"> </w:t>
            </w:r>
            <w:r w:rsidR="004F6E33">
              <w:rPr>
                <w:rFonts w:ascii="Times New Roman" w:hAnsi="Times New Roman" w:cs="Times New Roman"/>
                <w:sz w:val="24"/>
                <w:szCs w:val="24"/>
              </w:rPr>
              <w:t xml:space="preserve">var </w:t>
            </w:r>
            <w:r w:rsidR="004F18F1">
              <w:rPr>
                <w:rFonts w:ascii="Times New Roman" w:hAnsi="Times New Roman" w:cs="Times New Roman"/>
                <w:sz w:val="24"/>
                <w:szCs w:val="24"/>
              </w:rPr>
              <w:t>saņemt atļauju izmantot</w:t>
            </w:r>
            <w:r w:rsidR="00E878F5">
              <w:rPr>
                <w:rFonts w:ascii="Times New Roman" w:hAnsi="Times New Roman" w:cs="Times New Roman"/>
                <w:sz w:val="24"/>
                <w:szCs w:val="24"/>
              </w:rPr>
              <w:t>:</w:t>
            </w:r>
          </w:p>
          <w:p w14:paraId="242B519E" w14:textId="586AB62E" w:rsidR="004F18F1" w:rsidRDefault="004F18F1" w:rsidP="00EA1AC6">
            <w:pPr>
              <w:pStyle w:val="ListParagraph"/>
              <w:numPr>
                <w:ilvl w:val="0"/>
                <w:numId w:val="16"/>
              </w:numPr>
              <w:spacing w:after="120" w:line="240" w:lineRule="auto"/>
              <w:ind w:left="314" w:hanging="314"/>
              <w:contextualSpacing w:val="0"/>
              <w:jc w:val="both"/>
              <w:rPr>
                <w:rFonts w:ascii="Times New Roman" w:hAnsi="Times New Roman" w:cs="Times New Roman"/>
                <w:sz w:val="24"/>
                <w:szCs w:val="24"/>
              </w:rPr>
            </w:pPr>
            <w:r w:rsidRPr="004F18F1">
              <w:rPr>
                <w:rFonts w:ascii="Times New Roman" w:hAnsi="Times New Roman" w:cs="Times New Roman"/>
                <w:sz w:val="24"/>
                <w:szCs w:val="24"/>
              </w:rPr>
              <w:t>uz iekšējiem reitingiem balstīto pieeju (t</w:t>
            </w:r>
            <w:r>
              <w:rPr>
                <w:rFonts w:ascii="Times New Roman" w:hAnsi="Times New Roman" w:cs="Times New Roman"/>
                <w:sz w:val="24"/>
                <w:szCs w:val="24"/>
              </w:rPr>
              <w:t>urpmāk </w:t>
            </w:r>
            <w:r w:rsidRPr="004F18F1">
              <w:rPr>
                <w:rFonts w:ascii="Times New Roman" w:hAnsi="Times New Roman" w:cs="Times New Roman"/>
                <w:sz w:val="24"/>
                <w:szCs w:val="24"/>
              </w:rPr>
              <w:t>– IRB pieej</w:t>
            </w:r>
            <w:r w:rsidR="000B1F2D">
              <w:rPr>
                <w:rFonts w:ascii="Times New Roman" w:hAnsi="Times New Roman" w:cs="Times New Roman"/>
                <w:sz w:val="24"/>
                <w:szCs w:val="24"/>
              </w:rPr>
              <w:t>a</w:t>
            </w:r>
            <w:r w:rsidRPr="004F18F1">
              <w:rPr>
                <w:rFonts w:ascii="Times New Roman" w:hAnsi="Times New Roman" w:cs="Times New Roman"/>
                <w:sz w:val="24"/>
                <w:szCs w:val="24"/>
              </w:rPr>
              <w:t>) kredītriskam pakļauto riska darījumu riska svērtās vērtības aprēķināšanai;</w:t>
            </w:r>
          </w:p>
          <w:p w14:paraId="083F4569" w14:textId="77777777" w:rsidR="004F18F1" w:rsidRDefault="004F18F1" w:rsidP="00EA1AC6">
            <w:pPr>
              <w:pStyle w:val="ListParagraph"/>
              <w:numPr>
                <w:ilvl w:val="0"/>
                <w:numId w:val="16"/>
              </w:numPr>
              <w:spacing w:after="120" w:line="240" w:lineRule="auto"/>
              <w:ind w:left="314" w:hanging="314"/>
              <w:contextualSpacing w:val="0"/>
              <w:jc w:val="both"/>
              <w:rPr>
                <w:rFonts w:ascii="Times New Roman" w:hAnsi="Times New Roman" w:cs="Times New Roman"/>
                <w:sz w:val="24"/>
                <w:szCs w:val="24"/>
              </w:rPr>
            </w:pPr>
            <w:r w:rsidRPr="004F18F1">
              <w:rPr>
                <w:rFonts w:ascii="Times New Roman" w:hAnsi="Times New Roman" w:cs="Times New Roman"/>
                <w:sz w:val="24"/>
                <w:szCs w:val="24"/>
              </w:rPr>
              <w:t>attīstīto mērīšanas pieeju (turpmāk – AMP pieeja) operacionālā riska pašu kapitāla prasības noteikšanai;</w:t>
            </w:r>
          </w:p>
          <w:p w14:paraId="33A57086" w14:textId="10DBEDDD" w:rsidR="004F18F1" w:rsidRDefault="004F18F1" w:rsidP="00EA1AC6">
            <w:pPr>
              <w:pStyle w:val="ListParagraph"/>
              <w:numPr>
                <w:ilvl w:val="0"/>
                <w:numId w:val="16"/>
              </w:numPr>
              <w:spacing w:after="120" w:line="240" w:lineRule="auto"/>
              <w:ind w:left="314" w:hanging="314"/>
              <w:contextualSpacing w:val="0"/>
              <w:jc w:val="both"/>
              <w:rPr>
                <w:rFonts w:ascii="Times New Roman" w:hAnsi="Times New Roman" w:cs="Times New Roman"/>
                <w:sz w:val="24"/>
                <w:szCs w:val="24"/>
              </w:rPr>
            </w:pPr>
            <w:r w:rsidRPr="004F18F1">
              <w:rPr>
                <w:rFonts w:ascii="Times New Roman" w:hAnsi="Times New Roman" w:cs="Times New Roman"/>
                <w:sz w:val="24"/>
                <w:szCs w:val="24"/>
              </w:rPr>
              <w:t>iekšējā modeļa metodi (t</w:t>
            </w:r>
            <w:r w:rsidR="00D32FB0">
              <w:rPr>
                <w:rFonts w:ascii="Times New Roman" w:hAnsi="Times New Roman" w:cs="Times New Roman"/>
                <w:sz w:val="24"/>
                <w:szCs w:val="24"/>
              </w:rPr>
              <w:t>urpmāk </w:t>
            </w:r>
            <w:r w:rsidRPr="004F18F1">
              <w:rPr>
                <w:rFonts w:ascii="Times New Roman" w:hAnsi="Times New Roman" w:cs="Times New Roman"/>
                <w:sz w:val="24"/>
                <w:szCs w:val="24"/>
              </w:rPr>
              <w:t>– IMM metod</w:t>
            </w:r>
            <w:r w:rsidR="000B1F2D">
              <w:rPr>
                <w:rFonts w:ascii="Times New Roman" w:hAnsi="Times New Roman" w:cs="Times New Roman"/>
                <w:sz w:val="24"/>
                <w:szCs w:val="24"/>
              </w:rPr>
              <w:t>e</w:t>
            </w:r>
            <w:r w:rsidRPr="004F18F1">
              <w:rPr>
                <w:rFonts w:ascii="Times New Roman" w:hAnsi="Times New Roman" w:cs="Times New Roman"/>
                <w:sz w:val="24"/>
                <w:szCs w:val="24"/>
              </w:rPr>
              <w:t>) darījumu partnera kredītriska riska darījumu vērtības aprēķināšanai;</w:t>
            </w:r>
          </w:p>
          <w:p w14:paraId="1943D94E" w14:textId="592214B8" w:rsidR="00E878F5" w:rsidRDefault="004F18F1" w:rsidP="00EA1AC6">
            <w:pPr>
              <w:pStyle w:val="ListParagraph"/>
              <w:numPr>
                <w:ilvl w:val="0"/>
                <w:numId w:val="16"/>
              </w:numPr>
              <w:spacing w:after="120" w:line="240" w:lineRule="auto"/>
              <w:ind w:left="314" w:hanging="314"/>
              <w:contextualSpacing w:val="0"/>
              <w:jc w:val="both"/>
              <w:rPr>
                <w:rFonts w:ascii="Times New Roman" w:hAnsi="Times New Roman" w:cs="Times New Roman"/>
                <w:sz w:val="24"/>
                <w:szCs w:val="24"/>
              </w:rPr>
            </w:pPr>
            <w:r w:rsidRPr="00E878F5">
              <w:rPr>
                <w:rFonts w:ascii="Times New Roman" w:hAnsi="Times New Roman" w:cs="Times New Roman"/>
                <w:sz w:val="24"/>
                <w:szCs w:val="24"/>
              </w:rPr>
              <w:t xml:space="preserve"> iekšējo modeli tirgus risk</w:t>
            </w:r>
            <w:r w:rsidR="00B75A54">
              <w:rPr>
                <w:rFonts w:ascii="Times New Roman" w:hAnsi="Times New Roman" w:cs="Times New Roman"/>
                <w:sz w:val="24"/>
                <w:szCs w:val="24"/>
              </w:rPr>
              <w:t>a</w:t>
            </w:r>
            <w:r w:rsidRPr="00E878F5">
              <w:rPr>
                <w:rFonts w:ascii="Times New Roman" w:hAnsi="Times New Roman" w:cs="Times New Roman"/>
                <w:sz w:val="24"/>
                <w:szCs w:val="24"/>
              </w:rPr>
              <w:t xml:space="preserve"> pašu kapitāla prasības aprēķināšanai (t</w:t>
            </w:r>
            <w:r w:rsidR="00D32FB0">
              <w:rPr>
                <w:rFonts w:ascii="Times New Roman" w:hAnsi="Times New Roman" w:cs="Times New Roman"/>
                <w:sz w:val="24"/>
                <w:szCs w:val="24"/>
              </w:rPr>
              <w:t>urpmāk </w:t>
            </w:r>
            <w:r w:rsidRPr="00E878F5">
              <w:rPr>
                <w:rFonts w:ascii="Times New Roman" w:hAnsi="Times New Roman" w:cs="Times New Roman"/>
                <w:sz w:val="24"/>
                <w:szCs w:val="24"/>
              </w:rPr>
              <w:t>– IMTR</w:t>
            </w:r>
            <w:r w:rsidR="00E878F5" w:rsidRPr="00E878F5">
              <w:rPr>
                <w:rFonts w:ascii="Times New Roman" w:hAnsi="Times New Roman" w:cs="Times New Roman"/>
                <w:sz w:val="24"/>
                <w:szCs w:val="24"/>
              </w:rPr>
              <w:t xml:space="preserve"> modeli</w:t>
            </w:r>
            <w:r w:rsidR="000B1F2D">
              <w:rPr>
                <w:rFonts w:ascii="Times New Roman" w:hAnsi="Times New Roman" w:cs="Times New Roman"/>
                <w:sz w:val="24"/>
                <w:szCs w:val="24"/>
              </w:rPr>
              <w:t>s</w:t>
            </w:r>
            <w:r w:rsidRPr="00E878F5">
              <w:rPr>
                <w:rFonts w:ascii="Times New Roman" w:hAnsi="Times New Roman" w:cs="Times New Roman"/>
                <w:sz w:val="24"/>
                <w:szCs w:val="24"/>
              </w:rPr>
              <w:t>), kas ietver riskam pakļautās vērtības iekšējo modeli, iekšējo modeli inkrementālu saistību nepildīšanas un migrācijas riskam un korelācijas tirdzniecības iekšējo modeli</w:t>
            </w:r>
            <w:r w:rsidR="00E878F5" w:rsidRPr="00E878F5">
              <w:rPr>
                <w:rFonts w:ascii="Times New Roman" w:hAnsi="Times New Roman" w:cs="Times New Roman"/>
                <w:sz w:val="24"/>
                <w:szCs w:val="24"/>
              </w:rPr>
              <w:t>;</w:t>
            </w:r>
          </w:p>
          <w:p w14:paraId="121B1BA1" w14:textId="34055D53" w:rsidR="004F18F1" w:rsidRPr="00E878F5" w:rsidRDefault="004F18F1" w:rsidP="00EA1AC6">
            <w:pPr>
              <w:pStyle w:val="ListParagraph"/>
              <w:numPr>
                <w:ilvl w:val="0"/>
                <w:numId w:val="16"/>
              </w:numPr>
              <w:spacing w:after="120" w:line="240" w:lineRule="auto"/>
              <w:ind w:left="314" w:hanging="314"/>
              <w:contextualSpacing w:val="0"/>
              <w:jc w:val="both"/>
              <w:rPr>
                <w:rFonts w:ascii="Times New Roman" w:hAnsi="Times New Roman" w:cs="Times New Roman"/>
                <w:sz w:val="24"/>
                <w:szCs w:val="24"/>
              </w:rPr>
            </w:pPr>
            <w:r w:rsidRPr="00E878F5">
              <w:rPr>
                <w:rFonts w:ascii="Times New Roman" w:hAnsi="Times New Roman" w:cs="Times New Roman"/>
                <w:sz w:val="24"/>
                <w:szCs w:val="24"/>
              </w:rPr>
              <w:t>citus iekšējos modeļus, pieejas un metodes saskaņā ar Regulu Nr.</w:t>
            </w:r>
            <w:r w:rsidR="004F6E33">
              <w:rPr>
                <w:rFonts w:ascii="Times New Roman" w:hAnsi="Times New Roman" w:cs="Times New Roman"/>
                <w:sz w:val="24"/>
                <w:szCs w:val="24"/>
              </w:rPr>
              <w:t> </w:t>
            </w:r>
            <w:r w:rsidRPr="00E878F5">
              <w:rPr>
                <w:rFonts w:ascii="Times New Roman" w:hAnsi="Times New Roman" w:cs="Times New Roman"/>
                <w:sz w:val="24"/>
                <w:szCs w:val="24"/>
              </w:rPr>
              <w:t>575/2013.</w:t>
            </w:r>
          </w:p>
          <w:p w14:paraId="349135AD" w14:textId="0B81C7B0" w:rsidR="00E0270F" w:rsidRDefault="00E0270F" w:rsidP="00EA1AC6">
            <w:pPr>
              <w:spacing w:after="120" w:line="240" w:lineRule="auto"/>
              <w:jc w:val="both"/>
              <w:rPr>
                <w:rFonts w:ascii="Times New Roman" w:hAnsi="Times New Roman" w:cs="Times New Roman"/>
                <w:sz w:val="24"/>
                <w:szCs w:val="24"/>
              </w:rPr>
            </w:pPr>
            <w:r w:rsidRPr="00E0270F">
              <w:rPr>
                <w:rFonts w:ascii="Times New Roman" w:hAnsi="Times New Roman" w:cs="Times New Roman"/>
                <w:sz w:val="24"/>
                <w:szCs w:val="24"/>
              </w:rPr>
              <w:lastRenderedPageBreak/>
              <w:t xml:space="preserve">Eiropas Parlamenta </w:t>
            </w:r>
            <w:r>
              <w:rPr>
                <w:rFonts w:ascii="Times New Roman" w:hAnsi="Times New Roman" w:cs="Times New Roman"/>
                <w:sz w:val="24"/>
                <w:szCs w:val="24"/>
              </w:rPr>
              <w:t>u</w:t>
            </w:r>
            <w:r w:rsidRPr="00E0270F">
              <w:rPr>
                <w:rFonts w:ascii="Times New Roman" w:hAnsi="Times New Roman" w:cs="Times New Roman"/>
                <w:sz w:val="24"/>
                <w:szCs w:val="24"/>
              </w:rPr>
              <w:t xml:space="preserve">n Padomes </w:t>
            </w:r>
            <w:r w:rsidR="004F6E33" w:rsidRPr="00E0270F">
              <w:rPr>
                <w:rFonts w:ascii="Times New Roman" w:hAnsi="Times New Roman" w:cs="Times New Roman"/>
                <w:sz w:val="24"/>
                <w:szCs w:val="24"/>
              </w:rPr>
              <w:t>2024.</w:t>
            </w:r>
            <w:r w:rsidR="004F6E33">
              <w:rPr>
                <w:rFonts w:ascii="Times New Roman" w:hAnsi="Times New Roman" w:cs="Times New Roman"/>
                <w:sz w:val="24"/>
                <w:szCs w:val="24"/>
              </w:rPr>
              <w:t> </w:t>
            </w:r>
            <w:r w:rsidR="004F6E33" w:rsidRPr="00E0270F">
              <w:rPr>
                <w:rFonts w:ascii="Times New Roman" w:hAnsi="Times New Roman" w:cs="Times New Roman"/>
                <w:sz w:val="24"/>
                <w:szCs w:val="24"/>
              </w:rPr>
              <w:t>gada 31.</w:t>
            </w:r>
            <w:r w:rsidR="004F6E33">
              <w:rPr>
                <w:rFonts w:ascii="Times New Roman" w:hAnsi="Times New Roman" w:cs="Times New Roman"/>
                <w:sz w:val="24"/>
                <w:szCs w:val="24"/>
              </w:rPr>
              <w:t> </w:t>
            </w:r>
            <w:r w:rsidR="004F6E33" w:rsidRPr="00E0270F">
              <w:rPr>
                <w:rFonts w:ascii="Times New Roman" w:hAnsi="Times New Roman" w:cs="Times New Roman"/>
                <w:sz w:val="24"/>
                <w:szCs w:val="24"/>
              </w:rPr>
              <w:t>maij</w:t>
            </w:r>
            <w:r w:rsidR="004F6E33">
              <w:rPr>
                <w:rFonts w:ascii="Times New Roman" w:hAnsi="Times New Roman" w:cs="Times New Roman"/>
                <w:sz w:val="24"/>
                <w:szCs w:val="24"/>
              </w:rPr>
              <w:t xml:space="preserve">a </w:t>
            </w:r>
            <w:r>
              <w:rPr>
                <w:rFonts w:ascii="Times New Roman" w:hAnsi="Times New Roman" w:cs="Times New Roman"/>
                <w:sz w:val="24"/>
                <w:szCs w:val="24"/>
              </w:rPr>
              <w:t>r</w:t>
            </w:r>
            <w:r w:rsidRPr="00E0270F">
              <w:rPr>
                <w:rFonts w:ascii="Times New Roman" w:hAnsi="Times New Roman" w:cs="Times New Roman"/>
                <w:sz w:val="24"/>
                <w:szCs w:val="24"/>
              </w:rPr>
              <w:t xml:space="preserve">egula (ES) </w:t>
            </w:r>
            <w:r>
              <w:rPr>
                <w:rFonts w:ascii="Times New Roman" w:hAnsi="Times New Roman" w:cs="Times New Roman"/>
                <w:sz w:val="24"/>
                <w:szCs w:val="24"/>
              </w:rPr>
              <w:t>Nr. </w:t>
            </w:r>
            <w:r w:rsidRPr="00E0270F">
              <w:rPr>
                <w:rFonts w:ascii="Times New Roman" w:hAnsi="Times New Roman" w:cs="Times New Roman"/>
                <w:sz w:val="24"/>
                <w:szCs w:val="24"/>
              </w:rPr>
              <w:t>2024/1623,</w:t>
            </w:r>
            <w:r>
              <w:rPr>
                <w:rFonts w:ascii="Times New Roman" w:hAnsi="Times New Roman" w:cs="Times New Roman"/>
                <w:sz w:val="24"/>
                <w:szCs w:val="24"/>
              </w:rPr>
              <w:t xml:space="preserve"> </w:t>
            </w:r>
            <w:r w:rsidRPr="00E0270F">
              <w:rPr>
                <w:rFonts w:ascii="Times New Roman" w:hAnsi="Times New Roman" w:cs="Times New Roman"/>
                <w:sz w:val="24"/>
                <w:szCs w:val="24"/>
              </w:rPr>
              <w:t xml:space="preserve">ar ko </w:t>
            </w:r>
            <w:r w:rsidR="004F6E33">
              <w:rPr>
                <w:rFonts w:ascii="Times New Roman" w:hAnsi="Times New Roman" w:cs="Times New Roman"/>
                <w:sz w:val="24"/>
                <w:szCs w:val="24"/>
              </w:rPr>
              <w:t>r</w:t>
            </w:r>
            <w:r w:rsidRPr="00E0270F">
              <w:rPr>
                <w:rFonts w:ascii="Times New Roman" w:hAnsi="Times New Roman" w:cs="Times New Roman"/>
                <w:sz w:val="24"/>
                <w:szCs w:val="24"/>
              </w:rPr>
              <w:t>egulu (ES) Nr.</w:t>
            </w:r>
            <w:r>
              <w:rPr>
                <w:rFonts w:ascii="Times New Roman" w:hAnsi="Times New Roman" w:cs="Times New Roman"/>
                <w:sz w:val="24"/>
                <w:szCs w:val="24"/>
              </w:rPr>
              <w:t> </w:t>
            </w:r>
            <w:r w:rsidRPr="00E0270F">
              <w:rPr>
                <w:rFonts w:ascii="Times New Roman" w:hAnsi="Times New Roman" w:cs="Times New Roman"/>
                <w:sz w:val="24"/>
                <w:szCs w:val="24"/>
              </w:rPr>
              <w:t>575/2013 groza attiecībā uz prasībām kredītriskam, kredīta vērtības korekcijas riskam, operacionālajam riskam, tirgus riskam un riska darījumu vērtības minimālajai robežvērtībai</w:t>
            </w:r>
            <w:r w:rsidR="004F18F1">
              <w:rPr>
                <w:rFonts w:ascii="Times New Roman" w:hAnsi="Times New Roman" w:cs="Times New Roman"/>
                <w:sz w:val="24"/>
                <w:szCs w:val="24"/>
              </w:rPr>
              <w:t xml:space="preserve"> </w:t>
            </w:r>
            <w:r w:rsidR="004F18F1">
              <w:rPr>
                <w:rFonts w:ascii="Times New Roman" w:eastAsia="Times New Roman" w:hAnsi="Times New Roman" w:cs="Times New Roman"/>
                <w:sz w:val="24"/>
                <w:szCs w:val="24"/>
                <w:lang w:eastAsia="lv-LV"/>
              </w:rPr>
              <w:t>(</w:t>
            </w:r>
            <w:r w:rsidR="004F18F1" w:rsidRPr="00492ED8">
              <w:rPr>
                <w:rFonts w:ascii="Times New Roman" w:hAnsi="Times New Roman" w:cs="Times New Roman"/>
                <w:sz w:val="24"/>
                <w:szCs w:val="24"/>
              </w:rPr>
              <w:t>turpmāk</w:t>
            </w:r>
            <w:r w:rsidR="004F18F1">
              <w:rPr>
                <w:rFonts w:ascii="Times New Roman" w:hAnsi="Times New Roman" w:cs="Times New Roman"/>
                <w:sz w:val="24"/>
                <w:szCs w:val="24"/>
              </w:rPr>
              <w:t> </w:t>
            </w:r>
            <w:r w:rsidR="004F18F1" w:rsidRPr="00492ED8">
              <w:rPr>
                <w:rFonts w:ascii="Times New Roman" w:hAnsi="Times New Roman" w:cs="Times New Roman"/>
                <w:sz w:val="24"/>
                <w:szCs w:val="24"/>
              </w:rPr>
              <w:t xml:space="preserve">– </w:t>
            </w:r>
            <w:r w:rsidR="004F18F1">
              <w:rPr>
                <w:rFonts w:ascii="Times New Roman" w:hAnsi="Times New Roman" w:cs="Times New Roman"/>
                <w:sz w:val="24"/>
                <w:szCs w:val="24"/>
              </w:rPr>
              <w:t>Regula</w:t>
            </w:r>
            <w:r w:rsidR="004F18F1" w:rsidRPr="00492ED8">
              <w:rPr>
                <w:rFonts w:ascii="Times New Roman" w:hAnsi="Times New Roman" w:cs="Times New Roman"/>
                <w:sz w:val="24"/>
                <w:szCs w:val="24"/>
              </w:rPr>
              <w:t xml:space="preserve"> Nr.</w:t>
            </w:r>
            <w:r w:rsidR="004F18F1">
              <w:rPr>
                <w:rFonts w:ascii="Times New Roman" w:hAnsi="Times New Roman" w:cs="Times New Roman"/>
                <w:sz w:val="24"/>
                <w:szCs w:val="24"/>
              </w:rPr>
              <w:t> 2024/1623) ievieš jaunas metodes operacionāl</w:t>
            </w:r>
            <w:r w:rsidR="002C17FB">
              <w:rPr>
                <w:rFonts w:ascii="Times New Roman" w:hAnsi="Times New Roman" w:cs="Times New Roman"/>
                <w:sz w:val="24"/>
                <w:szCs w:val="24"/>
              </w:rPr>
              <w:t>ā</w:t>
            </w:r>
            <w:r w:rsidR="004F18F1">
              <w:rPr>
                <w:rFonts w:ascii="Times New Roman" w:hAnsi="Times New Roman" w:cs="Times New Roman"/>
                <w:sz w:val="24"/>
                <w:szCs w:val="24"/>
              </w:rPr>
              <w:t xml:space="preserve"> riska un tirgus riska kapitāla prasību aprēķinam. Regula Nr. 2024/16</w:t>
            </w:r>
            <w:r w:rsidR="001D72FD">
              <w:rPr>
                <w:rFonts w:ascii="Times New Roman" w:hAnsi="Times New Roman" w:cs="Times New Roman"/>
                <w:sz w:val="24"/>
                <w:szCs w:val="24"/>
              </w:rPr>
              <w:t>2</w:t>
            </w:r>
            <w:r w:rsidR="004F18F1">
              <w:rPr>
                <w:rFonts w:ascii="Times New Roman" w:hAnsi="Times New Roman" w:cs="Times New Roman"/>
                <w:sz w:val="24"/>
                <w:szCs w:val="24"/>
              </w:rPr>
              <w:t xml:space="preserve">3 no </w:t>
            </w:r>
            <w:r w:rsidR="004F6E33">
              <w:rPr>
                <w:rFonts w:ascii="Times New Roman" w:hAnsi="Times New Roman" w:cs="Times New Roman"/>
                <w:sz w:val="24"/>
                <w:szCs w:val="24"/>
              </w:rPr>
              <w:t xml:space="preserve">2025. gada </w:t>
            </w:r>
            <w:r w:rsidR="004F18F1">
              <w:rPr>
                <w:rFonts w:ascii="Times New Roman" w:hAnsi="Times New Roman" w:cs="Times New Roman"/>
                <w:sz w:val="24"/>
                <w:szCs w:val="24"/>
              </w:rPr>
              <w:t xml:space="preserve">1. janvāra </w:t>
            </w:r>
            <w:r w:rsidR="00D31810">
              <w:rPr>
                <w:rFonts w:ascii="Times New Roman" w:hAnsi="Times New Roman" w:cs="Times New Roman"/>
                <w:sz w:val="24"/>
                <w:szCs w:val="24"/>
              </w:rPr>
              <w:t>vairs</w:t>
            </w:r>
            <w:r w:rsidR="00D31810" w:rsidDel="004F6E33">
              <w:rPr>
                <w:rFonts w:ascii="Times New Roman" w:hAnsi="Times New Roman" w:cs="Times New Roman"/>
                <w:sz w:val="24"/>
                <w:szCs w:val="24"/>
              </w:rPr>
              <w:t xml:space="preserve"> </w:t>
            </w:r>
            <w:r w:rsidR="004F18F1">
              <w:rPr>
                <w:rFonts w:ascii="Times New Roman" w:hAnsi="Times New Roman" w:cs="Times New Roman"/>
                <w:sz w:val="24"/>
                <w:szCs w:val="24"/>
              </w:rPr>
              <w:t xml:space="preserve">neparedz </w:t>
            </w:r>
            <w:r w:rsidR="00A13A06">
              <w:rPr>
                <w:rFonts w:ascii="Times New Roman" w:hAnsi="Times New Roman" w:cs="Times New Roman"/>
                <w:sz w:val="24"/>
                <w:szCs w:val="24"/>
              </w:rPr>
              <w:t xml:space="preserve">kredītiestādēm </w:t>
            </w:r>
            <w:r w:rsidR="004F18F1">
              <w:rPr>
                <w:rFonts w:ascii="Times New Roman" w:hAnsi="Times New Roman" w:cs="Times New Roman"/>
                <w:sz w:val="24"/>
                <w:szCs w:val="24"/>
              </w:rPr>
              <w:t xml:space="preserve">iespēju izmantot </w:t>
            </w:r>
            <w:r w:rsidR="00E878F5">
              <w:rPr>
                <w:rFonts w:ascii="Times New Roman" w:hAnsi="Times New Roman" w:cs="Times New Roman"/>
                <w:sz w:val="24"/>
                <w:szCs w:val="24"/>
              </w:rPr>
              <w:t xml:space="preserve">AMP pieeju </w:t>
            </w:r>
            <w:r w:rsidR="004F18F1" w:rsidRPr="004F18F1">
              <w:rPr>
                <w:rFonts w:ascii="Times New Roman" w:hAnsi="Times New Roman" w:cs="Times New Roman"/>
                <w:sz w:val="24"/>
                <w:szCs w:val="24"/>
              </w:rPr>
              <w:t xml:space="preserve">operacionālā riska pašu kapitāla prasības </w:t>
            </w:r>
            <w:r w:rsidR="00A13A06">
              <w:rPr>
                <w:rFonts w:ascii="Times New Roman" w:hAnsi="Times New Roman" w:cs="Times New Roman"/>
                <w:sz w:val="24"/>
                <w:szCs w:val="24"/>
              </w:rPr>
              <w:t>aprēķ</w:t>
            </w:r>
            <w:r w:rsidR="004F18F1" w:rsidRPr="004F18F1">
              <w:rPr>
                <w:rFonts w:ascii="Times New Roman" w:hAnsi="Times New Roman" w:cs="Times New Roman"/>
                <w:sz w:val="24"/>
                <w:szCs w:val="24"/>
              </w:rPr>
              <w:t>i</w:t>
            </w:r>
            <w:r w:rsidR="00A13A06">
              <w:rPr>
                <w:rFonts w:ascii="Times New Roman" w:hAnsi="Times New Roman" w:cs="Times New Roman"/>
                <w:sz w:val="24"/>
                <w:szCs w:val="24"/>
              </w:rPr>
              <w:t>nam</w:t>
            </w:r>
            <w:r w:rsidR="004F18F1">
              <w:rPr>
                <w:rFonts w:ascii="Times New Roman" w:hAnsi="Times New Roman" w:cs="Times New Roman"/>
                <w:sz w:val="24"/>
                <w:szCs w:val="24"/>
              </w:rPr>
              <w:t xml:space="preserve">, kā arī aizstāj </w:t>
            </w:r>
            <w:r w:rsidR="00E878F5">
              <w:rPr>
                <w:rFonts w:ascii="Times New Roman" w:hAnsi="Times New Roman" w:cs="Times New Roman"/>
                <w:sz w:val="24"/>
                <w:szCs w:val="24"/>
              </w:rPr>
              <w:t>IMTR</w:t>
            </w:r>
            <w:r w:rsidR="004F18F1" w:rsidRPr="004F18F1">
              <w:rPr>
                <w:rFonts w:ascii="Times New Roman" w:hAnsi="Times New Roman" w:cs="Times New Roman"/>
                <w:sz w:val="24"/>
                <w:szCs w:val="24"/>
              </w:rPr>
              <w:t xml:space="preserve"> modeli</w:t>
            </w:r>
            <w:r w:rsidR="004F18F1">
              <w:rPr>
                <w:rFonts w:ascii="Times New Roman" w:hAnsi="Times New Roman" w:cs="Times New Roman"/>
                <w:sz w:val="24"/>
                <w:szCs w:val="24"/>
              </w:rPr>
              <w:t xml:space="preserve"> ar </w:t>
            </w:r>
            <w:r w:rsidR="004F18F1" w:rsidRPr="004F18F1">
              <w:rPr>
                <w:rFonts w:ascii="Times New Roman" w:hAnsi="Times New Roman" w:cs="Times New Roman"/>
                <w:sz w:val="24"/>
                <w:szCs w:val="24"/>
              </w:rPr>
              <w:t>alternatīvo iekšējā modeļa pieeju tirgus riska pašu kapitāla prasību aprēķinam</w:t>
            </w:r>
            <w:r w:rsidR="00E878F5">
              <w:rPr>
                <w:rFonts w:ascii="Times New Roman" w:hAnsi="Times New Roman" w:cs="Times New Roman"/>
                <w:sz w:val="24"/>
                <w:szCs w:val="24"/>
              </w:rPr>
              <w:t xml:space="preserve">. </w:t>
            </w:r>
          </w:p>
          <w:p w14:paraId="31DF2EE5" w14:textId="6BA72A33" w:rsidR="00EA4B8B" w:rsidRPr="00445C89" w:rsidRDefault="00E878F5" w:rsidP="00EA1AC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Ņemot vērā Regulu Nr. 2024/1623, no </w:t>
            </w:r>
            <w:r w:rsidR="00D31810">
              <w:rPr>
                <w:rFonts w:ascii="Times New Roman" w:hAnsi="Times New Roman" w:cs="Times New Roman"/>
                <w:sz w:val="24"/>
                <w:szCs w:val="24"/>
              </w:rPr>
              <w:t xml:space="preserve">2025. gada </w:t>
            </w:r>
            <w:r>
              <w:rPr>
                <w:rFonts w:ascii="Times New Roman" w:hAnsi="Times New Roman" w:cs="Times New Roman"/>
                <w:sz w:val="24"/>
                <w:szCs w:val="24"/>
              </w:rPr>
              <w:t>1.</w:t>
            </w:r>
            <w:r w:rsidR="00D31810">
              <w:rPr>
                <w:rFonts w:ascii="Times New Roman" w:hAnsi="Times New Roman" w:cs="Times New Roman"/>
                <w:sz w:val="24"/>
                <w:szCs w:val="24"/>
              </w:rPr>
              <w:t> </w:t>
            </w:r>
            <w:r>
              <w:rPr>
                <w:rFonts w:ascii="Times New Roman" w:hAnsi="Times New Roman" w:cs="Times New Roman"/>
                <w:sz w:val="24"/>
                <w:szCs w:val="24"/>
              </w:rPr>
              <w:t xml:space="preserve">janvāra </w:t>
            </w:r>
            <w:r w:rsidRPr="00445C89">
              <w:rPr>
                <w:rFonts w:ascii="Times New Roman" w:hAnsi="Times New Roman" w:cs="Times New Roman"/>
                <w:sz w:val="24"/>
                <w:szCs w:val="24"/>
              </w:rPr>
              <w:t>kredītiestāde var i</w:t>
            </w:r>
            <w:r w:rsidR="00EA4B8B" w:rsidRPr="00445C89">
              <w:rPr>
                <w:rFonts w:ascii="Times New Roman" w:hAnsi="Times New Roman" w:cs="Times New Roman"/>
                <w:sz w:val="24"/>
                <w:szCs w:val="24"/>
              </w:rPr>
              <w:t>zmantot</w:t>
            </w:r>
            <w:r w:rsidR="00D31810" w:rsidRPr="00445C89">
              <w:rPr>
                <w:rFonts w:ascii="Times New Roman" w:hAnsi="Times New Roman" w:cs="Times New Roman"/>
                <w:sz w:val="24"/>
                <w:szCs w:val="24"/>
              </w:rPr>
              <w:t>:</w:t>
            </w:r>
            <w:r w:rsidR="00EA4B8B" w:rsidRPr="00445C89">
              <w:rPr>
                <w:rFonts w:ascii="Times New Roman" w:hAnsi="Times New Roman" w:cs="Times New Roman"/>
                <w:sz w:val="24"/>
                <w:szCs w:val="24"/>
              </w:rPr>
              <w:t xml:space="preserve"> </w:t>
            </w:r>
          </w:p>
          <w:p w14:paraId="0C65F12F" w14:textId="0CD6738C" w:rsidR="00EA4B8B" w:rsidRPr="00445C89" w:rsidRDefault="00EA4B8B" w:rsidP="00B75A54">
            <w:pPr>
              <w:pStyle w:val="NApunkts2"/>
              <w:numPr>
                <w:ilvl w:val="1"/>
                <w:numId w:val="18"/>
              </w:numPr>
              <w:tabs>
                <w:tab w:val="left" w:pos="347"/>
              </w:tabs>
              <w:spacing w:after="120"/>
              <w:ind w:left="36" w:firstLine="0"/>
            </w:pPr>
            <w:r w:rsidRPr="00445C89">
              <w:t>IRB pieeju kredītriskam pakļauto riska darījumu riska svērtās vērtības aprēķinā;</w:t>
            </w:r>
          </w:p>
          <w:p w14:paraId="3DE26088" w14:textId="1A1B75B6" w:rsidR="00EA4B8B" w:rsidRPr="00445C89" w:rsidRDefault="00EA4B8B" w:rsidP="00B75A54">
            <w:pPr>
              <w:pStyle w:val="NApunkts2"/>
              <w:numPr>
                <w:ilvl w:val="1"/>
                <w:numId w:val="18"/>
              </w:numPr>
              <w:tabs>
                <w:tab w:val="left" w:pos="347"/>
              </w:tabs>
              <w:spacing w:after="120"/>
              <w:ind w:left="36" w:firstLine="0"/>
            </w:pPr>
            <w:r w:rsidRPr="00445C89">
              <w:t>IMM metod</w:t>
            </w:r>
            <w:r w:rsidR="00E878F5" w:rsidRPr="00445C89">
              <w:t>i</w:t>
            </w:r>
            <w:r w:rsidRPr="00445C89">
              <w:t xml:space="preserve"> darījumu partnera kredītriska riska darījumu vērtības aprēķinā;</w:t>
            </w:r>
          </w:p>
          <w:p w14:paraId="309E0DAF" w14:textId="2A7F9545" w:rsidR="00EA4B8B" w:rsidRDefault="00EA4B8B" w:rsidP="00B75A54">
            <w:pPr>
              <w:pStyle w:val="NApunkts2"/>
              <w:numPr>
                <w:ilvl w:val="1"/>
                <w:numId w:val="18"/>
              </w:numPr>
              <w:tabs>
                <w:tab w:val="left" w:pos="347"/>
              </w:tabs>
              <w:spacing w:after="120"/>
              <w:ind w:left="36" w:firstLine="0"/>
            </w:pPr>
            <w:r>
              <w:t>alternatīvo iekšējā modeļa pieeju tirgus riska pašu kapitāla prasību aprēķin</w:t>
            </w:r>
            <w:r w:rsidR="00AC7B58">
              <w:t>ā</w:t>
            </w:r>
            <w:r>
              <w:t>;</w:t>
            </w:r>
          </w:p>
          <w:p w14:paraId="5856D567" w14:textId="070AC850" w:rsidR="00EA4B8B" w:rsidRPr="00445C89" w:rsidRDefault="00EA4B8B" w:rsidP="00B75A54">
            <w:pPr>
              <w:pStyle w:val="NApunkts2"/>
              <w:numPr>
                <w:ilvl w:val="1"/>
                <w:numId w:val="18"/>
              </w:numPr>
              <w:tabs>
                <w:tab w:val="left" w:pos="347"/>
              </w:tabs>
              <w:spacing w:after="120"/>
              <w:ind w:left="36" w:firstLine="0"/>
            </w:pPr>
            <w:r w:rsidRPr="008F1A85">
              <w:t>citus iekšējos modeļus, pieejas un metodes saskaņā ar Regulu Nr. 575/2013</w:t>
            </w:r>
            <w:r>
              <w:t xml:space="preserve">, </w:t>
            </w:r>
            <w:r w:rsidRPr="00D32FB0">
              <w:t xml:space="preserve">piemēram, </w:t>
            </w:r>
            <w:r w:rsidR="008A566A">
              <w:t>i</w:t>
            </w:r>
            <w:r w:rsidR="008A566A" w:rsidRPr="008A566A">
              <w:t>ekšējo modeļu pieej</w:t>
            </w:r>
            <w:r w:rsidR="000F4FE6">
              <w:t>u</w:t>
            </w:r>
            <w:r w:rsidR="008A566A" w:rsidRPr="008A566A">
              <w:t xml:space="preserve"> savstarpējo prasījumu </w:t>
            </w:r>
            <w:r w:rsidR="008A566A" w:rsidRPr="00445C89">
              <w:t xml:space="preserve">ieskaita jumta līgumiem saskaņā ar Regulas Nr. 575/2013 221. pantu. </w:t>
            </w:r>
          </w:p>
          <w:p w14:paraId="04597CDE" w14:textId="1AC1474C" w:rsidR="00D32FB0" w:rsidRDefault="00EA4B8B" w:rsidP="00EA1AC6">
            <w:pPr>
              <w:spacing w:after="120" w:line="240" w:lineRule="auto"/>
              <w:jc w:val="both"/>
              <w:rPr>
                <w:rFonts w:ascii="Times New Roman" w:hAnsi="Times New Roman" w:cs="Times New Roman"/>
                <w:sz w:val="24"/>
                <w:szCs w:val="24"/>
              </w:rPr>
            </w:pPr>
            <w:r w:rsidRPr="00445C89">
              <w:rPr>
                <w:rFonts w:ascii="Times New Roman" w:hAnsi="Times New Roman" w:cs="Times New Roman"/>
                <w:sz w:val="24"/>
                <w:szCs w:val="24"/>
              </w:rPr>
              <w:t>Eiropas Komisija plāno atlikt jauno prasību tirgus riska kapitāla prasību aprēķinam, tai skaitā alternatīv</w:t>
            </w:r>
            <w:r w:rsidR="009D6D14" w:rsidRPr="00445C89">
              <w:rPr>
                <w:rFonts w:ascii="Times New Roman" w:hAnsi="Times New Roman" w:cs="Times New Roman"/>
                <w:sz w:val="24"/>
                <w:szCs w:val="24"/>
              </w:rPr>
              <w:t>ās</w:t>
            </w:r>
            <w:r w:rsidRPr="00445C89">
              <w:rPr>
                <w:rFonts w:ascii="Times New Roman" w:hAnsi="Times New Roman" w:cs="Times New Roman"/>
                <w:sz w:val="24"/>
                <w:szCs w:val="24"/>
              </w:rPr>
              <w:t xml:space="preserve"> iekšēj</w:t>
            </w:r>
            <w:r w:rsidR="009D6D14" w:rsidRPr="00445C89">
              <w:rPr>
                <w:rFonts w:ascii="Times New Roman" w:hAnsi="Times New Roman" w:cs="Times New Roman"/>
                <w:sz w:val="24"/>
                <w:szCs w:val="24"/>
              </w:rPr>
              <w:t>ā</w:t>
            </w:r>
            <w:r w:rsidRPr="00445C89">
              <w:rPr>
                <w:rFonts w:ascii="Times New Roman" w:hAnsi="Times New Roman" w:cs="Times New Roman"/>
                <w:sz w:val="24"/>
                <w:szCs w:val="24"/>
              </w:rPr>
              <w:t xml:space="preserve"> modeļ</w:t>
            </w:r>
            <w:r w:rsidR="009D6D14" w:rsidRPr="00445C89">
              <w:rPr>
                <w:rFonts w:ascii="Times New Roman" w:hAnsi="Times New Roman" w:cs="Times New Roman"/>
                <w:sz w:val="24"/>
                <w:szCs w:val="24"/>
              </w:rPr>
              <w:t>a</w:t>
            </w:r>
            <w:r w:rsidRPr="00445C89">
              <w:rPr>
                <w:rFonts w:ascii="Times New Roman" w:hAnsi="Times New Roman" w:cs="Times New Roman"/>
                <w:sz w:val="24"/>
                <w:szCs w:val="24"/>
              </w:rPr>
              <w:t xml:space="preserve"> pieejas, spēkā stāšanos līdz 2026. gada</w:t>
            </w:r>
            <w:r w:rsidR="00D31810" w:rsidRPr="00445C89">
              <w:rPr>
                <w:rFonts w:ascii="Times New Roman" w:hAnsi="Times New Roman" w:cs="Times New Roman"/>
                <w:sz w:val="24"/>
                <w:szCs w:val="24"/>
              </w:rPr>
              <w:t xml:space="preserve"> 1. janvārim</w:t>
            </w:r>
            <w:r w:rsidRPr="00445C89">
              <w:rPr>
                <w:rFonts w:ascii="Times New Roman" w:hAnsi="Times New Roman" w:cs="Times New Roman"/>
                <w:sz w:val="24"/>
                <w:szCs w:val="24"/>
              </w:rPr>
              <w:t>.</w:t>
            </w:r>
            <w:r>
              <w:rPr>
                <w:rFonts w:ascii="Times New Roman" w:hAnsi="Times New Roman" w:cs="Times New Roman"/>
                <w:sz w:val="24"/>
                <w:szCs w:val="24"/>
              </w:rPr>
              <w:t xml:space="preserve"> </w:t>
            </w:r>
          </w:p>
          <w:p w14:paraId="1988595C" w14:textId="3368EC07" w:rsidR="003830EB" w:rsidRDefault="003830EB" w:rsidP="00EA1AC6">
            <w:pPr>
              <w:spacing w:after="12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Savukārt</w:t>
            </w:r>
            <w:r>
              <w:t xml:space="preserve"> </w:t>
            </w:r>
            <w:r w:rsidRPr="003830EB">
              <w:rPr>
                <w:rFonts w:ascii="Times New Roman" w:eastAsia="Times New Roman" w:hAnsi="Times New Roman" w:cs="Times New Roman"/>
                <w:sz w:val="24"/>
                <w:szCs w:val="24"/>
                <w:lang w:eastAsia="lv-LV"/>
              </w:rPr>
              <w:t xml:space="preserve">Komisijas </w:t>
            </w:r>
            <w:r w:rsidR="00D31810" w:rsidRPr="003830EB">
              <w:rPr>
                <w:rFonts w:ascii="Times New Roman" w:eastAsia="Times New Roman" w:hAnsi="Times New Roman" w:cs="Times New Roman"/>
                <w:sz w:val="24"/>
                <w:szCs w:val="24"/>
                <w:lang w:eastAsia="lv-LV"/>
              </w:rPr>
              <w:t>2014.</w:t>
            </w:r>
            <w:r w:rsidR="00D31810">
              <w:rPr>
                <w:rFonts w:ascii="Times New Roman" w:eastAsia="Times New Roman" w:hAnsi="Times New Roman" w:cs="Times New Roman"/>
                <w:sz w:val="24"/>
                <w:szCs w:val="24"/>
                <w:lang w:eastAsia="lv-LV"/>
              </w:rPr>
              <w:t> </w:t>
            </w:r>
            <w:r w:rsidR="00D31810" w:rsidRPr="003830EB">
              <w:rPr>
                <w:rFonts w:ascii="Times New Roman" w:eastAsia="Times New Roman" w:hAnsi="Times New Roman" w:cs="Times New Roman"/>
                <w:sz w:val="24"/>
                <w:szCs w:val="24"/>
                <w:lang w:eastAsia="lv-LV"/>
              </w:rPr>
              <w:t>gada 12.</w:t>
            </w:r>
            <w:r w:rsidR="00D31810">
              <w:rPr>
                <w:rFonts w:ascii="Times New Roman" w:eastAsia="Times New Roman" w:hAnsi="Times New Roman" w:cs="Times New Roman"/>
                <w:sz w:val="24"/>
                <w:szCs w:val="24"/>
                <w:lang w:eastAsia="lv-LV"/>
              </w:rPr>
              <w:t> </w:t>
            </w:r>
            <w:r w:rsidR="00D31810" w:rsidRPr="003830EB">
              <w:rPr>
                <w:rFonts w:ascii="Times New Roman" w:eastAsia="Times New Roman" w:hAnsi="Times New Roman" w:cs="Times New Roman"/>
                <w:sz w:val="24"/>
                <w:szCs w:val="24"/>
                <w:lang w:eastAsia="lv-LV"/>
              </w:rPr>
              <w:t>mart</w:t>
            </w:r>
            <w:r w:rsidR="00D31810">
              <w:rPr>
                <w:rFonts w:ascii="Times New Roman" w:eastAsia="Times New Roman" w:hAnsi="Times New Roman" w:cs="Times New Roman"/>
                <w:sz w:val="24"/>
                <w:szCs w:val="24"/>
                <w:lang w:eastAsia="lv-LV"/>
              </w:rPr>
              <w:t>a d</w:t>
            </w:r>
            <w:r w:rsidRPr="003830EB">
              <w:rPr>
                <w:rFonts w:ascii="Times New Roman" w:eastAsia="Times New Roman" w:hAnsi="Times New Roman" w:cs="Times New Roman"/>
                <w:sz w:val="24"/>
                <w:szCs w:val="24"/>
                <w:lang w:eastAsia="lv-LV"/>
              </w:rPr>
              <w:t xml:space="preserve">eleģētā </w:t>
            </w:r>
            <w:r w:rsidR="00D31810">
              <w:rPr>
                <w:rFonts w:ascii="Times New Roman" w:eastAsia="Times New Roman" w:hAnsi="Times New Roman" w:cs="Times New Roman"/>
                <w:sz w:val="24"/>
                <w:szCs w:val="24"/>
                <w:lang w:eastAsia="lv-LV"/>
              </w:rPr>
              <w:t>r</w:t>
            </w:r>
            <w:r w:rsidRPr="003830EB">
              <w:rPr>
                <w:rFonts w:ascii="Times New Roman" w:eastAsia="Times New Roman" w:hAnsi="Times New Roman" w:cs="Times New Roman"/>
                <w:sz w:val="24"/>
                <w:szCs w:val="24"/>
                <w:lang w:eastAsia="lv-LV"/>
              </w:rPr>
              <w:t>egula (ES) Nr.</w:t>
            </w:r>
            <w:r w:rsidR="004C329A">
              <w:rPr>
                <w:rFonts w:ascii="Times New Roman" w:eastAsia="Times New Roman" w:hAnsi="Times New Roman" w:cs="Times New Roman"/>
                <w:sz w:val="24"/>
                <w:szCs w:val="24"/>
                <w:lang w:eastAsia="lv-LV"/>
              </w:rPr>
              <w:t> </w:t>
            </w:r>
            <w:r w:rsidRPr="003830EB">
              <w:rPr>
                <w:rFonts w:ascii="Times New Roman" w:eastAsia="Times New Roman" w:hAnsi="Times New Roman" w:cs="Times New Roman"/>
                <w:sz w:val="24"/>
                <w:szCs w:val="24"/>
                <w:lang w:eastAsia="lv-LV"/>
              </w:rPr>
              <w:t>529/2014,</w:t>
            </w:r>
            <w:r>
              <w:rPr>
                <w:rFonts w:ascii="Times New Roman" w:eastAsia="Times New Roman" w:hAnsi="Times New Roman" w:cs="Times New Roman"/>
                <w:sz w:val="24"/>
                <w:szCs w:val="24"/>
                <w:lang w:eastAsia="lv-LV"/>
              </w:rPr>
              <w:t xml:space="preserve"> </w:t>
            </w:r>
            <w:r w:rsidRPr="003830EB">
              <w:rPr>
                <w:rFonts w:ascii="Times New Roman" w:eastAsia="Times New Roman" w:hAnsi="Times New Roman" w:cs="Times New Roman"/>
                <w:sz w:val="24"/>
                <w:szCs w:val="24"/>
                <w:lang w:eastAsia="lv-LV"/>
              </w:rPr>
              <w:t xml:space="preserve">ar ko papildina Eiropas Parlamenta un Padomes </w:t>
            </w:r>
            <w:r w:rsidR="00EA1AC6">
              <w:rPr>
                <w:rFonts w:ascii="Times New Roman" w:eastAsia="Times New Roman" w:hAnsi="Times New Roman" w:cs="Times New Roman"/>
                <w:sz w:val="24"/>
                <w:szCs w:val="24"/>
                <w:lang w:eastAsia="lv-LV"/>
              </w:rPr>
              <w:t>r</w:t>
            </w:r>
            <w:r w:rsidRPr="003830EB">
              <w:rPr>
                <w:rFonts w:ascii="Times New Roman" w:eastAsia="Times New Roman" w:hAnsi="Times New Roman" w:cs="Times New Roman"/>
                <w:sz w:val="24"/>
                <w:szCs w:val="24"/>
                <w:lang w:eastAsia="lv-LV"/>
              </w:rPr>
              <w:t>egulu (ES) Nr.</w:t>
            </w:r>
            <w:r>
              <w:rPr>
                <w:rFonts w:ascii="Times New Roman" w:eastAsia="Times New Roman" w:hAnsi="Times New Roman" w:cs="Times New Roman"/>
                <w:sz w:val="24"/>
                <w:szCs w:val="24"/>
                <w:lang w:eastAsia="lv-LV"/>
              </w:rPr>
              <w:t> </w:t>
            </w:r>
            <w:r w:rsidRPr="003830EB">
              <w:rPr>
                <w:rFonts w:ascii="Times New Roman" w:eastAsia="Times New Roman" w:hAnsi="Times New Roman" w:cs="Times New Roman"/>
                <w:sz w:val="24"/>
                <w:szCs w:val="24"/>
                <w:lang w:eastAsia="lv-LV"/>
              </w:rPr>
              <w:t>575/2013 attiecībā uz regulatīviem tehniskajiem standartiem, lai novērtētu uz iekšējiem reitingiem balstītās pieejas un attīstītās mērīšanas pieejas paplašinājumu un izmaiņu būtiskumu</w:t>
            </w:r>
            <w:r>
              <w:rPr>
                <w:rFonts w:ascii="Times New Roman" w:eastAsia="Times New Roman" w:hAnsi="Times New Roman" w:cs="Times New Roman"/>
                <w:sz w:val="24"/>
                <w:szCs w:val="24"/>
                <w:lang w:eastAsia="lv-LV"/>
              </w:rPr>
              <w:t xml:space="preserve"> </w:t>
            </w:r>
            <w:r w:rsidR="00E47CCB">
              <w:rPr>
                <w:rFonts w:ascii="Times New Roman" w:eastAsia="Times New Roman" w:hAnsi="Times New Roman" w:cs="Times New Roman"/>
                <w:sz w:val="24"/>
                <w:szCs w:val="24"/>
                <w:lang w:eastAsia="lv-LV"/>
              </w:rPr>
              <w:t>(</w:t>
            </w:r>
            <w:r w:rsidR="00E47CCB" w:rsidRPr="00492ED8">
              <w:rPr>
                <w:rFonts w:ascii="Times New Roman" w:hAnsi="Times New Roman" w:cs="Times New Roman"/>
                <w:sz w:val="24"/>
                <w:szCs w:val="24"/>
              </w:rPr>
              <w:t>turpmāk</w:t>
            </w:r>
            <w:r w:rsidR="00E47CCB">
              <w:rPr>
                <w:rFonts w:ascii="Times New Roman" w:hAnsi="Times New Roman" w:cs="Times New Roman"/>
                <w:sz w:val="24"/>
                <w:szCs w:val="24"/>
              </w:rPr>
              <w:t> </w:t>
            </w:r>
            <w:r w:rsidR="00E47CCB" w:rsidRPr="00492ED8">
              <w:rPr>
                <w:rFonts w:ascii="Times New Roman" w:hAnsi="Times New Roman" w:cs="Times New Roman"/>
                <w:sz w:val="24"/>
                <w:szCs w:val="24"/>
              </w:rPr>
              <w:t xml:space="preserve">– </w:t>
            </w:r>
            <w:r w:rsidR="00E47CCB">
              <w:rPr>
                <w:rFonts w:ascii="Times New Roman" w:hAnsi="Times New Roman" w:cs="Times New Roman"/>
                <w:sz w:val="24"/>
                <w:szCs w:val="24"/>
              </w:rPr>
              <w:t>Regula</w:t>
            </w:r>
            <w:r w:rsidR="00E47CCB" w:rsidRPr="00492ED8">
              <w:rPr>
                <w:rFonts w:ascii="Times New Roman" w:hAnsi="Times New Roman" w:cs="Times New Roman"/>
                <w:sz w:val="24"/>
                <w:szCs w:val="24"/>
              </w:rPr>
              <w:t xml:space="preserve"> Nr.</w:t>
            </w:r>
            <w:r w:rsidR="00E47CCB">
              <w:rPr>
                <w:rFonts w:ascii="Times New Roman" w:hAnsi="Times New Roman" w:cs="Times New Roman"/>
                <w:sz w:val="24"/>
                <w:szCs w:val="24"/>
              </w:rPr>
              <w:t xml:space="preserve"> 529/2014) </w:t>
            </w:r>
            <w:r>
              <w:rPr>
                <w:rFonts w:ascii="Times New Roman" w:eastAsia="Times New Roman" w:hAnsi="Times New Roman" w:cs="Times New Roman"/>
                <w:sz w:val="24"/>
                <w:szCs w:val="24"/>
                <w:lang w:eastAsia="lv-LV"/>
              </w:rPr>
              <w:t>nosaka</w:t>
            </w:r>
            <w:r w:rsidR="00EA1AC6">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kā izvērtēt</w:t>
            </w:r>
            <w:r w:rsidR="00E47CCB" w:rsidRPr="00E47CCB">
              <w:rPr>
                <w:rFonts w:ascii="Times New Roman" w:eastAsia="Times New Roman" w:hAnsi="Times New Roman" w:cs="Times New Roman"/>
                <w:sz w:val="24"/>
                <w:szCs w:val="24"/>
                <w:lang w:eastAsia="lv-LV"/>
              </w:rPr>
              <w:t xml:space="preserve"> </w:t>
            </w:r>
            <w:r w:rsidR="00D32FB0">
              <w:rPr>
                <w:rFonts w:ascii="Times New Roman" w:eastAsia="Times New Roman" w:hAnsi="Times New Roman" w:cs="Times New Roman"/>
                <w:sz w:val="24"/>
                <w:szCs w:val="24"/>
                <w:lang w:eastAsia="lv-LV"/>
              </w:rPr>
              <w:t xml:space="preserve">IRB </w:t>
            </w:r>
            <w:r w:rsidR="00E47CCB" w:rsidRPr="00E47CCB">
              <w:rPr>
                <w:rFonts w:ascii="Times New Roman" w:eastAsia="Times New Roman" w:hAnsi="Times New Roman" w:cs="Times New Roman"/>
                <w:sz w:val="24"/>
                <w:szCs w:val="24"/>
                <w:lang w:eastAsia="lv-LV"/>
              </w:rPr>
              <w:t>pieej</w:t>
            </w:r>
            <w:r w:rsidR="00E47CCB">
              <w:rPr>
                <w:rFonts w:ascii="Times New Roman" w:eastAsia="Times New Roman" w:hAnsi="Times New Roman" w:cs="Times New Roman"/>
                <w:sz w:val="24"/>
                <w:szCs w:val="24"/>
                <w:lang w:eastAsia="lv-LV"/>
              </w:rPr>
              <w:t xml:space="preserve">as </w:t>
            </w:r>
            <w:r>
              <w:rPr>
                <w:rFonts w:ascii="Times New Roman" w:eastAsia="Times New Roman" w:hAnsi="Times New Roman" w:cs="Times New Roman"/>
                <w:sz w:val="24"/>
                <w:szCs w:val="24"/>
                <w:lang w:eastAsia="lv-LV"/>
              </w:rPr>
              <w:t xml:space="preserve">izmaiņu būtiskumu un </w:t>
            </w:r>
            <w:r w:rsidR="002C17FB" w:rsidRPr="00E47CCB">
              <w:rPr>
                <w:rFonts w:ascii="Times New Roman" w:eastAsia="Times New Roman" w:hAnsi="Times New Roman" w:cs="Times New Roman"/>
                <w:sz w:val="24"/>
                <w:szCs w:val="24"/>
                <w:lang w:eastAsia="lv-LV"/>
              </w:rPr>
              <w:t>at</w:t>
            </w:r>
            <w:r w:rsidR="002C17FB">
              <w:rPr>
                <w:rFonts w:ascii="Times New Roman" w:eastAsia="Times New Roman" w:hAnsi="Times New Roman" w:cs="Times New Roman"/>
                <w:sz w:val="24"/>
                <w:szCs w:val="24"/>
                <w:lang w:eastAsia="lv-LV"/>
              </w:rPr>
              <w:t>tiecīgi</w:t>
            </w:r>
            <w:r w:rsidR="002C17FB" w:rsidRPr="00E47CCB">
              <w:rPr>
                <w:rFonts w:ascii="Times New Roman" w:eastAsia="Times New Roman" w:hAnsi="Times New Roman" w:cs="Times New Roman"/>
                <w:sz w:val="24"/>
                <w:szCs w:val="24"/>
                <w:lang w:eastAsia="lv-LV"/>
              </w:rPr>
              <w:t xml:space="preserve"> </w:t>
            </w:r>
            <w:r w:rsidRPr="00E47CCB">
              <w:rPr>
                <w:rFonts w:ascii="Times New Roman" w:eastAsia="Times New Roman" w:hAnsi="Times New Roman" w:cs="Times New Roman"/>
                <w:sz w:val="24"/>
                <w:szCs w:val="24"/>
                <w:lang w:eastAsia="lv-LV"/>
              </w:rPr>
              <w:t xml:space="preserve">to, vai </w:t>
            </w:r>
            <w:r w:rsidR="00E47CCB" w:rsidRPr="00E47CCB">
              <w:rPr>
                <w:rFonts w:ascii="Times New Roman" w:eastAsia="Times New Roman" w:hAnsi="Times New Roman" w:cs="Times New Roman"/>
                <w:sz w:val="24"/>
                <w:szCs w:val="24"/>
                <w:lang w:eastAsia="lv-LV"/>
              </w:rPr>
              <w:t xml:space="preserve">kredītiestādei ir </w:t>
            </w:r>
            <w:r w:rsidRPr="00E47CCB">
              <w:rPr>
                <w:rFonts w:ascii="Times New Roman" w:eastAsia="Times New Roman" w:hAnsi="Times New Roman" w:cs="Times New Roman"/>
                <w:sz w:val="24"/>
                <w:szCs w:val="24"/>
                <w:lang w:eastAsia="lv-LV"/>
              </w:rPr>
              <w:t xml:space="preserve">jāsaņem </w:t>
            </w:r>
            <w:r w:rsidR="00E47CCB">
              <w:rPr>
                <w:rFonts w:ascii="Times New Roman" w:eastAsia="Times New Roman" w:hAnsi="Times New Roman" w:cs="Times New Roman"/>
                <w:sz w:val="24"/>
                <w:szCs w:val="24"/>
                <w:lang w:eastAsia="lv-LV"/>
              </w:rPr>
              <w:t xml:space="preserve">uzraudzības iestādes </w:t>
            </w:r>
            <w:r w:rsidRPr="00E47CCB">
              <w:rPr>
                <w:rFonts w:ascii="Times New Roman" w:eastAsia="Times New Roman" w:hAnsi="Times New Roman" w:cs="Times New Roman"/>
                <w:sz w:val="24"/>
                <w:szCs w:val="24"/>
                <w:lang w:eastAsia="lv-LV"/>
              </w:rPr>
              <w:t xml:space="preserve">atļauja veikt izmaiņas pirms to ieviešanas vai jāpaziņo </w:t>
            </w:r>
            <w:r w:rsidR="00A13A06">
              <w:rPr>
                <w:rFonts w:ascii="Times New Roman" w:eastAsia="Times New Roman" w:hAnsi="Times New Roman" w:cs="Times New Roman"/>
                <w:sz w:val="24"/>
                <w:szCs w:val="24"/>
                <w:lang w:eastAsia="lv-LV"/>
              </w:rPr>
              <w:t>kompetentajai</w:t>
            </w:r>
            <w:r w:rsidR="0094347A" w:rsidRPr="00E47CCB">
              <w:rPr>
                <w:rFonts w:ascii="Times New Roman" w:eastAsia="Times New Roman" w:hAnsi="Times New Roman" w:cs="Times New Roman"/>
                <w:sz w:val="24"/>
                <w:szCs w:val="24"/>
                <w:lang w:eastAsia="lv-LV"/>
              </w:rPr>
              <w:t xml:space="preserve"> iestādei </w:t>
            </w:r>
            <w:r w:rsidRPr="00E47CCB">
              <w:rPr>
                <w:rFonts w:ascii="Times New Roman" w:eastAsia="Times New Roman" w:hAnsi="Times New Roman" w:cs="Times New Roman"/>
                <w:sz w:val="24"/>
                <w:szCs w:val="24"/>
                <w:lang w:eastAsia="lv-LV"/>
              </w:rPr>
              <w:t xml:space="preserve">par veiktajām izmaiņām pēc to ieviešanas. </w:t>
            </w:r>
            <w:r w:rsidR="00E47CCB" w:rsidRPr="00E47CCB">
              <w:rPr>
                <w:rFonts w:ascii="Times New Roman" w:eastAsia="Times New Roman" w:hAnsi="Times New Roman" w:cs="Times New Roman"/>
                <w:sz w:val="24"/>
                <w:szCs w:val="24"/>
                <w:lang w:eastAsia="lv-LV"/>
              </w:rPr>
              <w:t>Regulas Nr.</w:t>
            </w:r>
            <w:r w:rsidR="004C329A">
              <w:rPr>
                <w:rFonts w:ascii="Times New Roman" w:eastAsia="Times New Roman" w:hAnsi="Times New Roman" w:cs="Times New Roman"/>
                <w:sz w:val="24"/>
                <w:szCs w:val="24"/>
                <w:lang w:eastAsia="lv-LV"/>
              </w:rPr>
              <w:t> </w:t>
            </w:r>
            <w:r w:rsidR="00E47CCB" w:rsidRPr="00E47CCB">
              <w:rPr>
                <w:rFonts w:ascii="Times New Roman" w:hAnsi="Times New Roman" w:cs="Times New Roman"/>
                <w:sz w:val="24"/>
                <w:szCs w:val="24"/>
              </w:rPr>
              <w:t xml:space="preserve">529/2014 prasības attiecībā uz </w:t>
            </w:r>
            <w:r w:rsidR="001D72FD">
              <w:rPr>
                <w:rFonts w:ascii="Times New Roman" w:hAnsi="Times New Roman" w:cs="Times New Roman"/>
                <w:sz w:val="24"/>
                <w:szCs w:val="24"/>
              </w:rPr>
              <w:t xml:space="preserve">AMP </w:t>
            </w:r>
            <w:r w:rsidR="00E47CCB" w:rsidRPr="00E47CCB">
              <w:rPr>
                <w:rFonts w:ascii="Times New Roman" w:hAnsi="Times New Roman" w:cs="Times New Roman"/>
                <w:sz w:val="24"/>
                <w:szCs w:val="24"/>
              </w:rPr>
              <w:t xml:space="preserve">pieeju </w:t>
            </w:r>
            <w:r w:rsidR="001D72FD">
              <w:rPr>
                <w:rFonts w:ascii="Times New Roman" w:hAnsi="Times New Roman" w:cs="Times New Roman"/>
                <w:sz w:val="24"/>
                <w:szCs w:val="24"/>
              </w:rPr>
              <w:t>atbilstoši Regulai Nr.</w:t>
            </w:r>
            <w:r w:rsidR="00EA1AC6">
              <w:rPr>
                <w:rFonts w:ascii="Times New Roman" w:hAnsi="Times New Roman" w:cs="Times New Roman"/>
                <w:sz w:val="24"/>
                <w:szCs w:val="24"/>
              </w:rPr>
              <w:t> </w:t>
            </w:r>
            <w:r w:rsidR="001D72FD">
              <w:rPr>
                <w:rFonts w:ascii="Times New Roman" w:hAnsi="Times New Roman" w:cs="Times New Roman"/>
                <w:sz w:val="24"/>
                <w:szCs w:val="24"/>
              </w:rPr>
              <w:t xml:space="preserve">2024/1623 </w:t>
            </w:r>
            <w:r w:rsidR="00E47CCB" w:rsidRPr="00E47CCB">
              <w:rPr>
                <w:rFonts w:ascii="Times New Roman" w:hAnsi="Times New Roman" w:cs="Times New Roman"/>
                <w:sz w:val="24"/>
                <w:szCs w:val="24"/>
              </w:rPr>
              <w:t>vairs nebūs piemērojamas</w:t>
            </w:r>
            <w:r w:rsidR="00EA1AC6">
              <w:rPr>
                <w:rFonts w:ascii="Times New Roman" w:hAnsi="Times New Roman" w:cs="Times New Roman"/>
                <w:sz w:val="24"/>
                <w:szCs w:val="24"/>
              </w:rPr>
              <w:t>,</w:t>
            </w:r>
            <w:r w:rsidR="00E47CCB" w:rsidRPr="00E47CCB">
              <w:rPr>
                <w:rFonts w:ascii="Times New Roman" w:hAnsi="Times New Roman" w:cs="Times New Roman"/>
                <w:sz w:val="24"/>
                <w:szCs w:val="24"/>
              </w:rPr>
              <w:t xml:space="preserve"> sākot ar 2025. gada 1. janvāri. </w:t>
            </w:r>
          </w:p>
          <w:p w14:paraId="5526FAA8" w14:textId="7C0DDB2F" w:rsidR="00E47CCB" w:rsidRDefault="00E47CCB" w:rsidP="00EA1AC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Pamatojoties uz Regulas Nr. 575/2013 325.az panta 8. punktu</w:t>
            </w:r>
            <w:r w:rsidR="00EA1AC6">
              <w:rPr>
                <w:rFonts w:ascii="Times New Roman" w:hAnsi="Times New Roman" w:cs="Times New Roman"/>
                <w:sz w:val="24"/>
                <w:szCs w:val="24"/>
              </w:rPr>
              <w:t>,</w:t>
            </w:r>
            <w:r>
              <w:rPr>
                <w:rFonts w:ascii="Times New Roman" w:hAnsi="Times New Roman" w:cs="Times New Roman"/>
                <w:sz w:val="24"/>
                <w:szCs w:val="24"/>
              </w:rPr>
              <w:t xml:space="preserve"> Eiropas Komisija izdos </w:t>
            </w:r>
            <w:r w:rsidRPr="00B94A53">
              <w:rPr>
                <w:rFonts w:ascii="Times New Roman" w:hAnsi="Times New Roman" w:cs="Times New Roman"/>
                <w:sz w:val="24"/>
                <w:szCs w:val="24"/>
              </w:rPr>
              <w:t>deleģēto regulu, k</w:t>
            </w:r>
            <w:r w:rsidR="002C17FB" w:rsidRPr="00B94A53">
              <w:rPr>
                <w:rFonts w:ascii="Times New Roman" w:hAnsi="Times New Roman" w:cs="Times New Roman"/>
                <w:sz w:val="24"/>
                <w:szCs w:val="24"/>
              </w:rPr>
              <w:t>ura</w:t>
            </w:r>
            <w:r w:rsidRPr="00B94A53">
              <w:rPr>
                <w:rFonts w:ascii="Times New Roman" w:hAnsi="Times New Roman" w:cs="Times New Roman"/>
                <w:sz w:val="24"/>
                <w:szCs w:val="24"/>
              </w:rPr>
              <w:t xml:space="preserve"> noteiks</w:t>
            </w:r>
            <w:r w:rsidR="00EA1AC6" w:rsidRPr="00B94A53">
              <w:rPr>
                <w:rFonts w:ascii="Times New Roman" w:hAnsi="Times New Roman" w:cs="Times New Roman"/>
                <w:sz w:val="24"/>
                <w:szCs w:val="24"/>
              </w:rPr>
              <w:t>,</w:t>
            </w:r>
            <w:r w:rsidRPr="00B94A53">
              <w:rPr>
                <w:rFonts w:ascii="Times New Roman" w:hAnsi="Times New Roman" w:cs="Times New Roman"/>
                <w:sz w:val="24"/>
                <w:szCs w:val="24"/>
              </w:rPr>
              <w:t xml:space="preserve"> kā vērtēt izmaiņu būtiskumu arī </w:t>
            </w:r>
            <w:r w:rsidR="00B94A53" w:rsidRPr="00B94A53">
              <w:rPr>
                <w:rFonts w:ascii="Times New Roman" w:hAnsi="Times New Roman" w:cs="Times New Roman"/>
                <w:sz w:val="24"/>
                <w:szCs w:val="24"/>
              </w:rPr>
              <w:t xml:space="preserve">saistībā ar </w:t>
            </w:r>
            <w:r w:rsidRPr="00B94A53">
              <w:rPr>
                <w:rFonts w:ascii="Times New Roman" w:hAnsi="Times New Roman" w:cs="Times New Roman"/>
                <w:sz w:val="24"/>
                <w:szCs w:val="24"/>
              </w:rPr>
              <w:t>alternatīv</w:t>
            </w:r>
            <w:r w:rsidR="00B94A53" w:rsidRPr="00B94A53">
              <w:rPr>
                <w:rFonts w:ascii="Times New Roman" w:hAnsi="Times New Roman" w:cs="Times New Roman"/>
                <w:sz w:val="24"/>
                <w:szCs w:val="24"/>
              </w:rPr>
              <w:t>o</w:t>
            </w:r>
            <w:r w:rsidRPr="00B94A53">
              <w:rPr>
                <w:rFonts w:ascii="Times New Roman" w:hAnsi="Times New Roman" w:cs="Times New Roman"/>
                <w:sz w:val="24"/>
                <w:szCs w:val="24"/>
              </w:rPr>
              <w:t xml:space="preserve"> iekšējo modeļu pieej</w:t>
            </w:r>
            <w:r w:rsidR="00B94A53" w:rsidRPr="00B94A53">
              <w:rPr>
                <w:rFonts w:ascii="Times New Roman" w:hAnsi="Times New Roman" w:cs="Times New Roman"/>
                <w:sz w:val="24"/>
                <w:szCs w:val="24"/>
              </w:rPr>
              <w:t>u</w:t>
            </w:r>
            <w:r w:rsidRPr="00B94A53">
              <w:rPr>
                <w:rFonts w:ascii="Times New Roman" w:hAnsi="Times New Roman" w:cs="Times New Roman"/>
                <w:sz w:val="24"/>
                <w:szCs w:val="24"/>
              </w:rPr>
              <w:t xml:space="preserve"> tirgus riska pašu kapitāla prasību aprēķin</w:t>
            </w:r>
            <w:r w:rsidR="00AC7B58">
              <w:rPr>
                <w:rFonts w:ascii="Times New Roman" w:hAnsi="Times New Roman" w:cs="Times New Roman"/>
                <w:sz w:val="24"/>
                <w:szCs w:val="24"/>
              </w:rPr>
              <w:t>ā</w:t>
            </w:r>
            <w:r>
              <w:rPr>
                <w:rFonts w:ascii="Times New Roman" w:hAnsi="Times New Roman" w:cs="Times New Roman"/>
                <w:sz w:val="24"/>
                <w:szCs w:val="24"/>
              </w:rPr>
              <w:t xml:space="preserve">. </w:t>
            </w:r>
            <w:r w:rsidR="0094347A">
              <w:rPr>
                <w:rFonts w:ascii="Times New Roman" w:hAnsi="Times New Roman" w:cs="Times New Roman"/>
                <w:sz w:val="24"/>
                <w:szCs w:val="24"/>
              </w:rPr>
              <w:t xml:space="preserve">Šobrīd Eiropas Banku iestāde </w:t>
            </w:r>
            <w:r w:rsidR="00A056D8">
              <w:rPr>
                <w:rFonts w:ascii="Times New Roman" w:hAnsi="Times New Roman" w:cs="Times New Roman"/>
                <w:sz w:val="24"/>
                <w:szCs w:val="24"/>
              </w:rPr>
              <w:t xml:space="preserve">ir sagatavojusi </w:t>
            </w:r>
            <w:r w:rsidR="0094347A">
              <w:rPr>
                <w:rFonts w:ascii="Times New Roman" w:hAnsi="Times New Roman" w:cs="Times New Roman"/>
                <w:sz w:val="24"/>
                <w:szCs w:val="24"/>
              </w:rPr>
              <w:t xml:space="preserve">regulas </w:t>
            </w:r>
            <w:r w:rsidR="00A056D8">
              <w:rPr>
                <w:rFonts w:ascii="Times New Roman" w:hAnsi="Times New Roman" w:cs="Times New Roman"/>
                <w:sz w:val="24"/>
                <w:szCs w:val="24"/>
              </w:rPr>
              <w:t>projektu</w:t>
            </w:r>
            <w:r w:rsidR="002C17FB">
              <w:rPr>
                <w:rStyle w:val="FootnoteReference"/>
                <w:rFonts w:ascii="Times New Roman" w:hAnsi="Times New Roman" w:cs="Times New Roman"/>
                <w:sz w:val="24"/>
                <w:szCs w:val="24"/>
              </w:rPr>
              <w:footnoteReference w:customMarkFollows="1" w:id="1"/>
              <w:t>*</w:t>
            </w:r>
            <w:r w:rsidR="00EA1AC6">
              <w:rPr>
                <w:rFonts w:ascii="Times New Roman" w:hAnsi="Times New Roman" w:cs="Times New Roman"/>
                <w:sz w:val="24"/>
                <w:szCs w:val="24"/>
              </w:rPr>
              <w:t>, kuru</w:t>
            </w:r>
            <w:r w:rsidR="00A056D8">
              <w:rPr>
                <w:rFonts w:ascii="Times New Roman" w:hAnsi="Times New Roman" w:cs="Times New Roman"/>
                <w:sz w:val="24"/>
                <w:szCs w:val="24"/>
              </w:rPr>
              <w:t xml:space="preserve"> </w:t>
            </w:r>
            <w:r w:rsidR="00B75A54">
              <w:rPr>
                <w:rFonts w:ascii="Times New Roman" w:hAnsi="Times New Roman" w:cs="Times New Roman"/>
                <w:sz w:val="24"/>
                <w:szCs w:val="24"/>
              </w:rPr>
              <w:t>2024. gada</w:t>
            </w:r>
            <w:r w:rsidR="00A056D8">
              <w:rPr>
                <w:rFonts w:ascii="Times New Roman" w:hAnsi="Times New Roman" w:cs="Times New Roman"/>
                <w:sz w:val="24"/>
                <w:szCs w:val="24"/>
              </w:rPr>
              <w:t xml:space="preserve"> 20. jūnijā ir iesniegusi Eiropas Komisijai apstiprināšanai. </w:t>
            </w:r>
          </w:p>
          <w:p w14:paraId="5985F243" w14:textId="70C07C5A" w:rsidR="0094347A" w:rsidRPr="00E47CCB" w:rsidRDefault="0094347A" w:rsidP="00EA1AC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Citiem iekšējiem modeļiem, pieejām vai metodēm nav izstrādāt</w:t>
            </w:r>
            <w:r w:rsidR="002C17FB">
              <w:rPr>
                <w:rFonts w:ascii="Times New Roman" w:hAnsi="Times New Roman" w:cs="Times New Roman"/>
                <w:sz w:val="24"/>
                <w:szCs w:val="24"/>
              </w:rPr>
              <w:t>s</w:t>
            </w:r>
            <w:r>
              <w:rPr>
                <w:rFonts w:ascii="Times New Roman" w:hAnsi="Times New Roman" w:cs="Times New Roman"/>
                <w:sz w:val="24"/>
                <w:szCs w:val="24"/>
              </w:rPr>
              <w:t xml:space="preserve"> un </w:t>
            </w:r>
            <w:r w:rsidR="002C17FB">
              <w:rPr>
                <w:rFonts w:ascii="Times New Roman" w:hAnsi="Times New Roman" w:cs="Times New Roman"/>
                <w:sz w:val="24"/>
                <w:szCs w:val="24"/>
              </w:rPr>
              <w:t xml:space="preserve">šobrīd </w:t>
            </w:r>
            <w:r w:rsidRPr="00B94A53">
              <w:rPr>
                <w:rFonts w:ascii="Times New Roman" w:hAnsi="Times New Roman" w:cs="Times New Roman"/>
                <w:sz w:val="24"/>
                <w:szCs w:val="24"/>
              </w:rPr>
              <w:t>netiek plānots izstrādāt harmonizētu Eiropas Savienības līmeņa regulējumu, kas noteiks</w:t>
            </w:r>
            <w:r w:rsidR="004215BC" w:rsidRPr="00B94A53">
              <w:rPr>
                <w:rFonts w:ascii="Times New Roman" w:hAnsi="Times New Roman" w:cs="Times New Roman"/>
                <w:sz w:val="24"/>
                <w:szCs w:val="24"/>
              </w:rPr>
              <w:t xml:space="preserve"> to</w:t>
            </w:r>
            <w:r w:rsidR="00EA1AC6" w:rsidRPr="00B94A53">
              <w:rPr>
                <w:rFonts w:ascii="Times New Roman" w:hAnsi="Times New Roman" w:cs="Times New Roman"/>
                <w:sz w:val="24"/>
                <w:szCs w:val="24"/>
              </w:rPr>
              <w:t>,</w:t>
            </w:r>
            <w:r w:rsidRPr="00B94A53">
              <w:rPr>
                <w:rFonts w:ascii="Times New Roman" w:hAnsi="Times New Roman" w:cs="Times New Roman"/>
                <w:sz w:val="24"/>
                <w:szCs w:val="24"/>
              </w:rPr>
              <w:t xml:space="preserve"> kā klasificē</w:t>
            </w:r>
            <w:r w:rsidR="00B94A53" w:rsidRPr="00B94A53">
              <w:rPr>
                <w:rFonts w:ascii="Times New Roman" w:hAnsi="Times New Roman" w:cs="Times New Roman"/>
                <w:sz w:val="24"/>
                <w:szCs w:val="24"/>
              </w:rPr>
              <w:t>jama</w:t>
            </w:r>
            <w:r w:rsidRPr="00B94A53">
              <w:rPr>
                <w:rFonts w:ascii="Times New Roman" w:hAnsi="Times New Roman" w:cs="Times New Roman"/>
                <w:sz w:val="24"/>
                <w:szCs w:val="24"/>
              </w:rPr>
              <w:t xml:space="preserve"> veikto izmaiņu būtīb</w:t>
            </w:r>
            <w:r w:rsidR="00B94A53" w:rsidRPr="00B94A53">
              <w:rPr>
                <w:rFonts w:ascii="Times New Roman" w:hAnsi="Times New Roman" w:cs="Times New Roman"/>
                <w:sz w:val="24"/>
                <w:szCs w:val="24"/>
              </w:rPr>
              <w:t>a</w:t>
            </w:r>
            <w:r w:rsidRPr="00B94A53">
              <w:rPr>
                <w:rFonts w:ascii="Times New Roman" w:hAnsi="Times New Roman" w:cs="Times New Roman"/>
                <w:sz w:val="24"/>
                <w:szCs w:val="24"/>
              </w:rPr>
              <w:t xml:space="preserve"> un </w:t>
            </w:r>
            <w:r w:rsidR="00B94A53" w:rsidRPr="00B94A53">
              <w:rPr>
                <w:rFonts w:ascii="Times New Roman" w:hAnsi="Times New Roman" w:cs="Times New Roman"/>
                <w:sz w:val="24"/>
                <w:szCs w:val="24"/>
              </w:rPr>
              <w:lastRenderedPageBreak/>
              <w:t xml:space="preserve">kāda ir </w:t>
            </w:r>
            <w:r w:rsidR="00A13A06" w:rsidRPr="00B94A53">
              <w:rPr>
                <w:rFonts w:ascii="Times New Roman" w:hAnsi="Times New Roman" w:cs="Times New Roman"/>
                <w:sz w:val="24"/>
                <w:szCs w:val="24"/>
              </w:rPr>
              <w:t>kompetento</w:t>
            </w:r>
            <w:r w:rsidRPr="00B94A53">
              <w:rPr>
                <w:rFonts w:ascii="Times New Roman" w:hAnsi="Times New Roman" w:cs="Times New Roman"/>
                <w:sz w:val="24"/>
                <w:szCs w:val="24"/>
              </w:rPr>
              <w:t xml:space="preserve"> iestāžu informēšanas kārtīb</w:t>
            </w:r>
            <w:r w:rsidR="00B94A53" w:rsidRPr="00B94A53">
              <w:rPr>
                <w:rFonts w:ascii="Times New Roman" w:hAnsi="Times New Roman" w:cs="Times New Roman"/>
                <w:sz w:val="24"/>
                <w:szCs w:val="24"/>
              </w:rPr>
              <w:t>a</w:t>
            </w:r>
            <w:r w:rsidR="00A056D8" w:rsidRPr="00B94A53">
              <w:rPr>
                <w:rFonts w:ascii="Times New Roman" w:hAnsi="Times New Roman" w:cs="Times New Roman"/>
                <w:sz w:val="24"/>
                <w:szCs w:val="24"/>
              </w:rPr>
              <w:t xml:space="preserve"> par plānotajām vai veiktajām izmaiņām.</w:t>
            </w:r>
          </w:p>
          <w:p w14:paraId="227EDFF0" w14:textId="73E6BB46" w:rsidR="001D72FD" w:rsidRDefault="001D72FD" w:rsidP="00EA1AC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Kredītiestāžu likuma 50. panta trešā daļa paredz </w:t>
            </w:r>
            <w:r w:rsidRPr="006907E2">
              <w:rPr>
                <w:rFonts w:ascii="Times New Roman" w:eastAsia="Times New Roman" w:hAnsi="Times New Roman" w:cs="Times New Roman"/>
                <w:sz w:val="24"/>
                <w:szCs w:val="24"/>
                <w:lang w:eastAsia="lv-LV"/>
              </w:rPr>
              <w:t>Latvijas Banka</w:t>
            </w:r>
            <w:r>
              <w:rPr>
                <w:rFonts w:ascii="Times New Roman" w:eastAsia="Times New Roman" w:hAnsi="Times New Roman" w:cs="Times New Roman"/>
                <w:sz w:val="24"/>
                <w:szCs w:val="24"/>
                <w:lang w:eastAsia="lv-LV"/>
              </w:rPr>
              <w:t>i</w:t>
            </w:r>
            <w:r w:rsidRPr="006907E2">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tiesības</w:t>
            </w:r>
            <w:r w:rsidRPr="006907E2">
              <w:rPr>
                <w:rFonts w:ascii="Times New Roman" w:eastAsia="Times New Roman" w:hAnsi="Times New Roman" w:cs="Times New Roman"/>
                <w:sz w:val="24"/>
                <w:szCs w:val="24"/>
                <w:lang w:eastAsia="lv-LV"/>
              </w:rPr>
              <w:t xml:space="preserve"> noteikt ar atsevišķiem notikumiem saistītu ziņojumu sniegšanas, pārskatu sagatavošanas un iesniegšanas noteikumus, kā arī kredītiestāžu uzraudzībai nepieciešamās informācijas sagatavošanas, sniegšanas un nepieciešamo atļauju saņemšanas kārtību, ja to nav noteikusi Eiropas Komisija</w:t>
            </w:r>
            <w:r>
              <w:rPr>
                <w:rFonts w:ascii="Times New Roman" w:eastAsia="Times New Roman" w:hAnsi="Times New Roman" w:cs="Times New Roman"/>
                <w:sz w:val="24"/>
                <w:szCs w:val="24"/>
                <w:lang w:eastAsia="lv-LV"/>
              </w:rPr>
              <w:t>.</w:t>
            </w:r>
          </w:p>
          <w:p w14:paraId="4247B405" w14:textId="441E73EA" w:rsidR="00583825" w:rsidRDefault="000A1EC9" w:rsidP="00EA1AC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Noteikumu projektā tiek saglabāta prasība </w:t>
            </w:r>
            <w:r w:rsidR="00D01185">
              <w:rPr>
                <w:rFonts w:ascii="Times New Roman" w:eastAsia="Times New Roman" w:hAnsi="Times New Roman" w:cs="Times New Roman"/>
                <w:sz w:val="24"/>
                <w:szCs w:val="24"/>
                <w:lang w:eastAsia="lv-LV"/>
              </w:rPr>
              <w:t>informēt</w:t>
            </w:r>
            <w:r>
              <w:rPr>
                <w:rFonts w:ascii="Times New Roman" w:eastAsia="Times New Roman" w:hAnsi="Times New Roman" w:cs="Times New Roman"/>
                <w:sz w:val="24"/>
                <w:szCs w:val="24"/>
                <w:lang w:eastAsia="lv-LV"/>
              </w:rPr>
              <w:t xml:space="preserve"> Latvijas Banku </w:t>
            </w:r>
            <w:r w:rsidR="003070FF">
              <w:rPr>
                <w:rFonts w:ascii="Times New Roman" w:eastAsia="Times New Roman" w:hAnsi="Times New Roman" w:cs="Times New Roman"/>
                <w:sz w:val="24"/>
                <w:szCs w:val="24"/>
                <w:lang w:eastAsia="lv-LV"/>
              </w:rPr>
              <w:t>p</w:t>
            </w:r>
            <w:r w:rsidR="00D01185">
              <w:rPr>
                <w:rFonts w:ascii="Times New Roman" w:eastAsia="Times New Roman" w:hAnsi="Times New Roman" w:cs="Times New Roman"/>
                <w:sz w:val="24"/>
                <w:szCs w:val="24"/>
                <w:lang w:eastAsia="lv-LV"/>
              </w:rPr>
              <w:t xml:space="preserve">ar nodomu izmantot </w:t>
            </w:r>
            <w:r w:rsidR="003070FF">
              <w:rPr>
                <w:rFonts w:ascii="Times New Roman" w:eastAsia="Times New Roman" w:hAnsi="Times New Roman" w:cs="Times New Roman"/>
                <w:sz w:val="24"/>
                <w:szCs w:val="24"/>
                <w:lang w:eastAsia="lv-LV"/>
              </w:rPr>
              <w:t>i</w:t>
            </w:r>
            <w:r w:rsidR="00D01185">
              <w:rPr>
                <w:rFonts w:ascii="Times New Roman" w:eastAsia="Times New Roman" w:hAnsi="Times New Roman" w:cs="Times New Roman"/>
                <w:sz w:val="24"/>
                <w:szCs w:val="24"/>
                <w:lang w:eastAsia="lv-LV"/>
              </w:rPr>
              <w:t>ekšējo modeli, pieeju vai metodi kapitāla prasību aprēķin</w:t>
            </w:r>
            <w:r w:rsidR="00AC7B58">
              <w:rPr>
                <w:rFonts w:ascii="Times New Roman" w:eastAsia="Times New Roman" w:hAnsi="Times New Roman" w:cs="Times New Roman"/>
                <w:sz w:val="24"/>
                <w:szCs w:val="24"/>
                <w:lang w:eastAsia="lv-LV"/>
              </w:rPr>
              <w:t>ā</w:t>
            </w:r>
            <w:r w:rsidR="00D01185">
              <w:rPr>
                <w:rFonts w:ascii="Times New Roman" w:eastAsia="Times New Roman" w:hAnsi="Times New Roman" w:cs="Times New Roman"/>
                <w:sz w:val="24"/>
                <w:szCs w:val="24"/>
                <w:lang w:eastAsia="lv-LV"/>
              </w:rPr>
              <w:t>. A</w:t>
            </w:r>
            <w:r>
              <w:rPr>
                <w:rFonts w:ascii="Times New Roman" w:eastAsia="Times New Roman" w:hAnsi="Times New Roman" w:cs="Times New Roman"/>
                <w:sz w:val="24"/>
                <w:szCs w:val="24"/>
                <w:lang w:eastAsia="lv-LV"/>
              </w:rPr>
              <w:t>tļaujas izskatīšanas process ir laika un resursu ietilpīgs, t</w:t>
            </w:r>
            <w:r w:rsidR="004215BC">
              <w:rPr>
                <w:rFonts w:ascii="Times New Roman" w:eastAsia="Times New Roman" w:hAnsi="Times New Roman" w:cs="Times New Roman"/>
                <w:sz w:val="24"/>
                <w:szCs w:val="24"/>
                <w:lang w:eastAsia="lv-LV"/>
              </w:rPr>
              <w:t>ai</w:t>
            </w:r>
            <w:r w:rsidR="00B75A5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sk</w:t>
            </w:r>
            <w:r w:rsidR="004215BC">
              <w:rPr>
                <w:rFonts w:ascii="Times New Roman" w:eastAsia="Times New Roman" w:hAnsi="Times New Roman" w:cs="Times New Roman"/>
                <w:sz w:val="24"/>
                <w:szCs w:val="24"/>
                <w:lang w:eastAsia="lv-LV"/>
              </w:rPr>
              <w:t>aitā</w:t>
            </w:r>
            <w:r>
              <w:rPr>
                <w:rFonts w:ascii="Times New Roman" w:eastAsia="Times New Roman" w:hAnsi="Times New Roman" w:cs="Times New Roman"/>
                <w:sz w:val="24"/>
                <w:szCs w:val="24"/>
                <w:lang w:eastAsia="lv-LV"/>
              </w:rPr>
              <w:t xml:space="preserve"> var būt nepieciešams veikt klātienes pārbaudi. </w:t>
            </w:r>
            <w:r w:rsidR="00583825">
              <w:rPr>
                <w:rFonts w:ascii="Times New Roman" w:eastAsia="Times New Roman" w:hAnsi="Times New Roman" w:cs="Times New Roman"/>
                <w:sz w:val="24"/>
                <w:szCs w:val="24"/>
                <w:lang w:eastAsia="lv-LV"/>
              </w:rPr>
              <w:t xml:space="preserve">Līdz ar to iepriekšēja </w:t>
            </w:r>
            <w:r w:rsidR="00D01185">
              <w:rPr>
                <w:rFonts w:ascii="Times New Roman" w:eastAsia="Times New Roman" w:hAnsi="Times New Roman" w:cs="Times New Roman"/>
                <w:sz w:val="24"/>
                <w:szCs w:val="24"/>
                <w:lang w:eastAsia="lv-LV"/>
              </w:rPr>
              <w:t>informēšana</w:t>
            </w:r>
            <w:r w:rsidR="00583825">
              <w:rPr>
                <w:rFonts w:ascii="Times New Roman" w:eastAsia="Times New Roman" w:hAnsi="Times New Roman" w:cs="Times New Roman"/>
                <w:sz w:val="24"/>
                <w:szCs w:val="24"/>
                <w:lang w:eastAsia="lv-LV"/>
              </w:rPr>
              <w:t xml:space="preserve"> nodrošinās laika un resursu atbilstošu plānošanu gan kredītiestādēm, gan Latvijas Bankai. </w:t>
            </w:r>
          </w:p>
          <w:p w14:paraId="520FCF13" w14:textId="46118F2F" w:rsidR="00EA2873" w:rsidRDefault="00EA2873" w:rsidP="00EA1AC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projektā vairs netiek noteiktas sīkākas prasības iekšējo modeļu, pieeju vai metožu dokumentācijai, kas jāiesniedz atļaujas saņemšanai, jo ir izstrādāts harmonizēts Eiropas Savienības regulējums, kas nosaka šo modeļu izveidi detalizētāk, k</w:t>
            </w:r>
            <w:r w:rsidR="002C17FB">
              <w:rPr>
                <w:rFonts w:ascii="Times New Roman" w:eastAsia="Times New Roman" w:hAnsi="Times New Roman" w:cs="Times New Roman"/>
                <w:sz w:val="24"/>
                <w:szCs w:val="24"/>
                <w:lang w:eastAsia="lv-LV"/>
              </w:rPr>
              <w:t>ā</w:t>
            </w:r>
            <w:r>
              <w:rPr>
                <w:rFonts w:ascii="Times New Roman" w:eastAsia="Times New Roman" w:hAnsi="Times New Roman" w:cs="Times New Roman"/>
                <w:sz w:val="24"/>
                <w:szCs w:val="24"/>
                <w:lang w:eastAsia="lv-LV"/>
              </w:rPr>
              <w:t xml:space="preserve"> arī </w:t>
            </w:r>
            <w:r w:rsidR="002C17FB">
              <w:rPr>
                <w:rFonts w:ascii="Times New Roman" w:eastAsia="Times New Roman" w:hAnsi="Times New Roman" w:cs="Times New Roman"/>
                <w:sz w:val="24"/>
                <w:szCs w:val="24"/>
                <w:lang w:eastAsia="lv-LV"/>
              </w:rPr>
              <w:t xml:space="preserve">saskaņo </w:t>
            </w:r>
            <w:r>
              <w:rPr>
                <w:rFonts w:ascii="Times New Roman" w:eastAsia="Times New Roman" w:hAnsi="Times New Roman" w:cs="Times New Roman"/>
                <w:sz w:val="24"/>
                <w:szCs w:val="24"/>
                <w:lang w:eastAsia="lv-LV"/>
              </w:rPr>
              <w:t xml:space="preserve">uzraudzības iestāžu praksi šādu atļauju izsniegšanā. Kredītiestādēm, iesniedzot iesniegumu un atbilstošu dokumentāciju, ir jāievēro </w:t>
            </w:r>
            <w:r w:rsidR="004215BC">
              <w:rPr>
                <w:rFonts w:ascii="Times New Roman" w:eastAsia="Times New Roman" w:hAnsi="Times New Roman" w:cs="Times New Roman"/>
                <w:sz w:val="24"/>
                <w:szCs w:val="24"/>
                <w:lang w:eastAsia="lv-LV"/>
              </w:rPr>
              <w:t xml:space="preserve">attiecīgā </w:t>
            </w:r>
            <w:r>
              <w:rPr>
                <w:rFonts w:ascii="Times New Roman" w:eastAsia="Times New Roman" w:hAnsi="Times New Roman" w:cs="Times New Roman"/>
                <w:sz w:val="24"/>
                <w:szCs w:val="24"/>
                <w:lang w:eastAsia="lv-LV"/>
              </w:rPr>
              <w:t xml:space="preserve">labākā prakse un saistošais regulējums. </w:t>
            </w:r>
          </w:p>
          <w:p w14:paraId="5DEB68A7" w14:textId="5A916B16" w:rsidR="006907E2" w:rsidRDefault="007F1255" w:rsidP="00EA1AC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nosaka:</w:t>
            </w:r>
          </w:p>
          <w:p w14:paraId="0E724A1E" w14:textId="187E4BFD" w:rsidR="007F1255" w:rsidRDefault="009C33EC" w:rsidP="00B75A54">
            <w:pPr>
              <w:pStyle w:val="ListParagraph"/>
              <w:numPr>
                <w:ilvl w:val="0"/>
                <w:numId w:val="14"/>
              </w:numPr>
              <w:tabs>
                <w:tab w:val="left" w:pos="291"/>
              </w:tabs>
              <w:spacing w:after="120" w:line="240" w:lineRule="auto"/>
              <w:ind w:left="36" w:firstLine="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dokumentus, kas</w:t>
            </w:r>
            <w:r w:rsidR="007F1255">
              <w:rPr>
                <w:rFonts w:ascii="Times New Roman" w:eastAsia="Times New Roman" w:hAnsi="Times New Roman" w:cs="Times New Roman"/>
                <w:sz w:val="24"/>
                <w:szCs w:val="24"/>
                <w:lang w:eastAsia="lv-LV"/>
              </w:rPr>
              <w:t xml:space="preserve"> </w:t>
            </w:r>
            <w:r w:rsidR="00EA1AC6">
              <w:rPr>
                <w:rFonts w:ascii="Times New Roman" w:eastAsia="Times New Roman" w:hAnsi="Times New Roman" w:cs="Times New Roman"/>
                <w:sz w:val="24"/>
                <w:szCs w:val="24"/>
                <w:lang w:eastAsia="lv-LV"/>
              </w:rPr>
              <w:t xml:space="preserve">kredītiestādei </w:t>
            </w:r>
            <w:r w:rsidR="007F1255">
              <w:rPr>
                <w:rFonts w:ascii="Times New Roman" w:eastAsia="Times New Roman" w:hAnsi="Times New Roman" w:cs="Times New Roman"/>
                <w:sz w:val="24"/>
                <w:szCs w:val="24"/>
                <w:lang w:eastAsia="lv-LV"/>
              </w:rPr>
              <w:t>ir jāiesniedz</w:t>
            </w:r>
            <w:r w:rsidR="00EA1AC6">
              <w:rPr>
                <w:rFonts w:ascii="Times New Roman" w:eastAsia="Times New Roman" w:hAnsi="Times New Roman" w:cs="Times New Roman"/>
                <w:sz w:val="24"/>
                <w:szCs w:val="24"/>
                <w:lang w:eastAsia="lv-LV"/>
              </w:rPr>
              <w:t>,</w:t>
            </w:r>
            <w:r w:rsidR="007F1255">
              <w:rPr>
                <w:rFonts w:ascii="Times New Roman" w:eastAsia="Times New Roman" w:hAnsi="Times New Roman" w:cs="Times New Roman"/>
                <w:sz w:val="24"/>
                <w:szCs w:val="24"/>
                <w:lang w:eastAsia="lv-LV"/>
              </w:rPr>
              <w:t xml:space="preserve"> lai saņemtu atļauju izmantot iekšējo mode</w:t>
            </w:r>
            <w:r>
              <w:rPr>
                <w:rFonts w:ascii="Times New Roman" w:eastAsia="Times New Roman" w:hAnsi="Times New Roman" w:cs="Times New Roman"/>
                <w:sz w:val="24"/>
                <w:szCs w:val="24"/>
                <w:lang w:eastAsia="lv-LV"/>
              </w:rPr>
              <w:t>l</w:t>
            </w:r>
            <w:r w:rsidR="007F1255">
              <w:rPr>
                <w:rFonts w:ascii="Times New Roman" w:eastAsia="Times New Roman" w:hAnsi="Times New Roman" w:cs="Times New Roman"/>
                <w:sz w:val="24"/>
                <w:szCs w:val="24"/>
                <w:lang w:eastAsia="lv-LV"/>
              </w:rPr>
              <w:t>i, pieeju vai metodi;</w:t>
            </w:r>
          </w:p>
          <w:p w14:paraId="6348F3D9" w14:textId="19DF05BE" w:rsidR="007F1255" w:rsidRDefault="007F1255" w:rsidP="00B75A54">
            <w:pPr>
              <w:pStyle w:val="ListParagraph"/>
              <w:numPr>
                <w:ilvl w:val="0"/>
                <w:numId w:val="14"/>
              </w:numPr>
              <w:tabs>
                <w:tab w:val="left" w:pos="291"/>
              </w:tabs>
              <w:spacing w:after="120" w:line="240" w:lineRule="auto"/>
              <w:ind w:left="36" w:firstLine="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pienākumu </w:t>
            </w:r>
            <w:r w:rsidR="00D01185">
              <w:rPr>
                <w:rFonts w:ascii="Times New Roman" w:eastAsia="Times New Roman" w:hAnsi="Times New Roman" w:cs="Times New Roman"/>
                <w:sz w:val="24"/>
                <w:szCs w:val="24"/>
                <w:lang w:eastAsia="lv-LV"/>
              </w:rPr>
              <w:t xml:space="preserve">informēt </w:t>
            </w:r>
            <w:r>
              <w:rPr>
                <w:rFonts w:ascii="Times New Roman" w:eastAsia="Times New Roman" w:hAnsi="Times New Roman" w:cs="Times New Roman"/>
                <w:sz w:val="24"/>
                <w:szCs w:val="24"/>
                <w:lang w:eastAsia="lv-LV"/>
              </w:rPr>
              <w:t xml:space="preserve">Latvijas Banku </w:t>
            </w:r>
            <w:r w:rsidR="00D01185">
              <w:rPr>
                <w:rFonts w:ascii="Times New Roman" w:eastAsia="Times New Roman" w:hAnsi="Times New Roman" w:cs="Times New Roman"/>
                <w:sz w:val="24"/>
                <w:szCs w:val="24"/>
                <w:lang w:eastAsia="lv-LV"/>
              </w:rPr>
              <w:t>par plāniem uzsākt iekšēj</w:t>
            </w:r>
            <w:r w:rsidR="002C17FB">
              <w:rPr>
                <w:rFonts w:ascii="Times New Roman" w:eastAsia="Times New Roman" w:hAnsi="Times New Roman" w:cs="Times New Roman"/>
                <w:sz w:val="24"/>
                <w:szCs w:val="24"/>
                <w:lang w:eastAsia="lv-LV"/>
              </w:rPr>
              <w:t>ā</w:t>
            </w:r>
            <w:r w:rsidR="00D01185">
              <w:rPr>
                <w:rFonts w:ascii="Times New Roman" w:eastAsia="Times New Roman" w:hAnsi="Times New Roman" w:cs="Times New Roman"/>
                <w:sz w:val="24"/>
                <w:szCs w:val="24"/>
                <w:lang w:eastAsia="lv-LV"/>
              </w:rPr>
              <w:t xml:space="preserve"> mode</w:t>
            </w:r>
            <w:r w:rsidR="002C17FB">
              <w:rPr>
                <w:rFonts w:ascii="Times New Roman" w:eastAsia="Times New Roman" w:hAnsi="Times New Roman" w:cs="Times New Roman"/>
                <w:sz w:val="24"/>
                <w:szCs w:val="24"/>
                <w:lang w:eastAsia="lv-LV"/>
              </w:rPr>
              <w:t>ļa</w:t>
            </w:r>
            <w:r w:rsidR="00D01185">
              <w:rPr>
                <w:rFonts w:ascii="Times New Roman" w:eastAsia="Times New Roman" w:hAnsi="Times New Roman" w:cs="Times New Roman"/>
                <w:sz w:val="24"/>
                <w:szCs w:val="24"/>
                <w:lang w:eastAsia="lv-LV"/>
              </w:rPr>
              <w:t>, pieej</w:t>
            </w:r>
            <w:r w:rsidR="002C17FB">
              <w:rPr>
                <w:rFonts w:ascii="Times New Roman" w:eastAsia="Times New Roman" w:hAnsi="Times New Roman" w:cs="Times New Roman"/>
                <w:sz w:val="24"/>
                <w:szCs w:val="24"/>
                <w:lang w:eastAsia="lv-LV"/>
              </w:rPr>
              <w:t>as</w:t>
            </w:r>
            <w:r w:rsidR="00D01185">
              <w:rPr>
                <w:rFonts w:ascii="Times New Roman" w:eastAsia="Times New Roman" w:hAnsi="Times New Roman" w:cs="Times New Roman"/>
                <w:sz w:val="24"/>
                <w:szCs w:val="24"/>
                <w:lang w:eastAsia="lv-LV"/>
              </w:rPr>
              <w:t xml:space="preserve"> vai metod</w:t>
            </w:r>
            <w:r w:rsidR="002C17FB">
              <w:rPr>
                <w:rFonts w:ascii="Times New Roman" w:eastAsia="Times New Roman" w:hAnsi="Times New Roman" w:cs="Times New Roman"/>
                <w:sz w:val="24"/>
                <w:szCs w:val="24"/>
                <w:lang w:eastAsia="lv-LV"/>
              </w:rPr>
              <w:t>es izmantošanu</w:t>
            </w:r>
            <w:r w:rsidR="00D01185">
              <w:rPr>
                <w:rFonts w:ascii="Times New Roman" w:eastAsia="Times New Roman" w:hAnsi="Times New Roman" w:cs="Times New Roman"/>
                <w:sz w:val="24"/>
                <w:szCs w:val="24"/>
                <w:lang w:eastAsia="lv-LV"/>
              </w:rPr>
              <w:t xml:space="preserve"> kapitāla prasību aprēķin</w:t>
            </w:r>
            <w:r w:rsidR="00AC7B58">
              <w:rPr>
                <w:rFonts w:ascii="Times New Roman" w:eastAsia="Times New Roman" w:hAnsi="Times New Roman" w:cs="Times New Roman"/>
                <w:sz w:val="24"/>
                <w:szCs w:val="24"/>
                <w:lang w:eastAsia="lv-LV"/>
              </w:rPr>
              <w:t>ā</w:t>
            </w:r>
            <w:r>
              <w:rPr>
                <w:rFonts w:ascii="Times New Roman" w:eastAsia="Times New Roman" w:hAnsi="Times New Roman" w:cs="Times New Roman"/>
                <w:sz w:val="24"/>
                <w:szCs w:val="24"/>
                <w:lang w:eastAsia="lv-LV"/>
              </w:rPr>
              <w:t>;</w:t>
            </w:r>
          </w:p>
          <w:p w14:paraId="426C5DAD" w14:textId="1BEC12B5" w:rsidR="007F1255" w:rsidRPr="001D72FD" w:rsidRDefault="007F1255" w:rsidP="00B75A54">
            <w:pPr>
              <w:pStyle w:val="ListParagraph"/>
              <w:numPr>
                <w:ilvl w:val="0"/>
                <w:numId w:val="14"/>
              </w:numPr>
              <w:tabs>
                <w:tab w:val="left" w:pos="291"/>
              </w:tabs>
              <w:spacing w:after="120" w:line="240" w:lineRule="auto"/>
              <w:ind w:left="36" w:firstLine="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dokumentu iesniegšan</w:t>
            </w:r>
            <w:r w:rsidR="002C17FB">
              <w:rPr>
                <w:rFonts w:ascii="Times New Roman" w:eastAsia="Times New Roman" w:hAnsi="Times New Roman" w:cs="Times New Roman"/>
                <w:sz w:val="24"/>
                <w:szCs w:val="24"/>
                <w:lang w:eastAsia="lv-LV"/>
              </w:rPr>
              <w:t>as</w:t>
            </w:r>
            <w:r w:rsidR="00616F32">
              <w:rPr>
                <w:rFonts w:ascii="Times New Roman" w:eastAsia="Times New Roman" w:hAnsi="Times New Roman" w:cs="Times New Roman"/>
                <w:sz w:val="24"/>
                <w:szCs w:val="24"/>
                <w:lang w:eastAsia="lv-LV"/>
              </w:rPr>
              <w:t xml:space="preserve"> vai Latvijas Bankas informēšanas kārtību gadījumā, kad tiek veiktas iekšēj</w:t>
            </w:r>
            <w:r w:rsidR="001D72FD">
              <w:rPr>
                <w:rFonts w:ascii="Times New Roman" w:eastAsia="Times New Roman" w:hAnsi="Times New Roman" w:cs="Times New Roman"/>
                <w:sz w:val="24"/>
                <w:szCs w:val="24"/>
                <w:lang w:eastAsia="lv-LV"/>
              </w:rPr>
              <w:t>ā</w:t>
            </w:r>
            <w:r w:rsidR="00616F32">
              <w:rPr>
                <w:rFonts w:ascii="Times New Roman" w:eastAsia="Times New Roman" w:hAnsi="Times New Roman" w:cs="Times New Roman"/>
                <w:sz w:val="24"/>
                <w:szCs w:val="24"/>
                <w:lang w:eastAsia="lv-LV"/>
              </w:rPr>
              <w:t xml:space="preserve"> modeļ</w:t>
            </w:r>
            <w:r w:rsidR="001D72FD">
              <w:rPr>
                <w:rFonts w:ascii="Times New Roman" w:eastAsia="Times New Roman" w:hAnsi="Times New Roman" w:cs="Times New Roman"/>
                <w:sz w:val="24"/>
                <w:szCs w:val="24"/>
                <w:lang w:eastAsia="lv-LV"/>
              </w:rPr>
              <w:t>a</w:t>
            </w:r>
            <w:r w:rsidR="00616F32">
              <w:rPr>
                <w:rFonts w:ascii="Times New Roman" w:eastAsia="Times New Roman" w:hAnsi="Times New Roman" w:cs="Times New Roman"/>
                <w:sz w:val="24"/>
                <w:szCs w:val="24"/>
                <w:lang w:eastAsia="lv-LV"/>
              </w:rPr>
              <w:t>, pieej</w:t>
            </w:r>
            <w:r w:rsidR="001D72FD">
              <w:rPr>
                <w:rFonts w:ascii="Times New Roman" w:eastAsia="Times New Roman" w:hAnsi="Times New Roman" w:cs="Times New Roman"/>
                <w:sz w:val="24"/>
                <w:szCs w:val="24"/>
                <w:lang w:eastAsia="lv-LV"/>
              </w:rPr>
              <w:t>as</w:t>
            </w:r>
            <w:r w:rsidR="00616F32">
              <w:rPr>
                <w:rFonts w:ascii="Times New Roman" w:eastAsia="Times New Roman" w:hAnsi="Times New Roman" w:cs="Times New Roman"/>
                <w:sz w:val="24"/>
                <w:szCs w:val="24"/>
                <w:lang w:eastAsia="lv-LV"/>
              </w:rPr>
              <w:t xml:space="preserve"> vai </w:t>
            </w:r>
            <w:r w:rsidR="00616F32" w:rsidRPr="001D72FD">
              <w:rPr>
                <w:rFonts w:ascii="Times New Roman" w:eastAsia="Times New Roman" w:hAnsi="Times New Roman" w:cs="Times New Roman"/>
                <w:sz w:val="24"/>
                <w:szCs w:val="24"/>
                <w:lang w:eastAsia="lv-LV"/>
              </w:rPr>
              <w:t>meto</w:t>
            </w:r>
            <w:r w:rsidR="001D72FD">
              <w:rPr>
                <w:rFonts w:ascii="Times New Roman" w:eastAsia="Times New Roman" w:hAnsi="Times New Roman" w:cs="Times New Roman"/>
                <w:sz w:val="24"/>
                <w:szCs w:val="24"/>
                <w:lang w:eastAsia="lv-LV"/>
              </w:rPr>
              <w:t xml:space="preserve">des </w:t>
            </w:r>
            <w:r w:rsidR="00616F32" w:rsidRPr="001D72FD">
              <w:rPr>
                <w:rFonts w:ascii="Times New Roman" w:eastAsia="Times New Roman" w:hAnsi="Times New Roman" w:cs="Times New Roman"/>
                <w:sz w:val="24"/>
                <w:szCs w:val="24"/>
                <w:lang w:eastAsia="lv-LV"/>
              </w:rPr>
              <w:t>izmaiņas;</w:t>
            </w:r>
          </w:p>
          <w:p w14:paraId="6FBBB697" w14:textId="22CAD9A0" w:rsidR="009C33EC" w:rsidRPr="007F1255" w:rsidRDefault="002C17FB" w:rsidP="00B75A54">
            <w:pPr>
              <w:pStyle w:val="ListParagraph"/>
              <w:numPr>
                <w:ilvl w:val="0"/>
                <w:numId w:val="14"/>
              </w:numPr>
              <w:tabs>
                <w:tab w:val="left" w:pos="291"/>
              </w:tabs>
              <w:spacing w:after="120" w:line="240" w:lineRule="auto"/>
              <w:ind w:left="36" w:firstLine="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prasību </w:t>
            </w:r>
            <w:r w:rsidR="009C33EC">
              <w:rPr>
                <w:rFonts w:ascii="Times New Roman" w:eastAsia="Times New Roman" w:hAnsi="Times New Roman" w:cs="Times New Roman"/>
                <w:sz w:val="24"/>
                <w:szCs w:val="24"/>
                <w:lang w:eastAsia="lv-LV"/>
              </w:rPr>
              <w:t xml:space="preserve">reizi trijos gados </w:t>
            </w:r>
            <w:r>
              <w:rPr>
                <w:rFonts w:ascii="Times New Roman" w:eastAsia="Times New Roman" w:hAnsi="Times New Roman" w:cs="Times New Roman"/>
                <w:sz w:val="24"/>
                <w:szCs w:val="24"/>
                <w:lang w:eastAsia="lv-LV"/>
              </w:rPr>
              <w:t xml:space="preserve">atjaunināt </w:t>
            </w:r>
            <w:r w:rsidR="009C33EC">
              <w:rPr>
                <w:rFonts w:ascii="Times New Roman" w:eastAsia="Times New Roman" w:hAnsi="Times New Roman" w:cs="Times New Roman"/>
                <w:sz w:val="24"/>
                <w:szCs w:val="24"/>
                <w:lang w:eastAsia="lv-LV"/>
              </w:rPr>
              <w:t xml:space="preserve">iekšējā modeļa, pieejas vai metodes izmantošanas </w:t>
            </w:r>
            <w:r w:rsidR="00AC7B58">
              <w:rPr>
                <w:rFonts w:ascii="Times New Roman" w:eastAsia="Times New Roman" w:hAnsi="Times New Roman" w:cs="Times New Roman"/>
                <w:sz w:val="24"/>
                <w:szCs w:val="24"/>
                <w:lang w:eastAsia="lv-LV"/>
              </w:rPr>
              <w:t xml:space="preserve">atļaujas </w:t>
            </w:r>
            <w:r w:rsidR="009C33EC">
              <w:rPr>
                <w:rFonts w:ascii="Times New Roman" w:eastAsia="Times New Roman" w:hAnsi="Times New Roman" w:cs="Times New Roman"/>
                <w:sz w:val="24"/>
                <w:szCs w:val="24"/>
                <w:lang w:eastAsia="lv-LV"/>
              </w:rPr>
              <w:t xml:space="preserve">saņemšanai iesniegto informāciju, ja kredītiestāde ir saņēmusi atļauju izmantot iekšējā modeļa metodi vai citus iekšējos modeļus, metodes vai pieejas, kas nav uz iekšējiem reitingiem balstītā pieeja </w:t>
            </w:r>
            <w:r w:rsidR="009C33EC" w:rsidRPr="009C33EC">
              <w:rPr>
                <w:rFonts w:ascii="Times New Roman" w:eastAsia="Times New Roman" w:hAnsi="Times New Roman" w:cs="Times New Roman"/>
                <w:sz w:val="24"/>
                <w:szCs w:val="24"/>
                <w:lang w:eastAsia="lv-LV"/>
              </w:rPr>
              <w:t>kredītriskam pakļauto riska darījumu riska svērtās vērtības aprēķin</w:t>
            </w:r>
            <w:r w:rsidR="00AC7B58">
              <w:rPr>
                <w:rFonts w:ascii="Times New Roman" w:eastAsia="Times New Roman" w:hAnsi="Times New Roman" w:cs="Times New Roman"/>
                <w:sz w:val="24"/>
                <w:szCs w:val="24"/>
                <w:lang w:eastAsia="lv-LV"/>
              </w:rPr>
              <w:t>am</w:t>
            </w:r>
            <w:r w:rsidR="009C33EC" w:rsidRPr="009C33EC">
              <w:rPr>
                <w:rFonts w:ascii="Times New Roman" w:eastAsia="Times New Roman" w:hAnsi="Times New Roman" w:cs="Times New Roman"/>
                <w:sz w:val="24"/>
                <w:szCs w:val="24"/>
                <w:lang w:eastAsia="lv-LV"/>
              </w:rPr>
              <w:t xml:space="preserve"> </w:t>
            </w:r>
            <w:r w:rsidR="009C33EC">
              <w:rPr>
                <w:rFonts w:ascii="Times New Roman" w:eastAsia="Times New Roman" w:hAnsi="Times New Roman" w:cs="Times New Roman"/>
                <w:sz w:val="24"/>
                <w:szCs w:val="24"/>
                <w:lang w:eastAsia="lv-LV"/>
              </w:rPr>
              <w:t xml:space="preserve">vai </w:t>
            </w:r>
            <w:r w:rsidR="009C33EC" w:rsidRPr="009C33EC">
              <w:rPr>
                <w:rFonts w:ascii="Times New Roman" w:eastAsia="Times New Roman" w:hAnsi="Times New Roman" w:cs="Times New Roman"/>
                <w:sz w:val="24"/>
                <w:szCs w:val="24"/>
                <w:lang w:eastAsia="lv-LV"/>
              </w:rPr>
              <w:t>alternatīv</w:t>
            </w:r>
            <w:r w:rsidR="00B94A53">
              <w:rPr>
                <w:rFonts w:ascii="Times New Roman" w:eastAsia="Times New Roman" w:hAnsi="Times New Roman" w:cs="Times New Roman"/>
                <w:sz w:val="24"/>
                <w:szCs w:val="24"/>
                <w:lang w:eastAsia="lv-LV"/>
              </w:rPr>
              <w:t>ā</w:t>
            </w:r>
            <w:r w:rsidR="009C33EC" w:rsidRPr="009C33EC">
              <w:rPr>
                <w:rFonts w:ascii="Times New Roman" w:eastAsia="Times New Roman" w:hAnsi="Times New Roman" w:cs="Times New Roman"/>
                <w:sz w:val="24"/>
                <w:szCs w:val="24"/>
                <w:lang w:eastAsia="lv-LV"/>
              </w:rPr>
              <w:t xml:space="preserve"> iekšējā modeļa pieej</w:t>
            </w:r>
            <w:r w:rsidR="00B94A53">
              <w:rPr>
                <w:rFonts w:ascii="Times New Roman" w:eastAsia="Times New Roman" w:hAnsi="Times New Roman" w:cs="Times New Roman"/>
                <w:sz w:val="24"/>
                <w:szCs w:val="24"/>
                <w:lang w:eastAsia="lv-LV"/>
              </w:rPr>
              <w:t>a</w:t>
            </w:r>
            <w:r w:rsidR="009C33EC" w:rsidRPr="009C33EC">
              <w:rPr>
                <w:rFonts w:ascii="Times New Roman" w:eastAsia="Times New Roman" w:hAnsi="Times New Roman" w:cs="Times New Roman"/>
                <w:sz w:val="24"/>
                <w:szCs w:val="24"/>
                <w:lang w:eastAsia="lv-LV"/>
              </w:rPr>
              <w:t xml:space="preserve"> tirgus riska pašu kapitāla prasību aprēķinam</w:t>
            </w:r>
            <w:r w:rsidR="009C33EC">
              <w:rPr>
                <w:rFonts w:ascii="Times New Roman" w:eastAsia="Times New Roman" w:hAnsi="Times New Roman" w:cs="Times New Roman"/>
                <w:sz w:val="24"/>
                <w:szCs w:val="24"/>
                <w:lang w:eastAsia="lv-LV"/>
              </w:rPr>
              <w:t>.</w:t>
            </w:r>
          </w:p>
          <w:p w14:paraId="225B7A4D" w14:textId="5B0B9B07" w:rsidR="00494DB8" w:rsidRDefault="001D72FD" w:rsidP="00EA1AC6">
            <w:pPr>
              <w:spacing w:after="120" w:line="240" w:lineRule="auto"/>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 xml:space="preserve">Noteikumu projekts būs saistošs Latvijā reģistrētām kredītiestādēm, izņemot kredītiestādes, kuras ir nozīmīgās uzraudzītās kredītiestādes, </w:t>
            </w:r>
            <w:r w:rsidR="00A13A06">
              <w:rPr>
                <w:rFonts w:ascii="Times New Roman" w:eastAsia="Times New Roman" w:hAnsi="Times New Roman" w:cs="Times New Roman"/>
                <w:sz w:val="24"/>
                <w:szCs w:val="24"/>
                <w:lang w:eastAsia="lv-LV"/>
              </w:rPr>
              <w:t>kā arī</w:t>
            </w:r>
            <w:r w:rsidR="00BA305B">
              <w:rPr>
                <w:rFonts w:ascii="Times New Roman" w:eastAsia="Times New Roman" w:hAnsi="Times New Roman" w:cs="Times New Roman"/>
                <w:sz w:val="24"/>
                <w:szCs w:val="24"/>
                <w:lang w:eastAsia="lv-LV"/>
              </w:rPr>
              <w:t xml:space="preserve"> šādiem finanšu tirgus dalībniekiem, ja </w:t>
            </w:r>
            <w:r w:rsidR="00BA305B" w:rsidRPr="00812985">
              <w:rPr>
                <w:rFonts w:ascii="Times New Roman" w:eastAsia="Times New Roman" w:hAnsi="Times New Roman" w:cs="Times New Roman"/>
                <w:sz w:val="24"/>
                <w:szCs w:val="24"/>
                <w:lang w:eastAsia="lv-LV"/>
              </w:rPr>
              <w:t>tie izvēl</w:t>
            </w:r>
            <w:r w:rsidR="00BA305B">
              <w:rPr>
                <w:rFonts w:ascii="Times New Roman" w:eastAsia="Times New Roman" w:hAnsi="Times New Roman" w:cs="Times New Roman"/>
                <w:sz w:val="24"/>
                <w:szCs w:val="24"/>
                <w:lang w:eastAsia="lv-LV"/>
              </w:rPr>
              <w:t>as</w:t>
            </w:r>
            <w:r w:rsidR="00BA305B" w:rsidRPr="00812985">
              <w:rPr>
                <w:rFonts w:ascii="Times New Roman" w:eastAsia="Times New Roman" w:hAnsi="Times New Roman" w:cs="Times New Roman"/>
                <w:sz w:val="24"/>
                <w:szCs w:val="24"/>
                <w:lang w:eastAsia="lv-LV"/>
              </w:rPr>
              <w:t xml:space="preserve"> izmantot iekšējo modeli, pieeju vai metodi kapitāla prasību aprēķinam atbilstoši Regulas Nr. 575/2013 prasībām</w:t>
            </w:r>
            <w:r w:rsidR="00E753C1">
              <w:rPr>
                <w:rFonts w:ascii="Times New Roman" w:eastAsia="Times New Roman" w:hAnsi="Times New Roman" w:cs="Times New Roman"/>
                <w:sz w:val="24"/>
                <w:szCs w:val="24"/>
                <w:lang w:eastAsia="lv-LV"/>
              </w:rPr>
              <w:t>:</w:t>
            </w:r>
            <w:r w:rsidR="00A13A06">
              <w:rPr>
                <w:rFonts w:ascii="Times New Roman" w:eastAsia="Times New Roman" w:hAnsi="Times New Roman" w:cs="Times New Roman"/>
                <w:sz w:val="24"/>
                <w:szCs w:val="24"/>
                <w:lang w:eastAsia="lv-LV"/>
              </w:rPr>
              <w:t xml:space="preserve"> </w:t>
            </w:r>
          </w:p>
          <w:p w14:paraId="3D04BA93" w14:textId="6E29E30A" w:rsidR="00494DB8" w:rsidRDefault="00494DB8" w:rsidP="00494DB8">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Pr="00F86E08">
              <w:rPr>
                <w:rFonts w:ascii="Times New Roman" w:eastAsia="Times New Roman" w:hAnsi="Times New Roman" w:cs="Times New Roman"/>
                <w:sz w:val="24"/>
                <w:szCs w:val="24"/>
                <w:lang w:eastAsia="lv-LV"/>
              </w:rPr>
              <w:t>Kredītiestāžu likuma 11.</w:t>
            </w:r>
            <w:r w:rsidRPr="00B319A3">
              <w:rPr>
                <w:rFonts w:ascii="Times New Roman" w:eastAsia="Times New Roman" w:hAnsi="Times New Roman" w:cs="Times New Roman"/>
                <w:sz w:val="24"/>
                <w:szCs w:val="24"/>
                <w:vertAlign w:val="superscript"/>
                <w:lang w:eastAsia="lv-LV"/>
              </w:rPr>
              <w:t>2</w:t>
            </w:r>
            <w:r>
              <w:rPr>
                <w:rFonts w:ascii="Times New Roman" w:eastAsia="Times New Roman" w:hAnsi="Times New Roman" w:cs="Times New Roman"/>
                <w:sz w:val="24"/>
                <w:szCs w:val="24"/>
                <w:vertAlign w:val="superscript"/>
                <w:lang w:eastAsia="lv-LV"/>
              </w:rPr>
              <w:t> </w:t>
            </w:r>
            <w:r w:rsidRPr="00F86E08">
              <w:rPr>
                <w:rFonts w:ascii="Times New Roman" w:eastAsia="Times New Roman" w:hAnsi="Times New Roman" w:cs="Times New Roman"/>
                <w:sz w:val="24"/>
                <w:szCs w:val="24"/>
                <w:lang w:eastAsia="lv-LV"/>
              </w:rPr>
              <w:t>pantā minētajām ieguldījumu brokeru sabiedrībām</w:t>
            </w:r>
            <w:r>
              <w:rPr>
                <w:rFonts w:ascii="Times New Roman" w:eastAsia="Times New Roman" w:hAnsi="Times New Roman" w:cs="Times New Roman"/>
                <w:sz w:val="24"/>
                <w:szCs w:val="24"/>
                <w:lang w:eastAsia="lv-LV"/>
              </w:rPr>
              <w:t>, ņemot vērā Ieguldījumu brokeru sabiedrību likuma 4. panta trešo daļu;</w:t>
            </w:r>
          </w:p>
          <w:p w14:paraId="50835360" w14:textId="645EFA87" w:rsidR="00D01185" w:rsidRDefault="00494DB8" w:rsidP="00D0118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sidRPr="00F86E08">
              <w:rPr>
                <w:rFonts w:ascii="Times New Roman" w:eastAsia="Times New Roman" w:hAnsi="Times New Roman" w:cs="Times New Roman"/>
                <w:sz w:val="24"/>
                <w:szCs w:val="24"/>
                <w:lang w:eastAsia="lv-LV"/>
              </w:rPr>
              <w:t xml:space="preserve"> tām ieguldījumu brokeru sabiedrībām, kuras minētas Eiropas Parlamenta un Padomes 2019.</w:t>
            </w:r>
            <w:r>
              <w:rPr>
                <w:rFonts w:ascii="Times New Roman" w:eastAsia="Times New Roman" w:hAnsi="Times New Roman" w:cs="Times New Roman"/>
                <w:sz w:val="24"/>
                <w:szCs w:val="24"/>
                <w:lang w:eastAsia="lv-LV"/>
              </w:rPr>
              <w:t> </w:t>
            </w:r>
            <w:r w:rsidRPr="00F86E08">
              <w:rPr>
                <w:rFonts w:ascii="Times New Roman" w:eastAsia="Times New Roman" w:hAnsi="Times New Roman" w:cs="Times New Roman"/>
                <w:sz w:val="24"/>
                <w:szCs w:val="24"/>
                <w:lang w:eastAsia="lv-LV"/>
              </w:rPr>
              <w:t>gada 27.</w:t>
            </w:r>
            <w:r>
              <w:rPr>
                <w:rFonts w:ascii="Times New Roman" w:eastAsia="Times New Roman" w:hAnsi="Times New Roman" w:cs="Times New Roman"/>
                <w:sz w:val="24"/>
                <w:szCs w:val="24"/>
                <w:lang w:eastAsia="lv-LV"/>
              </w:rPr>
              <w:t> </w:t>
            </w:r>
            <w:r w:rsidRPr="00F86E08">
              <w:rPr>
                <w:rFonts w:ascii="Times New Roman" w:eastAsia="Times New Roman" w:hAnsi="Times New Roman" w:cs="Times New Roman"/>
                <w:sz w:val="24"/>
                <w:szCs w:val="24"/>
                <w:lang w:eastAsia="lv-LV"/>
              </w:rPr>
              <w:t xml:space="preserve">novembra </w:t>
            </w:r>
            <w:r>
              <w:rPr>
                <w:rFonts w:ascii="Times New Roman" w:eastAsia="Times New Roman" w:hAnsi="Times New Roman" w:cs="Times New Roman"/>
                <w:sz w:val="24"/>
                <w:szCs w:val="24"/>
                <w:lang w:eastAsia="lv-LV"/>
              </w:rPr>
              <w:t>r</w:t>
            </w:r>
            <w:r w:rsidRPr="00F86E08">
              <w:rPr>
                <w:rFonts w:ascii="Times New Roman" w:eastAsia="Times New Roman" w:hAnsi="Times New Roman" w:cs="Times New Roman"/>
                <w:sz w:val="24"/>
                <w:szCs w:val="24"/>
                <w:lang w:eastAsia="lv-LV"/>
              </w:rPr>
              <w:t xml:space="preserve">egulas (ES) 2019/2033 par prudenciālajām prasībām ieguldījumu brokeru </w:t>
            </w:r>
            <w:r w:rsidRPr="00F86E08">
              <w:rPr>
                <w:rFonts w:ascii="Times New Roman" w:eastAsia="Times New Roman" w:hAnsi="Times New Roman" w:cs="Times New Roman"/>
                <w:sz w:val="24"/>
                <w:szCs w:val="24"/>
                <w:lang w:eastAsia="lv-LV"/>
              </w:rPr>
              <w:lastRenderedPageBreak/>
              <w:t xml:space="preserve">sabiedrībām un ar ko groza </w:t>
            </w:r>
            <w:r>
              <w:rPr>
                <w:rFonts w:ascii="Times New Roman" w:eastAsia="Times New Roman" w:hAnsi="Times New Roman" w:cs="Times New Roman"/>
                <w:sz w:val="24"/>
                <w:szCs w:val="24"/>
                <w:lang w:eastAsia="lv-LV"/>
              </w:rPr>
              <w:t>r</w:t>
            </w:r>
            <w:r w:rsidRPr="00F86E08">
              <w:rPr>
                <w:rFonts w:ascii="Times New Roman" w:eastAsia="Times New Roman" w:hAnsi="Times New Roman" w:cs="Times New Roman"/>
                <w:sz w:val="24"/>
                <w:szCs w:val="24"/>
                <w:lang w:eastAsia="lv-LV"/>
              </w:rPr>
              <w:t>egulas (ES) Nr.</w:t>
            </w:r>
            <w:r>
              <w:rPr>
                <w:rFonts w:ascii="Times New Roman" w:eastAsia="Times New Roman" w:hAnsi="Times New Roman" w:cs="Times New Roman"/>
                <w:sz w:val="24"/>
                <w:szCs w:val="24"/>
                <w:lang w:eastAsia="lv-LV"/>
              </w:rPr>
              <w:t> </w:t>
            </w:r>
            <w:r w:rsidRPr="00F86E08">
              <w:rPr>
                <w:rFonts w:ascii="Times New Roman" w:eastAsia="Times New Roman" w:hAnsi="Times New Roman" w:cs="Times New Roman"/>
                <w:sz w:val="24"/>
                <w:szCs w:val="24"/>
                <w:lang w:eastAsia="lv-LV"/>
              </w:rPr>
              <w:t>1093/2010, (ES) Nr.</w:t>
            </w:r>
            <w:r>
              <w:rPr>
                <w:rFonts w:ascii="Times New Roman" w:eastAsia="Times New Roman" w:hAnsi="Times New Roman" w:cs="Times New Roman"/>
                <w:sz w:val="24"/>
                <w:szCs w:val="24"/>
                <w:lang w:eastAsia="lv-LV"/>
              </w:rPr>
              <w:t> </w:t>
            </w:r>
            <w:r w:rsidRPr="00F86E08">
              <w:rPr>
                <w:rFonts w:ascii="Times New Roman" w:eastAsia="Times New Roman" w:hAnsi="Times New Roman" w:cs="Times New Roman"/>
                <w:sz w:val="24"/>
                <w:szCs w:val="24"/>
                <w:lang w:eastAsia="lv-LV"/>
              </w:rPr>
              <w:t>575/2013, (ES) Nr.</w:t>
            </w:r>
            <w:r>
              <w:rPr>
                <w:rFonts w:ascii="Times New Roman" w:eastAsia="Times New Roman" w:hAnsi="Times New Roman" w:cs="Times New Roman"/>
                <w:sz w:val="24"/>
                <w:szCs w:val="24"/>
                <w:lang w:eastAsia="lv-LV"/>
              </w:rPr>
              <w:t> </w:t>
            </w:r>
            <w:r w:rsidRPr="00F86E08">
              <w:rPr>
                <w:rFonts w:ascii="Times New Roman" w:eastAsia="Times New Roman" w:hAnsi="Times New Roman" w:cs="Times New Roman"/>
                <w:sz w:val="24"/>
                <w:szCs w:val="24"/>
                <w:lang w:eastAsia="lv-LV"/>
              </w:rPr>
              <w:t>600/2014 un (ES) Nr.</w:t>
            </w:r>
            <w:r>
              <w:rPr>
                <w:rFonts w:ascii="Times New Roman" w:eastAsia="Times New Roman" w:hAnsi="Times New Roman" w:cs="Times New Roman"/>
                <w:sz w:val="24"/>
                <w:szCs w:val="24"/>
                <w:lang w:eastAsia="lv-LV"/>
              </w:rPr>
              <w:t> </w:t>
            </w:r>
            <w:r w:rsidRPr="00F86E08">
              <w:rPr>
                <w:rFonts w:ascii="Times New Roman" w:eastAsia="Times New Roman" w:hAnsi="Times New Roman" w:cs="Times New Roman"/>
                <w:sz w:val="24"/>
                <w:szCs w:val="24"/>
                <w:lang w:eastAsia="lv-LV"/>
              </w:rPr>
              <w:t xml:space="preserve">806/2014 </w:t>
            </w:r>
            <w:r>
              <w:rPr>
                <w:rFonts w:ascii="Times New Roman" w:eastAsia="Times New Roman" w:hAnsi="Times New Roman" w:cs="Times New Roman"/>
                <w:sz w:val="24"/>
                <w:szCs w:val="24"/>
                <w:lang w:eastAsia="lv-LV"/>
              </w:rPr>
              <w:t>(turpmāk – Regula Nr. </w:t>
            </w:r>
            <w:r w:rsidRPr="00F86E08">
              <w:rPr>
                <w:rFonts w:ascii="Times New Roman" w:eastAsia="Times New Roman" w:hAnsi="Times New Roman" w:cs="Times New Roman"/>
                <w:sz w:val="24"/>
                <w:szCs w:val="24"/>
                <w:lang w:eastAsia="lv-LV"/>
              </w:rPr>
              <w:t> 2019/2033</w:t>
            </w:r>
            <w:r>
              <w:rPr>
                <w:rFonts w:ascii="Times New Roman" w:eastAsia="Times New Roman" w:hAnsi="Times New Roman" w:cs="Times New Roman"/>
                <w:sz w:val="24"/>
                <w:szCs w:val="24"/>
                <w:lang w:eastAsia="lv-LV"/>
              </w:rPr>
              <w:t>)</w:t>
            </w:r>
            <w:r w:rsidRPr="00F86E08">
              <w:rPr>
                <w:rFonts w:ascii="Times New Roman" w:eastAsia="Times New Roman" w:hAnsi="Times New Roman" w:cs="Times New Roman"/>
                <w:sz w:val="24"/>
                <w:szCs w:val="24"/>
                <w:lang w:eastAsia="lv-LV"/>
              </w:rPr>
              <w:t xml:space="preserve"> 1.</w:t>
            </w:r>
            <w:r>
              <w:rPr>
                <w:rFonts w:ascii="Times New Roman" w:eastAsia="Times New Roman" w:hAnsi="Times New Roman" w:cs="Times New Roman"/>
                <w:sz w:val="24"/>
                <w:szCs w:val="24"/>
                <w:lang w:eastAsia="lv-LV"/>
              </w:rPr>
              <w:t> </w:t>
            </w:r>
            <w:r w:rsidRPr="00F86E08">
              <w:rPr>
                <w:rFonts w:ascii="Times New Roman" w:eastAsia="Times New Roman" w:hAnsi="Times New Roman" w:cs="Times New Roman"/>
                <w:sz w:val="24"/>
                <w:szCs w:val="24"/>
                <w:lang w:eastAsia="lv-LV"/>
              </w:rPr>
              <w:t>panta 2.</w:t>
            </w:r>
            <w:r>
              <w:rPr>
                <w:rFonts w:ascii="Times New Roman" w:eastAsia="Times New Roman" w:hAnsi="Times New Roman" w:cs="Times New Roman"/>
                <w:sz w:val="24"/>
                <w:szCs w:val="24"/>
                <w:lang w:eastAsia="lv-LV"/>
              </w:rPr>
              <w:t xml:space="preserve"> </w:t>
            </w:r>
            <w:r w:rsidRPr="00F86E08">
              <w:rPr>
                <w:rFonts w:ascii="Times New Roman" w:eastAsia="Times New Roman" w:hAnsi="Times New Roman" w:cs="Times New Roman"/>
                <w:sz w:val="24"/>
                <w:szCs w:val="24"/>
                <w:lang w:eastAsia="lv-LV"/>
              </w:rPr>
              <w:t>un 5.</w:t>
            </w:r>
            <w:r>
              <w:rPr>
                <w:rFonts w:ascii="Times New Roman" w:eastAsia="Times New Roman" w:hAnsi="Times New Roman" w:cs="Times New Roman"/>
                <w:sz w:val="24"/>
                <w:szCs w:val="24"/>
                <w:lang w:eastAsia="lv-LV"/>
              </w:rPr>
              <w:t> </w:t>
            </w:r>
            <w:r w:rsidRPr="00F86E08">
              <w:rPr>
                <w:rFonts w:ascii="Times New Roman" w:eastAsia="Times New Roman" w:hAnsi="Times New Roman" w:cs="Times New Roman"/>
                <w:sz w:val="24"/>
                <w:szCs w:val="24"/>
                <w:lang w:eastAsia="lv-LV"/>
              </w:rPr>
              <w:t>punktā, ņemot vērā Ieguldījumu brokeru sabiedrību likuma 3.</w:t>
            </w:r>
            <w:r>
              <w:rPr>
                <w:rFonts w:ascii="Times New Roman" w:eastAsia="Times New Roman" w:hAnsi="Times New Roman" w:cs="Times New Roman"/>
                <w:sz w:val="24"/>
                <w:szCs w:val="24"/>
                <w:lang w:eastAsia="lv-LV"/>
              </w:rPr>
              <w:t> </w:t>
            </w:r>
            <w:r w:rsidRPr="00F86E08">
              <w:rPr>
                <w:rFonts w:ascii="Times New Roman" w:eastAsia="Times New Roman" w:hAnsi="Times New Roman" w:cs="Times New Roman"/>
                <w:sz w:val="24"/>
                <w:szCs w:val="24"/>
                <w:lang w:eastAsia="lv-LV"/>
              </w:rPr>
              <w:t>panta trešo daļu, kas nosaka, ka tām piemēro Kredītiestāžu likumā un uz tā pamata Latvijas Bankas izdotajos noteikumos paredzētās prudenciālās prasības</w:t>
            </w:r>
            <w:r w:rsidR="00E64851">
              <w:rPr>
                <w:rFonts w:ascii="Times New Roman" w:eastAsia="Times New Roman" w:hAnsi="Times New Roman" w:cs="Times New Roman"/>
                <w:sz w:val="24"/>
                <w:szCs w:val="24"/>
                <w:lang w:eastAsia="lv-LV"/>
              </w:rPr>
              <w:t>;</w:t>
            </w:r>
          </w:p>
          <w:p w14:paraId="11BE8B90" w14:textId="67473574" w:rsidR="00494DB8" w:rsidRPr="00812985" w:rsidRDefault="00D01185" w:rsidP="0081298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r w:rsidR="001D72FD" w:rsidRPr="00812985">
              <w:rPr>
                <w:rFonts w:ascii="Times New Roman" w:eastAsia="Times New Roman" w:hAnsi="Times New Roman" w:cs="Times New Roman"/>
                <w:sz w:val="24"/>
                <w:szCs w:val="24"/>
                <w:lang w:eastAsia="lv-LV"/>
              </w:rPr>
              <w:t xml:space="preserve">centrālajiem vērtspapīru depozitārijiem, </w:t>
            </w:r>
            <w:r w:rsidR="00494DB8" w:rsidRPr="00812985">
              <w:rPr>
                <w:rFonts w:ascii="Times New Roman" w:eastAsia="Times New Roman" w:hAnsi="Times New Roman" w:cs="Times New Roman"/>
                <w:sz w:val="24"/>
                <w:szCs w:val="24"/>
                <w:lang w:eastAsia="lv-LV"/>
              </w:rPr>
              <w:t>ņemot vērā Komisijas 2016. gada 11. novembr</w:t>
            </w:r>
            <w:r>
              <w:rPr>
                <w:rFonts w:ascii="Times New Roman" w:eastAsia="Times New Roman" w:hAnsi="Times New Roman" w:cs="Times New Roman"/>
                <w:sz w:val="24"/>
                <w:szCs w:val="24"/>
                <w:lang w:eastAsia="lv-LV"/>
              </w:rPr>
              <w:t>a</w:t>
            </w:r>
            <w:r w:rsidR="00494DB8" w:rsidRPr="00812985">
              <w:rPr>
                <w:rFonts w:ascii="Times New Roman" w:eastAsia="Times New Roman" w:hAnsi="Times New Roman" w:cs="Times New Roman"/>
                <w:sz w:val="24"/>
                <w:szCs w:val="24"/>
                <w:lang w:eastAsia="lv-LV"/>
              </w:rPr>
              <w:t xml:space="preserve"> </w:t>
            </w:r>
            <w:r w:rsidR="00E64851">
              <w:rPr>
                <w:rFonts w:ascii="Times New Roman" w:eastAsia="Times New Roman" w:hAnsi="Times New Roman" w:cs="Times New Roman"/>
                <w:sz w:val="24"/>
                <w:szCs w:val="24"/>
                <w:lang w:eastAsia="lv-LV"/>
              </w:rPr>
              <w:t>d</w:t>
            </w:r>
            <w:r w:rsidR="00494DB8" w:rsidRPr="00812985">
              <w:rPr>
                <w:rFonts w:ascii="Times New Roman" w:eastAsia="Times New Roman" w:hAnsi="Times New Roman" w:cs="Times New Roman"/>
                <w:sz w:val="24"/>
                <w:szCs w:val="24"/>
                <w:lang w:eastAsia="lv-LV"/>
              </w:rPr>
              <w:t>eleģētās regulas (ES) 2017/390</w:t>
            </w:r>
            <w:r w:rsidR="00BA305B">
              <w:rPr>
                <w:rFonts w:ascii="Times New Roman" w:eastAsia="Times New Roman" w:hAnsi="Times New Roman" w:cs="Times New Roman"/>
                <w:sz w:val="24"/>
                <w:szCs w:val="24"/>
                <w:lang w:eastAsia="lv-LV"/>
              </w:rPr>
              <w:t>,</w:t>
            </w:r>
            <w:r w:rsidR="00494DB8" w:rsidRPr="00812985">
              <w:rPr>
                <w:rFonts w:ascii="Times New Roman" w:eastAsia="Times New Roman" w:hAnsi="Times New Roman" w:cs="Times New Roman"/>
                <w:sz w:val="24"/>
                <w:szCs w:val="24"/>
                <w:lang w:eastAsia="lv-LV"/>
              </w:rPr>
              <w:t xml:space="preserve"> ar ko papildina Eiropas Parlamenta un Padomes </w:t>
            </w:r>
            <w:r w:rsidR="00BA305B">
              <w:rPr>
                <w:rFonts w:ascii="Times New Roman" w:eastAsia="Times New Roman" w:hAnsi="Times New Roman" w:cs="Times New Roman"/>
                <w:sz w:val="24"/>
                <w:szCs w:val="24"/>
                <w:lang w:eastAsia="lv-LV"/>
              </w:rPr>
              <w:t>r</w:t>
            </w:r>
            <w:r w:rsidR="00494DB8" w:rsidRPr="00812985">
              <w:rPr>
                <w:rFonts w:ascii="Times New Roman" w:eastAsia="Times New Roman" w:hAnsi="Times New Roman" w:cs="Times New Roman"/>
                <w:sz w:val="24"/>
                <w:szCs w:val="24"/>
                <w:lang w:eastAsia="lv-LV"/>
              </w:rPr>
              <w:t>egulu (ES) Nr.</w:t>
            </w:r>
            <w:r>
              <w:t> </w:t>
            </w:r>
            <w:r w:rsidR="00494DB8" w:rsidRPr="00812985">
              <w:rPr>
                <w:rFonts w:ascii="Times New Roman" w:eastAsia="Times New Roman" w:hAnsi="Times New Roman" w:cs="Times New Roman"/>
                <w:sz w:val="24"/>
                <w:szCs w:val="24"/>
                <w:lang w:eastAsia="lv-LV"/>
              </w:rPr>
              <w:t>909/2014 attiecībā uz regulatīvajiem tehniskajiem standartiem par konkrētām prudenciālajām prasībām centrālajiem vērtspapīru depozitārijiem un norīkotām kredītiestādēm, kas piedāvā banku tipa papildpakalpojumus</w:t>
            </w:r>
            <w:r w:rsidR="00BA305B">
              <w:rPr>
                <w:rFonts w:ascii="Times New Roman" w:eastAsia="Times New Roman" w:hAnsi="Times New Roman" w:cs="Times New Roman"/>
                <w:sz w:val="24"/>
                <w:szCs w:val="24"/>
                <w:lang w:eastAsia="lv-LV"/>
              </w:rPr>
              <w:t>,</w:t>
            </w:r>
            <w:r w:rsidR="00494DB8" w:rsidRPr="00812985">
              <w:rPr>
                <w:rFonts w:ascii="Times New Roman" w:eastAsia="Times New Roman" w:hAnsi="Times New Roman" w:cs="Times New Roman"/>
                <w:sz w:val="24"/>
                <w:szCs w:val="24"/>
                <w:lang w:eastAsia="lv-LV"/>
              </w:rPr>
              <w:t xml:space="preserve"> 4. un 5. pantā noteikto</w:t>
            </w:r>
            <w:r w:rsidR="002C17FB">
              <w:rPr>
                <w:rFonts w:ascii="Times New Roman" w:eastAsia="Times New Roman" w:hAnsi="Times New Roman" w:cs="Times New Roman"/>
                <w:sz w:val="24"/>
                <w:szCs w:val="24"/>
                <w:lang w:eastAsia="lv-LV"/>
              </w:rPr>
              <w:t>.</w:t>
            </w:r>
          </w:p>
          <w:p w14:paraId="40D099AF" w14:textId="10B08BFF" w:rsidR="001D72FD" w:rsidRDefault="001D72FD" w:rsidP="00EA1AC6">
            <w:pPr>
              <w:spacing w:after="120" w:line="240" w:lineRule="auto"/>
              <w:jc w:val="both"/>
              <w:rPr>
                <w:rFonts w:ascii="Times New Roman" w:hAnsi="Times New Roman" w:cs="Times New Roman"/>
                <w:sz w:val="24"/>
                <w:szCs w:val="24"/>
              </w:rPr>
            </w:pPr>
            <w:r w:rsidRPr="00774CC3">
              <w:rPr>
                <w:rFonts w:ascii="Times New Roman" w:hAnsi="Times New Roman" w:cs="Times New Roman"/>
                <w:sz w:val="24"/>
                <w:szCs w:val="24"/>
              </w:rPr>
              <w:t>Šobrīd nav tādu Latvijas Republikā reģistrētu ieguldījumu brokeru sabiedrību</w:t>
            </w:r>
            <w:r>
              <w:rPr>
                <w:rFonts w:ascii="Times New Roman" w:hAnsi="Times New Roman" w:cs="Times New Roman"/>
                <w:sz w:val="24"/>
                <w:szCs w:val="24"/>
              </w:rPr>
              <w:t>,</w:t>
            </w:r>
            <w:r w:rsidRPr="00774CC3">
              <w:rPr>
                <w:rFonts w:ascii="Times New Roman" w:hAnsi="Times New Roman" w:cs="Times New Roman"/>
                <w:sz w:val="24"/>
                <w:szCs w:val="24"/>
              </w:rPr>
              <w:t xml:space="preserve"> kur</w:t>
            </w:r>
            <w:r w:rsidR="00A13A06">
              <w:rPr>
                <w:rFonts w:ascii="Times New Roman" w:hAnsi="Times New Roman" w:cs="Times New Roman"/>
                <w:sz w:val="24"/>
                <w:szCs w:val="24"/>
              </w:rPr>
              <w:t xml:space="preserve">ām </w:t>
            </w:r>
            <w:r w:rsidRPr="00774CC3">
              <w:rPr>
                <w:rFonts w:ascii="Times New Roman" w:hAnsi="Times New Roman" w:cs="Times New Roman"/>
                <w:sz w:val="24"/>
                <w:szCs w:val="24"/>
              </w:rPr>
              <w:t>kapitāla prasīb</w:t>
            </w:r>
            <w:r>
              <w:rPr>
                <w:rFonts w:ascii="Times New Roman" w:hAnsi="Times New Roman" w:cs="Times New Roman"/>
                <w:sz w:val="24"/>
                <w:szCs w:val="24"/>
              </w:rPr>
              <w:t>as</w:t>
            </w:r>
            <w:r w:rsidRPr="00774CC3">
              <w:rPr>
                <w:rFonts w:ascii="Times New Roman" w:hAnsi="Times New Roman" w:cs="Times New Roman"/>
                <w:sz w:val="24"/>
                <w:szCs w:val="24"/>
              </w:rPr>
              <w:t xml:space="preserve"> aprēķins būtu jāveic</w:t>
            </w:r>
            <w:r>
              <w:rPr>
                <w:rFonts w:ascii="Times New Roman" w:hAnsi="Times New Roman" w:cs="Times New Roman"/>
                <w:sz w:val="24"/>
                <w:szCs w:val="24"/>
              </w:rPr>
              <w:t>,</w:t>
            </w:r>
            <w:r w:rsidRPr="00774CC3">
              <w:rPr>
                <w:rFonts w:ascii="Times New Roman" w:hAnsi="Times New Roman" w:cs="Times New Roman"/>
                <w:sz w:val="24"/>
                <w:szCs w:val="24"/>
              </w:rPr>
              <w:t xml:space="preserve"> izmantojot Regulu Nr. 575/2013.</w:t>
            </w:r>
          </w:p>
          <w:p w14:paraId="21326DBF" w14:textId="175826B8" w:rsidR="00C26CE9" w:rsidRPr="0033077D" w:rsidRDefault="00F31522" w:rsidP="00EA1AC6">
            <w:pPr>
              <w:pStyle w:val="NApunkts2"/>
              <w:numPr>
                <w:ilvl w:val="0"/>
                <w:numId w:val="0"/>
              </w:numPr>
              <w:spacing w:after="120"/>
            </w:pPr>
            <w:r>
              <w:t xml:space="preserve">Saskaņā ar Regulas Nr. 575/2013 11. pantā noteikto </w:t>
            </w:r>
            <w:r w:rsidR="002C17FB">
              <w:t>N</w:t>
            </w:r>
            <w:r w:rsidR="00C26CE9">
              <w:t xml:space="preserve">oteikumu projekts būs </w:t>
            </w:r>
            <w:r w:rsidR="00CE60D7">
              <w:t xml:space="preserve">attiecināms arī uz </w:t>
            </w:r>
            <w:r w:rsidR="00C26CE9" w:rsidRPr="00C656F5">
              <w:t>Latvijas Republikā reģistrēt</w:t>
            </w:r>
            <w:r w:rsidR="00CE60D7">
              <w:t>u</w:t>
            </w:r>
            <w:r w:rsidR="00C26CE9" w:rsidRPr="00C656F5">
              <w:t xml:space="preserve"> Eiropas Savienības mātes kredītiestā</w:t>
            </w:r>
            <w:r w:rsidR="00CE60D7">
              <w:t>žu</w:t>
            </w:r>
            <w:r w:rsidR="00C26CE9" w:rsidRPr="00C656F5">
              <w:t>, Latvijas Republikā reģistrēt</w:t>
            </w:r>
            <w:r w:rsidR="00CE60D7">
              <w:t>u</w:t>
            </w:r>
            <w:r w:rsidR="00C26CE9" w:rsidRPr="00C656F5">
              <w:t xml:space="preserve"> Eiropas Savienības mātes ieguldījumu brokeru sabiedrīb</w:t>
            </w:r>
            <w:r w:rsidR="00CE60D7">
              <w:t>u</w:t>
            </w:r>
            <w:r w:rsidR="00C26CE9" w:rsidRPr="00C656F5">
              <w:t>, Latvijas Republikā reģistrēt</w:t>
            </w:r>
            <w:r w:rsidR="00CE60D7">
              <w:t>u</w:t>
            </w:r>
            <w:r w:rsidR="00C26CE9" w:rsidRPr="00C656F5">
              <w:t xml:space="preserve"> Eiropas Savienības mātes finanšu pārvaldītājsabiedrīb</w:t>
            </w:r>
            <w:r w:rsidR="00CE60D7">
              <w:t>u</w:t>
            </w:r>
            <w:r w:rsidR="00C26CE9" w:rsidRPr="00C656F5">
              <w:t xml:space="preserve"> </w:t>
            </w:r>
            <w:r w:rsidR="00CE60D7">
              <w:t>un</w:t>
            </w:r>
            <w:r w:rsidR="00C26CE9" w:rsidRPr="00C656F5">
              <w:t xml:space="preserve"> Latvijas Republikā reģistrēt</w:t>
            </w:r>
            <w:r w:rsidR="00CE60D7">
              <w:t>u</w:t>
            </w:r>
            <w:r w:rsidR="00C26CE9" w:rsidRPr="00C656F5">
              <w:t xml:space="preserve"> Eiropas Savienības mātes jaukt</w:t>
            </w:r>
            <w:r w:rsidR="002C17FB">
              <w:t>u</w:t>
            </w:r>
            <w:r w:rsidR="00C26CE9" w:rsidRPr="00C656F5">
              <w:t xml:space="preserve"> finanšu </w:t>
            </w:r>
            <w:proofErr w:type="spellStart"/>
            <w:r w:rsidR="00C26CE9" w:rsidRPr="00C26CE9">
              <w:t>pārvaldītājsabiedrīb</w:t>
            </w:r>
            <w:r w:rsidR="00CE60D7">
              <w:t>u</w:t>
            </w:r>
            <w:proofErr w:type="spellEnd"/>
            <w:r w:rsidR="00C26CE9" w:rsidRPr="00C26CE9">
              <w:t xml:space="preserve"> un </w:t>
            </w:r>
            <w:r w:rsidR="00CE60D7">
              <w:t>to</w:t>
            </w:r>
            <w:r w:rsidR="00C26CE9" w:rsidRPr="00C26CE9">
              <w:t xml:space="preserve"> meitas sabiedrību kopīgajiem iesniegumiem IRB pieejas, IMM metodes vai alternatīv</w:t>
            </w:r>
            <w:r w:rsidR="00CE60D7">
              <w:t>ās</w:t>
            </w:r>
            <w:r w:rsidR="00C26CE9" w:rsidRPr="00C26CE9">
              <w:t xml:space="preserve"> iekšējā modeļa pieejas izmantošanas atļaujas saņemšanai.</w:t>
            </w:r>
          </w:p>
          <w:p w14:paraId="3C824993" w14:textId="2BD22914" w:rsidR="006907E2" w:rsidRDefault="001D72FD" w:rsidP="00EA1AC6">
            <w:pPr>
              <w:spacing w:after="120" w:line="240" w:lineRule="auto"/>
              <w:jc w:val="both"/>
              <w:rPr>
                <w:rFonts w:ascii="Times New Roman" w:hAnsi="Times New Roman" w:cs="Times New Roman"/>
                <w:sz w:val="24"/>
                <w:szCs w:val="24"/>
              </w:rPr>
            </w:pPr>
            <w:r w:rsidRPr="00774CC3">
              <w:rPr>
                <w:rFonts w:ascii="Times New Roman" w:hAnsi="Times New Roman" w:cs="Times New Roman"/>
                <w:sz w:val="24"/>
                <w:szCs w:val="24"/>
              </w:rPr>
              <w:t>Latvijas Republikā reģistrētā</w:t>
            </w:r>
            <w:r w:rsidR="00A90376">
              <w:rPr>
                <w:rFonts w:ascii="Times New Roman" w:hAnsi="Times New Roman" w:cs="Times New Roman"/>
                <w:sz w:val="24"/>
                <w:szCs w:val="24"/>
              </w:rPr>
              <w:t>s</w:t>
            </w:r>
            <w:r w:rsidRPr="00774CC3">
              <w:rPr>
                <w:rFonts w:ascii="Times New Roman" w:hAnsi="Times New Roman" w:cs="Times New Roman"/>
                <w:sz w:val="24"/>
                <w:szCs w:val="24"/>
              </w:rPr>
              <w:t xml:space="preserve"> kredītiestād</w:t>
            </w:r>
            <w:r w:rsidR="00A90376">
              <w:rPr>
                <w:rFonts w:ascii="Times New Roman" w:hAnsi="Times New Roman" w:cs="Times New Roman"/>
                <w:sz w:val="24"/>
                <w:szCs w:val="24"/>
              </w:rPr>
              <w:t>es</w:t>
            </w:r>
            <w:r w:rsidRPr="00774CC3">
              <w:rPr>
                <w:rFonts w:ascii="Times New Roman" w:hAnsi="Times New Roman" w:cs="Times New Roman"/>
                <w:sz w:val="24"/>
                <w:szCs w:val="24"/>
              </w:rPr>
              <w:t xml:space="preserve">, </w:t>
            </w:r>
            <w:r w:rsidR="00A90376">
              <w:rPr>
                <w:rFonts w:ascii="Times New Roman" w:hAnsi="Times New Roman" w:cs="Times New Roman"/>
                <w:sz w:val="24"/>
                <w:szCs w:val="24"/>
              </w:rPr>
              <w:t>kuras</w:t>
            </w:r>
            <w:r w:rsidRPr="00774CC3">
              <w:rPr>
                <w:rFonts w:ascii="Times New Roman" w:hAnsi="Times New Roman" w:cs="Times New Roman"/>
                <w:sz w:val="24"/>
                <w:szCs w:val="24"/>
              </w:rPr>
              <w:t xml:space="preserve"> ir nozīmīgās uzraudzītās kredītiestādes</w:t>
            </w:r>
            <w:r>
              <w:rPr>
                <w:rFonts w:ascii="Times New Roman" w:hAnsi="Times New Roman" w:cs="Times New Roman"/>
                <w:sz w:val="24"/>
                <w:szCs w:val="24"/>
              </w:rPr>
              <w:t>, iesniegumu atļauja</w:t>
            </w:r>
            <w:r w:rsidR="00A13A06">
              <w:rPr>
                <w:rFonts w:ascii="Times New Roman" w:hAnsi="Times New Roman" w:cs="Times New Roman"/>
                <w:sz w:val="24"/>
                <w:szCs w:val="24"/>
              </w:rPr>
              <w:t>s saņemšanai</w:t>
            </w:r>
            <w:r>
              <w:rPr>
                <w:rFonts w:ascii="Times New Roman" w:hAnsi="Times New Roman" w:cs="Times New Roman"/>
                <w:sz w:val="24"/>
                <w:szCs w:val="24"/>
              </w:rPr>
              <w:t xml:space="preserve"> izmantot iekšējo mode</w:t>
            </w:r>
            <w:r w:rsidR="00A13A06">
              <w:rPr>
                <w:rFonts w:ascii="Times New Roman" w:hAnsi="Times New Roman" w:cs="Times New Roman"/>
                <w:sz w:val="24"/>
                <w:szCs w:val="24"/>
              </w:rPr>
              <w:t>li</w:t>
            </w:r>
            <w:r>
              <w:rPr>
                <w:rFonts w:ascii="Times New Roman" w:hAnsi="Times New Roman" w:cs="Times New Roman"/>
                <w:sz w:val="24"/>
                <w:szCs w:val="24"/>
              </w:rPr>
              <w:t xml:space="preserve">, pieeju vai metodi saskaņā ar Regulu Nr. 575/2013 iesniedz Eiropas Centrālajai </w:t>
            </w:r>
            <w:r w:rsidR="002C17FB">
              <w:rPr>
                <w:rFonts w:ascii="Times New Roman" w:hAnsi="Times New Roman" w:cs="Times New Roman"/>
                <w:sz w:val="24"/>
                <w:szCs w:val="24"/>
              </w:rPr>
              <w:t>b</w:t>
            </w:r>
            <w:r>
              <w:rPr>
                <w:rFonts w:ascii="Times New Roman" w:hAnsi="Times New Roman" w:cs="Times New Roman"/>
                <w:sz w:val="24"/>
                <w:szCs w:val="24"/>
              </w:rPr>
              <w:t>ankai atbilstoši tās noteiktajai procedūrai.</w:t>
            </w:r>
          </w:p>
          <w:p w14:paraId="43BCB6FB" w14:textId="387E9BA3" w:rsidR="00FF68C4" w:rsidRDefault="00FF68C4" w:rsidP="00EA1AC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Latvijā reģistrētās kredītiestādes, kuras nav nozīmīgās </w:t>
            </w:r>
            <w:r w:rsidR="002C17FB">
              <w:rPr>
                <w:rFonts w:ascii="Times New Roman" w:eastAsia="Times New Roman" w:hAnsi="Times New Roman" w:cs="Times New Roman"/>
                <w:sz w:val="24"/>
                <w:szCs w:val="24"/>
                <w:lang w:eastAsia="lv-LV"/>
              </w:rPr>
              <w:t xml:space="preserve">uzraudzītās </w:t>
            </w:r>
            <w:r>
              <w:rPr>
                <w:rFonts w:ascii="Times New Roman" w:eastAsia="Times New Roman" w:hAnsi="Times New Roman" w:cs="Times New Roman"/>
                <w:sz w:val="24"/>
                <w:szCs w:val="24"/>
                <w:lang w:eastAsia="lv-LV"/>
              </w:rPr>
              <w:t>kredītiestādes, šobrīd neizmanto iekšējos modeļus, pieejas vai metodes kapitāl</w:t>
            </w:r>
            <w:r w:rsidR="00A90376">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prasību aprēķin</w:t>
            </w:r>
            <w:r w:rsidR="0094597E">
              <w:rPr>
                <w:rFonts w:ascii="Times New Roman" w:eastAsia="Times New Roman" w:hAnsi="Times New Roman" w:cs="Times New Roman"/>
                <w:sz w:val="24"/>
                <w:szCs w:val="24"/>
                <w:lang w:eastAsia="lv-LV"/>
              </w:rPr>
              <w:t>ā</w:t>
            </w:r>
            <w:r>
              <w:rPr>
                <w:rFonts w:ascii="Times New Roman" w:eastAsia="Times New Roman" w:hAnsi="Times New Roman" w:cs="Times New Roman"/>
                <w:sz w:val="24"/>
                <w:szCs w:val="24"/>
                <w:lang w:eastAsia="lv-LV"/>
              </w:rPr>
              <w:t xml:space="preserve"> saskaņā ar Regulu Nr. 575/213.</w:t>
            </w:r>
          </w:p>
          <w:p w14:paraId="1D966252" w14:textId="6DFA7893" w:rsidR="00DF0840" w:rsidRPr="00005BDC" w:rsidRDefault="00DF0840" w:rsidP="00EA1AC6">
            <w:pPr>
              <w:spacing w:after="120" w:line="240" w:lineRule="auto"/>
              <w:jc w:val="both"/>
              <w:rPr>
                <w:rFonts w:ascii="Times New Roman" w:eastAsia="Times New Roman" w:hAnsi="Times New Roman" w:cs="Times New Roman"/>
                <w:sz w:val="24"/>
                <w:szCs w:val="24"/>
                <w:lang w:eastAsia="lv-LV"/>
              </w:rPr>
            </w:pPr>
            <w:r w:rsidRPr="001C6DD7">
              <w:rPr>
                <w:rFonts w:ascii="Times New Roman" w:hAnsi="Times New Roman" w:cs="Times New Roman"/>
                <w:sz w:val="24"/>
                <w:szCs w:val="24"/>
                <w:shd w:val="clear" w:color="auto" w:fill="FFFFFF"/>
              </w:rPr>
              <w:t xml:space="preserve">Līdz ar </w:t>
            </w:r>
            <w:r w:rsidR="007678C9">
              <w:rPr>
                <w:rFonts w:ascii="Times New Roman" w:hAnsi="Times New Roman" w:cs="Times New Roman"/>
                <w:sz w:val="24"/>
                <w:szCs w:val="24"/>
                <w:shd w:val="clear" w:color="auto" w:fill="FFFFFF"/>
              </w:rPr>
              <w:t>N</w:t>
            </w:r>
            <w:r w:rsidRPr="001C6DD7">
              <w:rPr>
                <w:rFonts w:ascii="Times New Roman" w:hAnsi="Times New Roman" w:cs="Times New Roman"/>
                <w:sz w:val="24"/>
                <w:szCs w:val="24"/>
                <w:shd w:val="clear" w:color="auto" w:fill="FFFFFF"/>
              </w:rPr>
              <w:t>oteikumu projekta stāšanos spēkā spēku zaudēs Noteikumi Nr. </w:t>
            </w:r>
            <w:r>
              <w:rPr>
                <w:rFonts w:ascii="Times New Roman" w:hAnsi="Times New Roman" w:cs="Times New Roman"/>
                <w:sz w:val="24"/>
                <w:szCs w:val="24"/>
                <w:shd w:val="clear" w:color="auto" w:fill="FFFFFF"/>
              </w:rPr>
              <w:t>2</w:t>
            </w:r>
            <w:r w:rsidR="009C33EC">
              <w:rPr>
                <w:rFonts w:ascii="Times New Roman" w:hAnsi="Times New Roman" w:cs="Times New Roman"/>
                <w:sz w:val="24"/>
                <w:szCs w:val="24"/>
                <w:shd w:val="clear" w:color="auto" w:fill="FFFFFF"/>
              </w:rPr>
              <w:t>47</w:t>
            </w:r>
            <w:r>
              <w:rPr>
                <w:rFonts w:ascii="Times New Roman" w:hAnsi="Times New Roman" w:cs="Times New Roman"/>
                <w:sz w:val="24"/>
                <w:szCs w:val="24"/>
                <w:shd w:val="clear" w:color="auto" w:fill="FFFFFF"/>
              </w:rPr>
              <w:t>.</w:t>
            </w:r>
          </w:p>
        </w:tc>
      </w:tr>
      <w:tr w:rsidR="000B4E0A" w:rsidRPr="000B4E0A" w14:paraId="725566C6" w14:textId="77777777" w:rsidTr="00812985">
        <w:trPr>
          <w:trHeight w:val="567"/>
        </w:trPr>
        <w:tc>
          <w:tcPr>
            <w:tcW w:w="1210" w:type="pct"/>
            <w:shd w:val="clear" w:color="auto" w:fill="auto"/>
            <w:hideMark/>
          </w:tcPr>
          <w:p w14:paraId="09E64934"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62930C3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90" w:type="pct"/>
            <w:shd w:val="clear" w:color="auto" w:fill="auto"/>
          </w:tcPr>
          <w:p w14:paraId="6C0E62F6" w14:textId="15D8F1CC" w:rsidR="00FC2161" w:rsidRDefault="00FC2161" w:rsidP="00EA1AC6">
            <w:pPr>
              <w:spacing w:after="120" w:line="240" w:lineRule="auto"/>
              <w:jc w:val="both"/>
              <w:rPr>
                <w:rFonts w:ascii="Times New Roman" w:hAnsi="Times New Roman" w:cs="Times New Roman"/>
                <w:sz w:val="24"/>
                <w:szCs w:val="24"/>
              </w:rPr>
            </w:pPr>
            <w:r w:rsidRPr="009B687B">
              <w:rPr>
                <w:rFonts w:ascii="Times New Roman" w:hAnsi="Times New Roman" w:cs="Times New Roman"/>
                <w:sz w:val="24"/>
                <w:szCs w:val="24"/>
              </w:rPr>
              <w:t xml:space="preserve">Noteikumu projekta leģitīmais mērķis ir citu personu tiesību un sabiedrības labklājības </w:t>
            </w:r>
            <w:r w:rsidR="00A71EAA">
              <w:rPr>
                <w:rFonts w:ascii="Times New Roman" w:hAnsi="Times New Roman" w:cs="Times New Roman"/>
                <w:sz w:val="24"/>
                <w:szCs w:val="24"/>
              </w:rPr>
              <w:t>aizsardzība</w:t>
            </w:r>
            <w:r w:rsidRPr="009B687B">
              <w:rPr>
                <w:rFonts w:ascii="Times New Roman" w:hAnsi="Times New Roman" w:cs="Times New Roman"/>
                <w:sz w:val="24"/>
                <w:szCs w:val="24"/>
              </w:rPr>
              <w:t>.</w:t>
            </w:r>
          </w:p>
          <w:p w14:paraId="7265FF3D" w14:textId="6C259EF8" w:rsidR="00FC2161" w:rsidRDefault="00FC2161" w:rsidP="00EA1AC6">
            <w:pPr>
              <w:spacing w:after="120" w:line="240" w:lineRule="auto"/>
              <w:jc w:val="both"/>
              <w:rPr>
                <w:rFonts w:ascii="Times New Roman" w:hAnsi="Times New Roman" w:cs="Times New Roman"/>
                <w:sz w:val="24"/>
                <w:szCs w:val="24"/>
              </w:rPr>
            </w:pPr>
            <w:r w:rsidRPr="00D33A6A">
              <w:rPr>
                <w:rFonts w:ascii="Times New Roman" w:hAnsi="Times New Roman" w:cs="Times New Roman"/>
                <w:sz w:val="24"/>
                <w:szCs w:val="24"/>
              </w:rPr>
              <w:t>Leģitīmais mērķis – sabiedrības labklājība</w:t>
            </w:r>
            <w:r w:rsidR="00397965">
              <w:rPr>
                <w:rFonts w:ascii="Times New Roman" w:hAnsi="Times New Roman" w:cs="Times New Roman"/>
                <w:sz w:val="24"/>
                <w:szCs w:val="24"/>
              </w:rPr>
              <w:t>s aizsardzība</w:t>
            </w:r>
            <w:r w:rsidRPr="00D33A6A">
              <w:rPr>
                <w:rFonts w:ascii="Times New Roman" w:hAnsi="Times New Roman" w:cs="Times New Roman"/>
                <w:sz w:val="24"/>
                <w:szCs w:val="24"/>
              </w:rPr>
              <w:t xml:space="preserve"> – tiek sasniegts, nosakot </w:t>
            </w:r>
            <w:r w:rsidR="00FF68C4">
              <w:rPr>
                <w:rFonts w:ascii="Times New Roman" w:hAnsi="Times New Roman" w:cs="Times New Roman"/>
                <w:sz w:val="24"/>
                <w:szCs w:val="24"/>
              </w:rPr>
              <w:t>vienotas prasības atļaujas izmantot iekšējo modeli, pieeju vai metodi kapitāla prasību aprēķin</w:t>
            </w:r>
            <w:r w:rsidR="00AC7B58">
              <w:rPr>
                <w:rFonts w:ascii="Times New Roman" w:hAnsi="Times New Roman" w:cs="Times New Roman"/>
                <w:sz w:val="24"/>
                <w:szCs w:val="24"/>
              </w:rPr>
              <w:t>ā</w:t>
            </w:r>
            <w:r w:rsidR="00FF68C4">
              <w:rPr>
                <w:rFonts w:ascii="Times New Roman" w:hAnsi="Times New Roman" w:cs="Times New Roman"/>
                <w:sz w:val="24"/>
                <w:szCs w:val="24"/>
              </w:rPr>
              <w:t xml:space="preserve"> saskaņā ar Regulu Nr. 575/2013 saņemšanai</w:t>
            </w:r>
            <w:r w:rsidRPr="00D33A6A">
              <w:rPr>
                <w:rFonts w:ascii="Times New Roman" w:hAnsi="Times New Roman" w:cs="Times New Roman"/>
                <w:sz w:val="24"/>
                <w:szCs w:val="24"/>
              </w:rPr>
              <w:t>, tādējādi veicinot finanšu tirgus ilgtspējīgu attīstību un stabilitāti.</w:t>
            </w:r>
          </w:p>
          <w:p w14:paraId="262849FF" w14:textId="1188F375" w:rsidR="001D607C" w:rsidRDefault="001D607C" w:rsidP="00EA1AC6">
            <w:pPr>
              <w:spacing w:after="120" w:line="240" w:lineRule="auto"/>
              <w:jc w:val="both"/>
              <w:rPr>
                <w:rFonts w:ascii="Times New Roman" w:hAnsi="Times New Roman" w:cs="Times New Roman"/>
                <w:sz w:val="24"/>
                <w:szCs w:val="24"/>
              </w:rPr>
            </w:pPr>
            <w:r w:rsidRPr="00C66F61">
              <w:rPr>
                <w:rFonts w:ascii="Times New Roman" w:hAnsi="Times New Roman" w:cs="Times New Roman"/>
                <w:sz w:val="24"/>
                <w:szCs w:val="24"/>
              </w:rPr>
              <w:t xml:space="preserve">Savukārt leģitīmais mērķis – citu personu tiesību aizsardzība – tiek sasniegts, nodrošinot kredītiestāžu uzraudzību, kas balstās uz harmonizētā veidā noteiktām prasībām </w:t>
            </w:r>
            <w:r w:rsidR="00FF68C4">
              <w:rPr>
                <w:rFonts w:ascii="Times New Roman" w:hAnsi="Times New Roman" w:cs="Times New Roman"/>
                <w:sz w:val="24"/>
                <w:szCs w:val="24"/>
              </w:rPr>
              <w:t>atļaujas izmantot iekšējo modeli, pieeju vai metodi kapitāla prasību aprēķin</w:t>
            </w:r>
            <w:r w:rsidR="00AC7B58">
              <w:rPr>
                <w:rFonts w:ascii="Times New Roman" w:hAnsi="Times New Roman" w:cs="Times New Roman"/>
                <w:sz w:val="24"/>
                <w:szCs w:val="24"/>
              </w:rPr>
              <w:t>ā</w:t>
            </w:r>
            <w:r w:rsidR="00FF68C4">
              <w:rPr>
                <w:rFonts w:ascii="Times New Roman" w:hAnsi="Times New Roman" w:cs="Times New Roman"/>
                <w:sz w:val="24"/>
                <w:szCs w:val="24"/>
              </w:rPr>
              <w:t xml:space="preserve"> saņemšanai</w:t>
            </w:r>
            <w:r w:rsidRPr="00C66F61">
              <w:rPr>
                <w:rFonts w:ascii="Times New Roman" w:hAnsi="Times New Roman" w:cs="Times New Roman"/>
                <w:sz w:val="24"/>
                <w:szCs w:val="24"/>
              </w:rPr>
              <w:t xml:space="preserve">, tādējādi </w:t>
            </w:r>
            <w:r w:rsidRPr="00A83482">
              <w:rPr>
                <w:rFonts w:ascii="Times New Roman" w:hAnsi="Times New Roman" w:cs="Times New Roman"/>
                <w:sz w:val="24"/>
                <w:szCs w:val="24"/>
              </w:rPr>
              <w:t>nodrošinot</w:t>
            </w:r>
            <w:r w:rsidR="00FF68C4" w:rsidRPr="00A83482">
              <w:rPr>
                <w:rFonts w:ascii="Times New Roman" w:hAnsi="Times New Roman" w:cs="Times New Roman"/>
                <w:sz w:val="24"/>
                <w:szCs w:val="24"/>
              </w:rPr>
              <w:t xml:space="preserve"> vienotu finanšu tirgus dalībnieku izpratni un pieeju regulējošo prasību piemērošanai attiecībā uz Regulā Nr. 575/2013 </w:t>
            </w:r>
            <w:r w:rsidR="00FF68C4" w:rsidRPr="00A83482">
              <w:rPr>
                <w:rFonts w:ascii="Times New Roman" w:hAnsi="Times New Roman" w:cs="Times New Roman"/>
                <w:sz w:val="24"/>
                <w:szCs w:val="24"/>
              </w:rPr>
              <w:lastRenderedPageBreak/>
              <w:t>noteiktajām prasībām</w:t>
            </w:r>
            <w:r w:rsidRPr="00A83482">
              <w:rPr>
                <w:rFonts w:ascii="Times New Roman" w:hAnsi="Times New Roman" w:cs="Times New Roman"/>
                <w:sz w:val="24"/>
                <w:szCs w:val="24"/>
              </w:rPr>
              <w:t xml:space="preserve"> </w:t>
            </w:r>
            <w:r w:rsidR="00A83482" w:rsidRPr="00B94A53">
              <w:rPr>
                <w:rFonts w:ascii="Times New Roman" w:hAnsi="Times New Roman" w:cs="Times New Roman"/>
                <w:sz w:val="24"/>
                <w:szCs w:val="24"/>
              </w:rPr>
              <w:t xml:space="preserve">par </w:t>
            </w:r>
            <w:r w:rsidR="00FF68C4" w:rsidRPr="00A83482">
              <w:rPr>
                <w:rFonts w:ascii="Times New Roman" w:hAnsi="Times New Roman" w:cs="Times New Roman"/>
                <w:sz w:val="24"/>
                <w:szCs w:val="24"/>
              </w:rPr>
              <w:t>iekšēj</w:t>
            </w:r>
            <w:r w:rsidR="00A83482" w:rsidRPr="00B94A53">
              <w:rPr>
                <w:rFonts w:ascii="Times New Roman" w:hAnsi="Times New Roman" w:cs="Times New Roman"/>
                <w:sz w:val="24"/>
                <w:szCs w:val="24"/>
              </w:rPr>
              <w:t>ā</w:t>
            </w:r>
            <w:r w:rsidR="00FF68C4" w:rsidRPr="00A83482">
              <w:rPr>
                <w:rFonts w:ascii="Times New Roman" w:hAnsi="Times New Roman" w:cs="Times New Roman"/>
                <w:sz w:val="24"/>
                <w:szCs w:val="24"/>
              </w:rPr>
              <w:t xml:space="preserve"> mode</w:t>
            </w:r>
            <w:r w:rsidR="00A83482" w:rsidRPr="00B94A53">
              <w:rPr>
                <w:rFonts w:ascii="Times New Roman" w:hAnsi="Times New Roman" w:cs="Times New Roman"/>
                <w:sz w:val="24"/>
                <w:szCs w:val="24"/>
              </w:rPr>
              <w:t>ļa</w:t>
            </w:r>
            <w:r w:rsidR="00FF68C4" w:rsidRPr="00A83482">
              <w:rPr>
                <w:rFonts w:ascii="Times New Roman" w:hAnsi="Times New Roman" w:cs="Times New Roman"/>
                <w:sz w:val="24"/>
                <w:szCs w:val="24"/>
              </w:rPr>
              <w:t>, pieeja</w:t>
            </w:r>
            <w:r w:rsidR="00A83482" w:rsidRPr="00B94A53">
              <w:rPr>
                <w:rFonts w:ascii="Times New Roman" w:hAnsi="Times New Roman" w:cs="Times New Roman"/>
                <w:sz w:val="24"/>
                <w:szCs w:val="24"/>
              </w:rPr>
              <w:t>s</w:t>
            </w:r>
            <w:r w:rsidR="00FF68C4" w:rsidRPr="00A83482">
              <w:rPr>
                <w:rFonts w:ascii="Times New Roman" w:hAnsi="Times New Roman" w:cs="Times New Roman"/>
                <w:sz w:val="24"/>
                <w:szCs w:val="24"/>
              </w:rPr>
              <w:t xml:space="preserve"> vai metode</w:t>
            </w:r>
            <w:r w:rsidR="00A83482" w:rsidRPr="00B94A53">
              <w:rPr>
                <w:rFonts w:ascii="Times New Roman" w:hAnsi="Times New Roman" w:cs="Times New Roman"/>
                <w:sz w:val="24"/>
                <w:szCs w:val="24"/>
              </w:rPr>
              <w:t>s izmantošanu</w:t>
            </w:r>
            <w:r w:rsidR="00FF68C4" w:rsidRPr="00A83482">
              <w:rPr>
                <w:rFonts w:ascii="Times New Roman" w:hAnsi="Times New Roman" w:cs="Times New Roman"/>
                <w:sz w:val="24"/>
                <w:szCs w:val="24"/>
              </w:rPr>
              <w:t xml:space="preserve"> kapitāla prasību aprēķin</w:t>
            </w:r>
            <w:r w:rsidR="00AC7B58">
              <w:rPr>
                <w:rFonts w:ascii="Times New Roman" w:hAnsi="Times New Roman" w:cs="Times New Roman"/>
                <w:sz w:val="24"/>
                <w:szCs w:val="24"/>
              </w:rPr>
              <w:t>ā</w:t>
            </w:r>
            <w:r w:rsidRPr="00A83482">
              <w:rPr>
                <w:rFonts w:ascii="Times New Roman" w:hAnsi="Times New Roman" w:cs="Times New Roman"/>
                <w:sz w:val="24"/>
                <w:szCs w:val="24"/>
              </w:rPr>
              <w:t>.</w:t>
            </w:r>
          </w:p>
          <w:p w14:paraId="3E482F8F" w14:textId="4F89440D" w:rsidR="009C6ECD" w:rsidRPr="00005BDC" w:rsidRDefault="001D607C" w:rsidP="00EA1AC6">
            <w:pPr>
              <w:spacing w:after="120" w:line="240" w:lineRule="auto"/>
              <w:jc w:val="both"/>
              <w:rPr>
                <w:rFonts w:ascii="Times New Roman" w:hAnsi="Times New Roman" w:cs="Times New Roman"/>
                <w:sz w:val="24"/>
                <w:szCs w:val="24"/>
              </w:rPr>
            </w:pPr>
            <w:r w:rsidRPr="009B687B">
              <w:rPr>
                <w:rFonts w:ascii="Times New Roman" w:hAnsi="Times New Roman" w:cs="Times New Roman"/>
                <w:sz w:val="24"/>
                <w:szCs w:val="24"/>
              </w:rPr>
              <w:t xml:space="preserve">Nosakot </w:t>
            </w:r>
            <w:r w:rsidRPr="001D3C3F">
              <w:rPr>
                <w:rFonts w:ascii="Times New Roman" w:hAnsi="Times New Roman" w:cs="Times New Roman"/>
                <w:sz w:val="24"/>
                <w:szCs w:val="24"/>
              </w:rPr>
              <w:t>finanšu tirgus dalībniekiem</w:t>
            </w:r>
            <w:r>
              <w:rPr>
                <w:rFonts w:ascii="Times New Roman" w:hAnsi="Times New Roman" w:cs="Times New Roman"/>
                <w:sz w:val="24"/>
                <w:szCs w:val="24"/>
              </w:rPr>
              <w:t xml:space="preserve"> minētās </w:t>
            </w:r>
            <w:r w:rsidRPr="009B687B">
              <w:rPr>
                <w:rFonts w:ascii="Times New Roman" w:hAnsi="Times New Roman" w:cs="Times New Roman"/>
                <w:sz w:val="24"/>
                <w:szCs w:val="24"/>
              </w:rPr>
              <w:t xml:space="preserve">prasības un veicot </w:t>
            </w:r>
            <w:r>
              <w:rPr>
                <w:rFonts w:ascii="Times New Roman" w:hAnsi="Times New Roman" w:cs="Times New Roman"/>
                <w:sz w:val="24"/>
                <w:szCs w:val="24"/>
              </w:rPr>
              <w:t xml:space="preserve">šo </w:t>
            </w:r>
            <w:r w:rsidRPr="009B687B">
              <w:rPr>
                <w:rFonts w:ascii="Times New Roman" w:hAnsi="Times New Roman" w:cs="Times New Roman"/>
                <w:sz w:val="24"/>
                <w:szCs w:val="24"/>
              </w:rPr>
              <w:t>prasību ievērošanas pārbaudes, Latvijas Banka nodrošina tai Latvijas Bankas likumā noteikto pienākumu – veicināt ieguldītāju un noguldītāju interešu aizsardzību un finanšu tirgus ilgtspējīgu attīstību un stabilitāti – izpildi.</w:t>
            </w:r>
          </w:p>
        </w:tc>
      </w:tr>
      <w:tr w:rsidR="000B4E0A" w:rsidRPr="000B4E0A" w14:paraId="7EDE226E" w14:textId="77777777" w:rsidTr="00812985">
        <w:trPr>
          <w:trHeight w:val="567"/>
        </w:trPr>
        <w:tc>
          <w:tcPr>
            <w:tcW w:w="1210" w:type="pct"/>
            <w:shd w:val="clear" w:color="auto" w:fill="auto"/>
            <w:hideMark/>
          </w:tcPr>
          <w:p w14:paraId="5154B45D"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39982622"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90" w:type="pct"/>
            <w:shd w:val="clear" w:color="auto" w:fill="auto"/>
          </w:tcPr>
          <w:p w14:paraId="486E0683" w14:textId="151B46CD" w:rsidR="00152AF2" w:rsidRDefault="00152AF2" w:rsidP="00EA1AC6">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 </w:t>
            </w:r>
            <w:r w:rsidR="007678C9">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oteikumu projektā paredzētajām </w:t>
            </w:r>
            <w:r w:rsidR="00EF6F5C">
              <w:rPr>
                <w:rFonts w:ascii="Times New Roman" w:eastAsia="Times New Roman" w:hAnsi="Times New Roman" w:cs="Times New Roman"/>
                <w:sz w:val="24"/>
                <w:szCs w:val="24"/>
              </w:rPr>
              <w:t>harmonizēt</w:t>
            </w:r>
            <w:r w:rsidR="002C17FB">
              <w:rPr>
                <w:rFonts w:ascii="Times New Roman" w:eastAsia="Times New Roman" w:hAnsi="Times New Roman" w:cs="Times New Roman"/>
                <w:sz w:val="24"/>
                <w:szCs w:val="24"/>
              </w:rPr>
              <w:t>aj</w:t>
            </w:r>
            <w:r w:rsidR="00EF6F5C">
              <w:rPr>
                <w:rFonts w:ascii="Times New Roman" w:eastAsia="Times New Roman" w:hAnsi="Times New Roman" w:cs="Times New Roman"/>
                <w:sz w:val="24"/>
                <w:szCs w:val="24"/>
              </w:rPr>
              <w:t xml:space="preserve">ām prasībām atļaujas izmantot iekšējo modeli, pieeju vai metodi saņemšanai </w:t>
            </w:r>
            <w:r w:rsidRPr="00B842B5">
              <w:rPr>
                <w:rFonts w:ascii="Times New Roman" w:eastAsia="Times New Roman" w:hAnsi="Times New Roman" w:cs="Times New Roman"/>
                <w:sz w:val="24"/>
                <w:szCs w:val="24"/>
              </w:rPr>
              <w:t>tiek nodrošināta vienota finanšu tirgus dalībnieku izpratne un pieeja regulējošo prasību interpretācijai un piemērošanai.</w:t>
            </w:r>
          </w:p>
          <w:p w14:paraId="7E75E448" w14:textId="3A9EFB00" w:rsidR="00EF6F5C" w:rsidRPr="00774CC3" w:rsidRDefault="00EF6F5C" w:rsidP="00EA1AC6">
            <w:pPr>
              <w:spacing w:after="120" w:line="240" w:lineRule="auto"/>
              <w:jc w:val="both"/>
              <w:rPr>
                <w:rFonts w:ascii="Times New Roman" w:eastAsia="Times New Roman" w:hAnsi="Times New Roman" w:cs="Times New Roman"/>
                <w:sz w:val="24"/>
                <w:szCs w:val="24"/>
                <w:lang w:eastAsia="lv-LV"/>
              </w:rPr>
            </w:pPr>
            <w:r w:rsidRPr="00774CC3">
              <w:rPr>
                <w:rFonts w:ascii="Times New Roman" w:eastAsia="Times New Roman" w:hAnsi="Times New Roman" w:cs="Times New Roman"/>
                <w:sz w:val="24"/>
                <w:szCs w:val="24"/>
                <w:lang w:eastAsia="lv-LV"/>
              </w:rPr>
              <w:t xml:space="preserve">Tas, ka </w:t>
            </w:r>
            <w:r>
              <w:rPr>
                <w:rFonts w:ascii="Times New Roman" w:eastAsia="Times New Roman" w:hAnsi="Times New Roman" w:cs="Times New Roman"/>
                <w:sz w:val="24"/>
                <w:szCs w:val="24"/>
                <w:lang w:eastAsia="lv-LV"/>
              </w:rPr>
              <w:t xml:space="preserve">finanšu </w:t>
            </w:r>
            <w:r w:rsidRPr="00774CC3">
              <w:rPr>
                <w:rFonts w:ascii="Times New Roman" w:eastAsia="Times New Roman" w:hAnsi="Times New Roman" w:cs="Times New Roman"/>
                <w:sz w:val="24"/>
                <w:szCs w:val="24"/>
                <w:lang w:eastAsia="lv-LV"/>
              </w:rPr>
              <w:t>tirgus dalībnieki neveic pašu kapitāla prasības aprēķinu atbilstoši normatīvo aktu prasībām, var ietekmēt to kapitāla pietiekamības rādītāju aprēķina pareizību. Lai nodrošinātu ieguldītāju un noguldītāju interešu aizsardzību un finanšu tirgus stabilitāti, ir būtiski pēc iespējas mazināt un novērst minēto risku.</w:t>
            </w:r>
          </w:p>
          <w:p w14:paraId="47C61E39" w14:textId="48018A2A" w:rsidR="00556358" w:rsidRDefault="007A6661" w:rsidP="00EA1AC6">
            <w:pPr>
              <w:spacing w:after="120" w:line="240" w:lineRule="auto"/>
              <w:jc w:val="both"/>
              <w:rPr>
                <w:rFonts w:ascii="Times New Roman" w:eastAsia="Times New Roman" w:hAnsi="Times New Roman" w:cs="Times New Roman"/>
                <w:sz w:val="24"/>
                <w:szCs w:val="24"/>
                <w:lang w:eastAsia="lv-LV"/>
              </w:rPr>
            </w:pPr>
            <w:r w:rsidRPr="00147EEA">
              <w:rPr>
                <w:rFonts w:ascii="Times New Roman" w:eastAsia="Times New Roman" w:hAnsi="Times New Roman" w:cs="Times New Roman"/>
                <w:sz w:val="24"/>
                <w:szCs w:val="24"/>
              </w:rPr>
              <w:t>At</w:t>
            </w:r>
            <w:r w:rsidRPr="00B842B5">
              <w:rPr>
                <w:rFonts w:ascii="Times New Roman" w:eastAsia="Times New Roman" w:hAnsi="Times New Roman" w:cs="Times New Roman"/>
                <w:sz w:val="24"/>
                <w:szCs w:val="24"/>
              </w:rPr>
              <w:t xml:space="preserve">bilstošākais veids, kā noteikt </w:t>
            </w:r>
            <w:r>
              <w:rPr>
                <w:rFonts w:ascii="Times New Roman" w:eastAsia="Times New Roman" w:hAnsi="Times New Roman" w:cs="Times New Roman"/>
                <w:sz w:val="24"/>
                <w:szCs w:val="24"/>
              </w:rPr>
              <w:t>vienotas prasības,</w:t>
            </w:r>
            <w:r w:rsidRPr="00B842B5">
              <w:rPr>
                <w:rFonts w:ascii="Times New Roman" w:eastAsia="Times New Roman" w:hAnsi="Times New Roman" w:cs="Times New Roman"/>
                <w:sz w:val="24"/>
                <w:szCs w:val="24"/>
              </w:rPr>
              <w:t xml:space="preserve"> ir izdot finanšu tirgus dalībniekiem</w:t>
            </w:r>
            <w:r w:rsidR="000B54A4">
              <w:rPr>
                <w:rFonts w:ascii="Times New Roman" w:eastAsia="Times New Roman" w:hAnsi="Times New Roman" w:cs="Times New Roman"/>
                <w:sz w:val="24"/>
                <w:szCs w:val="24"/>
              </w:rPr>
              <w:t xml:space="preserve"> </w:t>
            </w:r>
            <w:r w:rsidRPr="00B842B5">
              <w:rPr>
                <w:rFonts w:ascii="Times New Roman" w:eastAsia="Times New Roman" w:hAnsi="Times New Roman" w:cs="Times New Roman"/>
                <w:sz w:val="24"/>
                <w:szCs w:val="24"/>
              </w:rPr>
              <w:t xml:space="preserve">saistošus noteikumus. </w:t>
            </w:r>
            <w:r w:rsidR="009C52B4" w:rsidRPr="00147EEA">
              <w:rPr>
                <w:rFonts w:ascii="Times New Roman" w:eastAsia="Times New Roman" w:hAnsi="Times New Roman" w:cs="Times New Roman"/>
                <w:sz w:val="24"/>
                <w:szCs w:val="24"/>
              </w:rPr>
              <w:t>Citas alternatīvas jautājuma noregulēšanai un vienotu prasību noteikšanai nebūtu efektīvas un nesasniegtu izvirzīto mērķi, jo nenodrošinātu vienveidīgu, vienotu un precīzu regulējošo prasību piemērošanu, kas savukārt atstātu negatīvu ietekmi uz finanšu tirgus stabilitāti un finanšu tirgus dalībnieku darbības kvalitāti.</w:t>
            </w:r>
          </w:p>
          <w:p w14:paraId="62B46D32" w14:textId="4DF09AE2" w:rsidR="00F33A1D" w:rsidRDefault="00F33A1D" w:rsidP="00EA1AC6">
            <w:pPr>
              <w:spacing w:after="120" w:line="240" w:lineRule="auto"/>
              <w:jc w:val="both"/>
              <w:rPr>
                <w:rFonts w:ascii="Times New Roman" w:eastAsia="Times New Roman" w:hAnsi="Times New Roman" w:cs="Times New Roman"/>
                <w:sz w:val="24"/>
                <w:szCs w:val="24"/>
              </w:rPr>
            </w:pPr>
            <w:r w:rsidRPr="00396DD5">
              <w:rPr>
                <w:rFonts w:ascii="Times New Roman" w:eastAsia="Times New Roman" w:hAnsi="Times New Roman" w:cs="Times New Roman"/>
                <w:sz w:val="24"/>
                <w:szCs w:val="24"/>
              </w:rPr>
              <w:t>Izraugoties piemērotāko līdzekli leģitīmā mērķa sasniegšanai, Latvijas Banka izvērtēja, ka nebūtu atbilstoši izdot, piemēram, zemāka ranga normatīvos aktus, kuri nebūtu finanšu tirgus dalībniekam juridiski saistoši (ieteikumi), īpaši ņemot vērā tirgus izkropļojuma un regulējuma arbitrāžas risku.</w:t>
            </w:r>
          </w:p>
          <w:p w14:paraId="5127D962" w14:textId="7E1E4C6A" w:rsidR="008A2EC8" w:rsidRDefault="003B2F03" w:rsidP="00EA1AC6">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w:t>
            </w:r>
            <w:r w:rsidR="008A2EC8" w:rsidRPr="00396DD5">
              <w:rPr>
                <w:rFonts w:ascii="Times New Roman" w:eastAsia="Times New Roman" w:hAnsi="Times New Roman" w:cs="Times New Roman"/>
                <w:sz w:val="24"/>
                <w:szCs w:val="24"/>
              </w:rPr>
              <w:t xml:space="preserve"> </w:t>
            </w:r>
            <w:r w:rsidR="008A2EC8">
              <w:rPr>
                <w:rFonts w:ascii="Times New Roman" w:eastAsia="Times New Roman" w:hAnsi="Times New Roman" w:cs="Times New Roman"/>
                <w:sz w:val="24"/>
                <w:szCs w:val="24"/>
              </w:rPr>
              <w:t>N</w:t>
            </w:r>
            <w:r w:rsidR="008A2EC8" w:rsidRPr="00396DD5">
              <w:rPr>
                <w:rFonts w:ascii="Times New Roman" w:eastAsia="Times New Roman" w:hAnsi="Times New Roman" w:cs="Times New Roman"/>
                <w:sz w:val="24"/>
                <w:szCs w:val="24"/>
              </w:rPr>
              <w:t xml:space="preserve">oteikumu projektu </w:t>
            </w:r>
            <w:r>
              <w:rPr>
                <w:rFonts w:ascii="Times New Roman" w:eastAsia="Times New Roman" w:hAnsi="Times New Roman" w:cs="Times New Roman"/>
                <w:sz w:val="24"/>
                <w:szCs w:val="24"/>
              </w:rPr>
              <w:t xml:space="preserve">vienlaikus </w:t>
            </w:r>
            <w:r w:rsidR="008A2EC8" w:rsidRPr="00396DD5">
              <w:rPr>
                <w:rFonts w:ascii="Times New Roman" w:eastAsia="Times New Roman" w:hAnsi="Times New Roman" w:cs="Times New Roman"/>
                <w:sz w:val="24"/>
                <w:szCs w:val="24"/>
              </w:rPr>
              <w:t xml:space="preserve">tiek noteiktas prasības, kuras Latvijas Banka uzraudzības ietvaros var kontrolēt un nepieciešamības gadījumā par konkrētu prasību pārkāpumu piemērot </w:t>
            </w:r>
            <w:r w:rsidR="008A2EC8" w:rsidRPr="001D3C3F">
              <w:rPr>
                <w:rFonts w:ascii="Times New Roman" w:eastAsia="Times New Roman" w:hAnsi="Times New Roman" w:cs="Times New Roman"/>
                <w:sz w:val="24"/>
                <w:szCs w:val="24"/>
              </w:rPr>
              <w:t>finanšu tirgus dalībniekam</w:t>
            </w:r>
            <w:r w:rsidR="008A2EC8" w:rsidRPr="00396DD5">
              <w:rPr>
                <w:rFonts w:ascii="Times New Roman" w:eastAsia="Times New Roman" w:hAnsi="Times New Roman" w:cs="Times New Roman"/>
                <w:sz w:val="24"/>
                <w:szCs w:val="24"/>
              </w:rPr>
              <w:t xml:space="preserve"> korektīvos pasākumus vai sankcijas.</w:t>
            </w:r>
          </w:p>
          <w:p w14:paraId="4F28E93A" w14:textId="6E2EA268" w:rsidR="00E53DE9" w:rsidRDefault="008A2EC8" w:rsidP="00EA1AC6">
            <w:pPr>
              <w:spacing w:after="120" w:line="240" w:lineRule="auto"/>
              <w:jc w:val="both"/>
              <w:rPr>
                <w:rFonts w:ascii="Times New Roman" w:eastAsia="Times New Roman" w:hAnsi="Times New Roman" w:cs="Times New Roman"/>
                <w:sz w:val="24"/>
                <w:szCs w:val="24"/>
              </w:rPr>
            </w:pPr>
            <w:r w:rsidRPr="00396DD5">
              <w:rPr>
                <w:rFonts w:ascii="Times New Roman" w:eastAsia="Times New Roman" w:hAnsi="Times New Roman" w:cs="Times New Roman"/>
                <w:sz w:val="24"/>
                <w:szCs w:val="24"/>
              </w:rPr>
              <w:t xml:space="preserve">Samērojot papildu slogu un resursus, kas tirgus dalībniekiem būs jāiegulda Latvijas Bankas noteikto prasību ievērošanā, ar sabiedrības ieguvumu, jāsecina, ka sabiedrības interesēm piešķirama prioritāte un tās ieguvums būs lielāks par papildu resursu ieguldījumu, kas konkrētajam tirgus dalībniekam varētu rasties ar uzliktajiem pienākumiem, un to atsver sagaidāmie ilgtermiņa ieguvumi </w:t>
            </w:r>
            <w:r>
              <w:rPr>
                <w:rFonts w:ascii="Times New Roman" w:eastAsia="Times New Roman" w:hAnsi="Times New Roman" w:cs="Times New Roman"/>
                <w:sz w:val="24"/>
                <w:szCs w:val="24"/>
              </w:rPr>
              <w:t xml:space="preserve">kredītiestāžu </w:t>
            </w:r>
            <w:r w:rsidR="008C720F">
              <w:rPr>
                <w:rFonts w:ascii="Times New Roman" w:eastAsia="Times New Roman" w:hAnsi="Times New Roman" w:cs="Times New Roman"/>
                <w:sz w:val="24"/>
                <w:szCs w:val="24"/>
              </w:rPr>
              <w:t xml:space="preserve">harmonizētākā likviditātes riska pārvaldīšanā, </w:t>
            </w:r>
            <w:r>
              <w:rPr>
                <w:rFonts w:ascii="Times New Roman" w:eastAsia="Times New Roman" w:hAnsi="Times New Roman" w:cs="Times New Roman"/>
                <w:sz w:val="24"/>
                <w:szCs w:val="24"/>
              </w:rPr>
              <w:t xml:space="preserve">augstāka likviditātes </w:t>
            </w:r>
            <w:r w:rsidR="008C720F">
              <w:rPr>
                <w:rFonts w:ascii="Times New Roman" w:eastAsia="Times New Roman" w:hAnsi="Times New Roman" w:cs="Times New Roman"/>
                <w:sz w:val="24"/>
                <w:szCs w:val="24"/>
              </w:rPr>
              <w:t>rezerves apmēra</w:t>
            </w:r>
            <w:r>
              <w:rPr>
                <w:rFonts w:ascii="Times New Roman" w:eastAsia="Times New Roman" w:hAnsi="Times New Roman" w:cs="Times New Roman"/>
                <w:sz w:val="24"/>
                <w:szCs w:val="24"/>
              </w:rPr>
              <w:t xml:space="preserve"> uzturēšanas un tādējādi </w:t>
            </w:r>
            <w:r w:rsidRPr="00396DD5">
              <w:rPr>
                <w:rFonts w:ascii="Times New Roman" w:eastAsia="Times New Roman" w:hAnsi="Times New Roman" w:cs="Times New Roman"/>
                <w:sz w:val="24"/>
                <w:szCs w:val="24"/>
              </w:rPr>
              <w:t>stabilāka finanšu sektora veidā, kas savukārt stiprinās ieguldītāju tiesisko interešu aizsardzību.</w:t>
            </w:r>
          </w:p>
          <w:p w14:paraId="1CFBB1BB" w14:textId="22729F9A" w:rsidR="00025C77" w:rsidRPr="00AB107B" w:rsidRDefault="00A83482" w:rsidP="00EA1AC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Līdz ar to </w:t>
            </w:r>
            <w:r w:rsidR="00025C77">
              <w:rPr>
                <w:rFonts w:ascii="Times New Roman" w:eastAsia="Times New Roman" w:hAnsi="Times New Roman" w:cs="Times New Roman"/>
                <w:sz w:val="24"/>
                <w:szCs w:val="24"/>
                <w:lang w:eastAsia="lv-LV"/>
              </w:rPr>
              <w:t>secināms, ka Noteikumu projektā paredzētās prasības atbilst samērīguma principam, jo</w:t>
            </w:r>
            <w:r>
              <w:rPr>
                <w:rFonts w:ascii="Times New Roman" w:eastAsia="Times New Roman" w:hAnsi="Times New Roman" w:cs="Times New Roman"/>
                <w:sz w:val="24"/>
                <w:szCs w:val="24"/>
                <w:lang w:eastAsia="lv-LV"/>
              </w:rPr>
              <w:t>,</w:t>
            </w:r>
            <w:r w:rsidR="00025C77">
              <w:rPr>
                <w:rFonts w:ascii="Times New Roman" w:eastAsia="Times New Roman" w:hAnsi="Times New Roman" w:cs="Times New Roman"/>
                <w:sz w:val="24"/>
                <w:szCs w:val="24"/>
                <w:lang w:eastAsia="lv-LV"/>
              </w:rPr>
              <w:t xml:space="preserve"> </w:t>
            </w:r>
            <w:r w:rsidR="00025C77" w:rsidRPr="00025C77">
              <w:rPr>
                <w:rFonts w:ascii="Times New Roman" w:eastAsia="Times New Roman" w:hAnsi="Times New Roman" w:cs="Times New Roman"/>
                <w:sz w:val="24"/>
                <w:szCs w:val="24"/>
                <w:lang w:eastAsia="lv-LV"/>
              </w:rPr>
              <w:t xml:space="preserve">pirmkārt, ar </w:t>
            </w:r>
            <w:r w:rsidR="00025C77">
              <w:rPr>
                <w:rFonts w:ascii="Times New Roman" w:eastAsia="Times New Roman" w:hAnsi="Times New Roman" w:cs="Times New Roman"/>
                <w:sz w:val="24"/>
                <w:szCs w:val="24"/>
                <w:lang w:eastAsia="lv-LV"/>
              </w:rPr>
              <w:t xml:space="preserve">Noteikumu </w:t>
            </w:r>
            <w:r w:rsidR="00025C77" w:rsidRPr="00025C77">
              <w:rPr>
                <w:rFonts w:ascii="Times New Roman" w:eastAsia="Times New Roman" w:hAnsi="Times New Roman" w:cs="Times New Roman"/>
                <w:sz w:val="24"/>
                <w:szCs w:val="24"/>
                <w:lang w:eastAsia="lv-LV"/>
              </w:rPr>
              <w:t>projektu un tajā ietvertajām prasībām tiek sasniegts leģitīmais mērķis (citu personu tiesību un sabiedrības labklājības aizsardzība)</w:t>
            </w:r>
            <w:r w:rsidR="00025C77">
              <w:rPr>
                <w:rFonts w:ascii="Times New Roman" w:eastAsia="Times New Roman" w:hAnsi="Times New Roman" w:cs="Times New Roman"/>
                <w:sz w:val="24"/>
                <w:szCs w:val="24"/>
                <w:lang w:eastAsia="lv-LV"/>
              </w:rPr>
              <w:t>. O</w:t>
            </w:r>
            <w:r w:rsidR="00025C77" w:rsidRPr="00025C77">
              <w:rPr>
                <w:rFonts w:ascii="Times New Roman" w:eastAsia="Times New Roman" w:hAnsi="Times New Roman" w:cs="Times New Roman"/>
                <w:sz w:val="24"/>
                <w:szCs w:val="24"/>
                <w:lang w:eastAsia="lv-LV"/>
              </w:rPr>
              <w:t>trkārt, nepastāv tādi alternatīvi līdzekļi, kas sasniegtu leģitīmo mērķi tādā pašā kvalitātē</w:t>
            </w:r>
            <w:r w:rsidR="00025C77">
              <w:rPr>
                <w:rFonts w:ascii="Times New Roman" w:eastAsia="Times New Roman" w:hAnsi="Times New Roman" w:cs="Times New Roman"/>
                <w:sz w:val="24"/>
                <w:szCs w:val="24"/>
                <w:lang w:eastAsia="lv-LV"/>
              </w:rPr>
              <w:t xml:space="preserve">. </w:t>
            </w:r>
            <w:r w:rsidR="00025C77">
              <w:rPr>
                <w:rFonts w:ascii="Times New Roman" w:eastAsia="Times New Roman" w:hAnsi="Times New Roman" w:cs="Times New Roman"/>
                <w:sz w:val="24"/>
                <w:szCs w:val="24"/>
                <w:lang w:eastAsia="lv-LV"/>
              </w:rPr>
              <w:lastRenderedPageBreak/>
              <w:t>T</w:t>
            </w:r>
            <w:r w:rsidR="00025C77" w:rsidRPr="00025C77">
              <w:rPr>
                <w:rFonts w:ascii="Times New Roman" w:eastAsia="Times New Roman" w:hAnsi="Times New Roman" w:cs="Times New Roman"/>
                <w:sz w:val="24"/>
                <w:szCs w:val="24"/>
                <w:lang w:eastAsia="lv-LV"/>
              </w:rPr>
              <w:t>reškārt</w:t>
            </w:r>
            <w:r>
              <w:rPr>
                <w:rFonts w:ascii="Times New Roman" w:eastAsia="Times New Roman" w:hAnsi="Times New Roman" w:cs="Times New Roman"/>
                <w:sz w:val="24"/>
                <w:szCs w:val="24"/>
                <w:lang w:eastAsia="lv-LV"/>
              </w:rPr>
              <w:t>,</w:t>
            </w:r>
            <w:r w:rsidR="00025C77" w:rsidRPr="00025C77">
              <w:rPr>
                <w:rFonts w:ascii="Times New Roman" w:eastAsia="Times New Roman" w:hAnsi="Times New Roman" w:cs="Times New Roman"/>
                <w:sz w:val="24"/>
                <w:szCs w:val="24"/>
                <w:lang w:eastAsia="lv-LV"/>
              </w:rPr>
              <w:t xml:space="preserve"> labums, ko iegūs sabiedrība, būs lielāks par </w:t>
            </w:r>
            <w:r w:rsidR="00025C77">
              <w:rPr>
                <w:rFonts w:ascii="Times New Roman" w:eastAsia="Times New Roman" w:hAnsi="Times New Roman" w:cs="Times New Roman"/>
                <w:sz w:val="24"/>
                <w:szCs w:val="24"/>
                <w:lang w:eastAsia="lv-LV"/>
              </w:rPr>
              <w:t xml:space="preserve">Noteikumu </w:t>
            </w:r>
            <w:r w:rsidR="00025C77" w:rsidRPr="00025C77">
              <w:rPr>
                <w:rFonts w:ascii="Times New Roman" w:eastAsia="Times New Roman" w:hAnsi="Times New Roman" w:cs="Times New Roman"/>
                <w:sz w:val="24"/>
                <w:szCs w:val="24"/>
                <w:lang w:eastAsia="lv-LV"/>
              </w:rPr>
              <w:t>projektā ietverto prasību radītajām negatīvajām sekām.</w:t>
            </w:r>
          </w:p>
        </w:tc>
      </w:tr>
      <w:tr w:rsidR="000B4E0A" w:rsidRPr="000B4E0A" w14:paraId="10C66D6E" w14:textId="77777777" w:rsidTr="00812985">
        <w:trPr>
          <w:trHeight w:val="567"/>
        </w:trPr>
        <w:tc>
          <w:tcPr>
            <w:tcW w:w="1210" w:type="pct"/>
            <w:shd w:val="clear" w:color="auto" w:fill="auto"/>
            <w:hideMark/>
          </w:tcPr>
          <w:p w14:paraId="4D18CD6C" w14:textId="3747FE22" w:rsidR="00CA28AB" w:rsidRPr="00E253DA" w:rsidRDefault="00A42788" w:rsidP="00E163D6">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tc>
        <w:tc>
          <w:tcPr>
            <w:tcW w:w="3790" w:type="pct"/>
            <w:shd w:val="clear" w:color="auto" w:fill="auto"/>
          </w:tcPr>
          <w:p w14:paraId="4B8D8F7C" w14:textId="21F4A981" w:rsidR="00CA28AB" w:rsidRPr="00AB107B" w:rsidRDefault="00627EEA" w:rsidP="00EA1AC6">
            <w:pPr>
              <w:spacing w:after="12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2025. gada 1. janvārī</w:t>
            </w:r>
            <w:r w:rsidR="003B2F03">
              <w:rPr>
                <w:rFonts w:ascii="Times New Roman" w:hAnsi="Times New Roman" w:cs="Times New Roman"/>
                <w:sz w:val="24"/>
                <w:szCs w:val="24"/>
              </w:rPr>
              <w:t>.</w:t>
            </w:r>
          </w:p>
        </w:tc>
      </w:tr>
      <w:tr w:rsidR="000B4E0A" w:rsidRPr="000B4E0A" w14:paraId="164E1CDA" w14:textId="77777777" w:rsidTr="00812985">
        <w:trPr>
          <w:trHeight w:val="567"/>
        </w:trPr>
        <w:tc>
          <w:tcPr>
            <w:tcW w:w="1210" w:type="pct"/>
            <w:shd w:val="clear" w:color="auto" w:fill="auto"/>
            <w:hideMark/>
          </w:tcPr>
          <w:p w14:paraId="4594B244" w14:textId="18ECA73C" w:rsidR="00CA28AB" w:rsidRPr="00E253DA" w:rsidRDefault="00A42788" w:rsidP="00E163D6">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tc>
        <w:tc>
          <w:tcPr>
            <w:tcW w:w="3790" w:type="pct"/>
            <w:shd w:val="clear" w:color="auto" w:fill="auto"/>
          </w:tcPr>
          <w:p w14:paraId="7487BC42" w14:textId="4E514C37" w:rsidR="00E53DE9" w:rsidRPr="00AB107B" w:rsidRDefault="00CF1C02" w:rsidP="00EA1AC6">
            <w:pPr>
              <w:spacing w:after="12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Noteikumu projekts</w:t>
            </w:r>
            <w:r w:rsidR="00F20736" w:rsidRPr="00962FA0">
              <w:rPr>
                <w:rFonts w:ascii="Times New Roman" w:hAnsi="Times New Roman" w:cs="Times New Roman"/>
                <w:sz w:val="24"/>
                <w:szCs w:val="24"/>
              </w:rPr>
              <w:t xml:space="preserve"> nerada ietekmi uz Latvijas Bankas budžetu.</w:t>
            </w:r>
          </w:p>
        </w:tc>
      </w:tr>
      <w:tr w:rsidR="000B4E0A" w:rsidRPr="000B4E0A" w14:paraId="0D7F6942" w14:textId="77777777" w:rsidTr="00812985">
        <w:trPr>
          <w:trHeight w:val="567"/>
        </w:trPr>
        <w:tc>
          <w:tcPr>
            <w:tcW w:w="1210" w:type="pct"/>
            <w:shd w:val="clear" w:color="auto" w:fill="auto"/>
            <w:hideMark/>
          </w:tcPr>
          <w:p w14:paraId="4DB587D3" w14:textId="77777777" w:rsidR="00A42788" w:rsidRPr="00A26017" w:rsidRDefault="00A42788" w:rsidP="000B4E0A">
            <w:pPr>
              <w:spacing w:after="0" w:line="240" w:lineRule="auto"/>
              <w:rPr>
                <w:rFonts w:ascii="Times New Roman" w:eastAsia="Times New Roman" w:hAnsi="Times New Roman" w:cs="Times New Roman"/>
                <w:b/>
                <w:bCs/>
                <w:sz w:val="24"/>
                <w:szCs w:val="24"/>
                <w:lang w:eastAsia="lv-LV"/>
              </w:rPr>
            </w:pPr>
            <w:r w:rsidRPr="00A26017">
              <w:rPr>
                <w:rFonts w:ascii="Times New Roman" w:eastAsia="Times New Roman" w:hAnsi="Times New Roman" w:cs="Times New Roman"/>
                <w:b/>
                <w:bCs/>
                <w:sz w:val="24"/>
                <w:szCs w:val="24"/>
                <w:lang w:eastAsia="lv-LV"/>
              </w:rPr>
              <w:t xml:space="preserve">Administratīvā sloga un izmaksu novērtējums </w:t>
            </w:r>
            <w:r w:rsidR="00C85C34" w:rsidRPr="00A26017">
              <w:rPr>
                <w:rFonts w:ascii="Times New Roman" w:eastAsia="Times New Roman" w:hAnsi="Times New Roman" w:cs="Times New Roman"/>
                <w:b/>
                <w:bCs/>
                <w:sz w:val="24"/>
                <w:szCs w:val="24"/>
                <w:lang w:eastAsia="lv-LV"/>
              </w:rPr>
              <w:t>(</w:t>
            </w:r>
            <w:r w:rsidRPr="00A26017">
              <w:rPr>
                <w:rFonts w:ascii="Times New Roman" w:eastAsia="Times New Roman" w:hAnsi="Times New Roman" w:cs="Times New Roman"/>
                <w:b/>
                <w:bCs/>
                <w:sz w:val="24"/>
                <w:szCs w:val="24"/>
                <w:lang w:eastAsia="lv-LV"/>
              </w:rPr>
              <w:t>tirgus dalībniekiem</w:t>
            </w:r>
            <w:r w:rsidR="00C85C34" w:rsidRPr="00A26017">
              <w:rPr>
                <w:rFonts w:ascii="Times New Roman" w:eastAsia="Times New Roman" w:hAnsi="Times New Roman" w:cs="Times New Roman"/>
                <w:b/>
                <w:bCs/>
                <w:sz w:val="24"/>
                <w:szCs w:val="24"/>
                <w:lang w:eastAsia="lv-LV"/>
              </w:rPr>
              <w:t>)</w:t>
            </w:r>
          </w:p>
          <w:p w14:paraId="48287F12" w14:textId="77777777" w:rsidR="00CA28AB" w:rsidRPr="00A26017" w:rsidRDefault="00CA28AB" w:rsidP="000B4E0A">
            <w:pPr>
              <w:spacing w:after="0" w:line="240" w:lineRule="auto"/>
              <w:rPr>
                <w:rFonts w:ascii="Times New Roman" w:eastAsia="Times New Roman" w:hAnsi="Times New Roman" w:cs="Times New Roman"/>
                <w:b/>
                <w:bCs/>
                <w:sz w:val="24"/>
                <w:szCs w:val="24"/>
                <w:lang w:eastAsia="lv-LV"/>
              </w:rPr>
            </w:pPr>
          </w:p>
        </w:tc>
        <w:tc>
          <w:tcPr>
            <w:tcW w:w="3790" w:type="pct"/>
            <w:shd w:val="clear" w:color="auto" w:fill="auto"/>
          </w:tcPr>
          <w:p w14:paraId="4EB7809C" w14:textId="2261A612" w:rsidR="00EF6F5C" w:rsidRDefault="00EF6F5C" w:rsidP="00EA1AC6">
            <w:pPr>
              <w:spacing w:after="120" w:line="240" w:lineRule="auto"/>
              <w:jc w:val="both"/>
              <w:rPr>
                <w:rFonts w:ascii="Times New Roman" w:hAnsi="Times New Roman" w:cs="Times New Roman"/>
                <w:sz w:val="24"/>
                <w:szCs w:val="24"/>
                <w:lang w:eastAsia="lv-LV"/>
              </w:rPr>
            </w:pPr>
            <w:r w:rsidRPr="00774CC3">
              <w:rPr>
                <w:rFonts w:ascii="Times New Roman" w:hAnsi="Times New Roman" w:cs="Times New Roman"/>
                <w:sz w:val="24"/>
                <w:szCs w:val="24"/>
                <w:lang w:eastAsia="lv-LV"/>
              </w:rPr>
              <w:t xml:space="preserve">Ar Noteikumu projektu netiek ieviestas jaunas prasības attiecībā uz </w:t>
            </w:r>
            <w:r>
              <w:rPr>
                <w:rFonts w:ascii="Times New Roman" w:hAnsi="Times New Roman" w:cs="Times New Roman"/>
                <w:sz w:val="24"/>
                <w:szCs w:val="24"/>
                <w:lang w:eastAsia="lv-LV"/>
              </w:rPr>
              <w:t>atļaujas izmantot iekšējo modeli, pieeju vai metodi</w:t>
            </w:r>
            <w:r w:rsidRPr="00774CC3">
              <w:rPr>
                <w:rFonts w:ascii="Times New Roman" w:hAnsi="Times New Roman" w:cs="Times New Roman"/>
                <w:sz w:val="24"/>
                <w:szCs w:val="24"/>
                <w:lang w:eastAsia="lv-LV"/>
              </w:rPr>
              <w:t xml:space="preserve"> pašu kapitāla prasības aprēķin</w:t>
            </w:r>
            <w:r w:rsidR="00AC7B58">
              <w:rPr>
                <w:rFonts w:ascii="Times New Roman" w:hAnsi="Times New Roman" w:cs="Times New Roman"/>
                <w:sz w:val="24"/>
                <w:szCs w:val="24"/>
                <w:lang w:eastAsia="lv-LV"/>
              </w:rPr>
              <w:t>ā</w:t>
            </w:r>
            <w:r w:rsidR="00A83482">
              <w:rPr>
                <w:rFonts w:ascii="Times New Roman" w:hAnsi="Times New Roman" w:cs="Times New Roman"/>
                <w:sz w:val="24"/>
                <w:szCs w:val="24"/>
                <w:lang w:eastAsia="lv-LV"/>
              </w:rPr>
              <w:t xml:space="preserve"> saņemšanu</w:t>
            </w:r>
            <w:r w:rsidRPr="00774CC3">
              <w:rPr>
                <w:rFonts w:ascii="Times New Roman" w:hAnsi="Times New Roman" w:cs="Times New Roman"/>
                <w:sz w:val="24"/>
                <w:szCs w:val="24"/>
                <w:lang w:eastAsia="lv-LV"/>
              </w:rPr>
              <w:t xml:space="preserve">, proti, tiek saglabātas pašlaik spēkā jau esošās prasības </w:t>
            </w:r>
            <w:r>
              <w:rPr>
                <w:rFonts w:ascii="Times New Roman" w:hAnsi="Times New Roman" w:cs="Times New Roman"/>
                <w:sz w:val="24"/>
                <w:szCs w:val="24"/>
                <w:lang w:eastAsia="lv-LV"/>
              </w:rPr>
              <w:t>atļaujas saņemšanai</w:t>
            </w:r>
            <w:r w:rsidRPr="00774CC3">
              <w:rPr>
                <w:rFonts w:ascii="Times New Roman" w:hAnsi="Times New Roman" w:cs="Times New Roman"/>
                <w:sz w:val="24"/>
                <w:szCs w:val="24"/>
                <w:lang w:eastAsia="lv-LV"/>
              </w:rPr>
              <w:t>.</w:t>
            </w:r>
          </w:p>
          <w:p w14:paraId="549FB213" w14:textId="2C9B5C5D" w:rsidR="00A42788" w:rsidRPr="00F20736" w:rsidRDefault="00AE4DA0" w:rsidP="00EA1AC6">
            <w:pPr>
              <w:spacing w:after="120" w:line="240" w:lineRule="auto"/>
              <w:jc w:val="both"/>
              <w:rPr>
                <w:rFonts w:ascii="Times New Roman" w:eastAsia="Times New Roman" w:hAnsi="Times New Roman" w:cs="Times New Roman"/>
                <w:sz w:val="24"/>
                <w:szCs w:val="24"/>
                <w:highlight w:val="yellow"/>
                <w:lang w:eastAsia="lv-LV"/>
              </w:rPr>
            </w:pPr>
            <w:r>
              <w:rPr>
                <w:rFonts w:ascii="Times New Roman" w:hAnsi="Times New Roman" w:cs="Times New Roman"/>
                <w:sz w:val="24"/>
                <w:szCs w:val="24"/>
                <w:lang w:eastAsia="lv-LV"/>
              </w:rPr>
              <w:t xml:space="preserve">Administratīvais slogs un </w:t>
            </w:r>
            <w:r w:rsidRPr="0035623D">
              <w:rPr>
                <w:rFonts w:ascii="Times New Roman" w:hAnsi="Times New Roman" w:cs="Times New Roman"/>
                <w:sz w:val="24"/>
                <w:szCs w:val="24"/>
                <w:lang w:eastAsia="lv-LV"/>
              </w:rPr>
              <w:t xml:space="preserve">izmaksas precīzi nav aprēķināmas, jo </w:t>
            </w:r>
            <w:r>
              <w:rPr>
                <w:rFonts w:ascii="Times New Roman" w:hAnsi="Times New Roman" w:cs="Times New Roman"/>
                <w:sz w:val="24"/>
                <w:szCs w:val="24"/>
                <w:lang w:eastAsia="lv-LV"/>
              </w:rPr>
              <w:t>tās</w:t>
            </w:r>
            <w:r w:rsidRPr="0035623D">
              <w:rPr>
                <w:rFonts w:ascii="Times New Roman" w:hAnsi="Times New Roman" w:cs="Times New Roman"/>
                <w:sz w:val="24"/>
                <w:szCs w:val="24"/>
                <w:lang w:eastAsia="lv-LV"/>
              </w:rPr>
              <w:t xml:space="preserve"> atkarīgas no vairākiem faktoriem, piemēram, no tā, vai </w:t>
            </w:r>
            <w:r w:rsidR="00EA63C7">
              <w:rPr>
                <w:rFonts w:ascii="Times New Roman" w:hAnsi="Times New Roman" w:cs="Times New Roman"/>
                <w:sz w:val="24"/>
                <w:szCs w:val="24"/>
                <w:lang w:eastAsia="lv-LV"/>
              </w:rPr>
              <w:t xml:space="preserve">iekšējā modeļa, metodes vai pieejas īstenošanai </w:t>
            </w:r>
            <w:r>
              <w:rPr>
                <w:rFonts w:ascii="Times New Roman" w:hAnsi="Times New Roman" w:cs="Times New Roman"/>
                <w:sz w:val="24"/>
                <w:szCs w:val="24"/>
                <w:lang w:eastAsia="lv-LV"/>
              </w:rPr>
              <w:t xml:space="preserve">finanšu </w:t>
            </w:r>
            <w:r w:rsidRPr="0035623D">
              <w:rPr>
                <w:rFonts w:ascii="Times New Roman" w:hAnsi="Times New Roman" w:cs="Times New Roman"/>
                <w:sz w:val="24"/>
                <w:szCs w:val="24"/>
                <w:lang w:eastAsia="lv-LV"/>
              </w:rPr>
              <w:t>tirgus dalībnieks izmantos iekšējos vai ārējos resursus.</w:t>
            </w:r>
          </w:p>
        </w:tc>
      </w:tr>
      <w:tr w:rsidR="000B4E0A" w:rsidRPr="000B4E0A" w14:paraId="7D4BF66F" w14:textId="77777777" w:rsidTr="00C41DCD">
        <w:trPr>
          <w:trHeight w:val="4135"/>
        </w:trPr>
        <w:tc>
          <w:tcPr>
            <w:tcW w:w="1210" w:type="pct"/>
            <w:shd w:val="clear" w:color="auto" w:fill="auto"/>
            <w:hideMark/>
          </w:tcPr>
          <w:p w14:paraId="6BF5C118" w14:textId="77777777" w:rsidR="00A42788" w:rsidRPr="00A26017" w:rsidRDefault="00A42788" w:rsidP="000B4E0A">
            <w:pPr>
              <w:spacing w:after="0" w:line="240" w:lineRule="auto"/>
              <w:rPr>
                <w:rFonts w:ascii="Times New Roman" w:eastAsia="Times New Roman" w:hAnsi="Times New Roman" w:cs="Times New Roman"/>
                <w:b/>
                <w:bCs/>
                <w:sz w:val="24"/>
                <w:szCs w:val="24"/>
                <w:lang w:eastAsia="lv-LV"/>
              </w:rPr>
            </w:pPr>
            <w:r w:rsidRPr="00A26017">
              <w:rPr>
                <w:rFonts w:ascii="Times New Roman" w:eastAsia="Times New Roman" w:hAnsi="Times New Roman" w:cs="Times New Roman"/>
                <w:b/>
                <w:bCs/>
                <w:sz w:val="24"/>
                <w:szCs w:val="24"/>
                <w:lang w:eastAsia="lv-LV"/>
              </w:rPr>
              <w:t>Saistītie dokumenti</w:t>
            </w:r>
          </w:p>
          <w:p w14:paraId="4DFDB7CB" w14:textId="77777777" w:rsidR="00CA28AB" w:rsidRPr="00A26017" w:rsidRDefault="00CA28AB" w:rsidP="000B4E0A">
            <w:pPr>
              <w:spacing w:after="0" w:line="240" w:lineRule="auto"/>
              <w:rPr>
                <w:rFonts w:ascii="Times New Roman" w:eastAsia="Times New Roman" w:hAnsi="Times New Roman" w:cs="Times New Roman"/>
                <w:b/>
                <w:bCs/>
                <w:sz w:val="24"/>
                <w:szCs w:val="24"/>
                <w:lang w:eastAsia="lv-LV"/>
              </w:rPr>
            </w:pPr>
          </w:p>
        </w:tc>
        <w:tc>
          <w:tcPr>
            <w:tcW w:w="3790" w:type="pct"/>
            <w:shd w:val="clear" w:color="auto" w:fill="auto"/>
          </w:tcPr>
          <w:p w14:paraId="3AF3CA0B" w14:textId="4BA23AFA" w:rsidR="0077245D" w:rsidRPr="00043943" w:rsidRDefault="0030104E" w:rsidP="00B75A54">
            <w:pPr>
              <w:pStyle w:val="ListParagraph"/>
              <w:numPr>
                <w:ilvl w:val="0"/>
                <w:numId w:val="7"/>
              </w:numPr>
              <w:tabs>
                <w:tab w:val="left" w:pos="320"/>
              </w:tabs>
              <w:spacing w:after="120" w:line="240" w:lineRule="auto"/>
              <w:ind w:left="36" w:hanging="36"/>
              <w:contextualSpacing w:val="0"/>
              <w:jc w:val="both"/>
              <w:rPr>
                <w:rFonts w:ascii="Times New Roman" w:hAnsi="Times New Roman" w:cs="Times New Roman"/>
                <w:sz w:val="24"/>
                <w:szCs w:val="24"/>
              </w:rPr>
            </w:pPr>
            <w:hyperlink r:id="rId11" w:history="1">
              <w:r w:rsidRPr="00043943">
                <w:rPr>
                  <w:rStyle w:val="Hyperlink"/>
                  <w:rFonts w:ascii="Times New Roman" w:hAnsi="Times New Roman" w:cs="Times New Roman"/>
                  <w:color w:val="auto"/>
                  <w:sz w:val="24"/>
                  <w:szCs w:val="24"/>
                </w:rPr>
                <w:t>Kredītiestāžu likums</w:t>
              </w:r>
            </w:hyperlink>
            <w:r w:rsidR="00B75A54" w:rsidRPr="00043943">
              <w:rPr>
                <w:rFonts w:ascii="Times New Roman" w:hAnsi="Times New Roman" w:cs="Times New Roman"/>
                <w:sz w:val="24"/>
                <w:szCs w:val="24"/>
              </w:rPr>
              <w:t>.</w:t>
            </w:r>
          </w:p>
          <w:p w14:paraId="6C26593F" w14:textId="611FE355" w:rsidR="0077245D" w:rsidRPr="00043943" w:rsidRDefault="0030104E" w:rsidP="00B75A54">
            <w:pPr>
              <w:pStyle w:val="ListParagraph"/>
              <w:numPr>
                <w:ilvl w:val="0"/>
                <w:numId w:val="7"/>
              </w:numPr>
              <w:tabs>
                <w:tab w:val="left" w:pos="320"/>
              </w:tabs>
              <w:spacing w:after="120" w:line="240" w:lineRule="auto"/>
              <w:ind w:left="36" w:hanging="36"/>
              <w:contextualSpacing w:val="0"/>
              <w:jc w:val="both"/>
              <w:rPr>
                <w:rFonts w:ascii="Times New Roman" w:hAnsi="Times New Roman" w:cs="Times New Roman"/>
                <w:sz w:val="24"/>
                <w:szCs w:val="24"/>
              </w:rPr>
            </w:pPr>
            <w:hyperlink r:id="rId12" w:history="1">
              <w:r w:rsidRPr="00043943">
                <w:rPr>
                  <w:rStyle w:val="Hyperlink"/>
                  <w:rFonts w:ascii="Times New Roman" w:hAnsi="Times New Roman" w:cs="Times New Roman"/>
                  <w:color w:val="auto"/>
                  <w:sz w:val="24"/>
                  <w:szCs w:val="24"/>
                </w:rPr>
                <w:t>Latvijas Bankas likums</w:t>
              </w:r>
            </w:hyperlink>
            <w:r w:rsidR="00B75A54" w:rsidRPr="00043943">
              <w:rPr>
                <w:rFonts w:ascii="Times New Roman" w:hAnsi="Times New Roman" w:cs="Times New Roman"/>
                <w:sz w:val="24"/>
                <w:szCs w:val="24"/>
              </w:rPr>
              <w:t>.</w:t>
            </w:r>
          </w:p>
          <w:p w14:paraId="31FB2F5F" w14:textId="6C68DA35" w:rsidR="0077245D" w:rsidRPr="00043943" w:rsidRDefault="0030104E" w:rsidP="00B75A54">
            <w:pPr>
              <w:pStyle w:val="ListParagraph"/>
              <w:numPr>
                <w:ilvl w:val="0"/>
                <w:numId w:val="7"/>
              </w:numPr>
              <w:tabs>
                <w:tab w:val="left" w:pos="320"/>
              </w:tabs>
              <w:spacing w:after="120" w:line="240" w:lineRule="auto"/>
              <w:ind w:left="36" w:hanging="36"/>
              <w:contextualSpacing w:val="0"/>
              <w:jc w:val="both"/>
              <w:rPr>
                <w:rFonts w:ascii="Times New Roman" w:hAnsi="Times New Roman" w:cs="Times New Roman"/>
                <w:sz w:val="24"/>
                <w:szCs w:val="24"/>
              </w:rPr>
            </w:pPr>
            <w:hyperlink r:id="rId13" w:history="1">
              <w:r w:rsidRPr="00043943">
                <w:rPr>
                  <w:rStyle w:val="Hyperlink"/>
                  <w:rFonts w:ascii="Times New Roman" w:hAnsi="Times New Roman" w:cs="Times New Roman"/>
                  <w:color w:val="auto"/>
                  <w:sz w:val="24"/>
                  <w:szCs w:val="24"/>
                </w:rPr>
                <w:t>Ieguldījumu brokeru sabiedrību likums</w:t>
              </w:r>
            </w:hyperlink>
            <w:r w:rsidR="00B75A54" w:rsidRPr="00043943">
              <w:rPr>
                <w:rFonts w:ascii="Times New Roman" w:hAnsi="Times New Roman" w:cs="Times New Roman"/>
                <w:sz w:val="24"/>
                <w:szCs w:val="24"/>
              </w:rPr>
              <w:t>.</w:t>
            </w:r>
          </w:p>
          <w:p w14:paraId="56FC3B94" w14:textId="38D3C7B3" w:rsidR="0030104E" w:rsidRPr="00043943" w:rsidRDefault="00EA63C7" w:rsidP="00B75A54">
            <w:pPr>
              <w:pStyle w:val="ListParagraph"/>
              <w:numPr>
                <w:ilvl w:val="0"/>
                <w:numId w:val="7"/>
              </w:numPr>
              <w:tabs>
                <w:tab w:val="left" w:pos="320"/>
              </w:tabs>
              <w:spacing w:after="120" w:line="240" w:lineRule="auto"/>
              <w:ind w:left="36" w:hanging="36"/>
              <w:contextualSpacing w:val="0"/>
              <w:jc w:val="both"/>
              <w:rPr>
                <w:rFonts w:ascii="Times New Roman" w:hAnsi="Times New Roman" w:cs="Times New Roman"/>
                <w:sz w:val="24"/>
                <w:szCs w:val="24"/>
              </w:rPr>
            </w:pPr>
            <w:hyperlink r:id="rId14" w:history="1">
              <w:r w:rsidRPr="00043943">
                <w:rPr>
                  <w:rStyle w:val="Hyperlink"/>
                  <w:rFonts w:ascii="Times New Roman" w:hAnsi="Times New Roman" w:cs="Times New Roman"/>
                  <w:color w:val="auto"/>
                  <w:sz w:val="24"/>
                  <w:szCs w:val="24"/>
                </w:rPr>
                <w:t>Regula Nr. 575/2013</w:t>
              </w:r>
            </w:hyperlink>
            <w:r w:rsidR="00B75A54" w:rsidRPr="00043943">
              <w:rPr>
                <w:rFonts w:ascii="Times New Roman" w:hAnsi="Times New Roman" w:cs="Times New Roman"/>
                <w:sz w:val="24"/>
                <w:szCs w:val="24"/>
              </w:rPr>
              <w:t>.</w:t>
            </w:r>
          </w:p>
          <w:p w14:paraId="33ED2D00" w14:textId="172CD330" w:rsidR="006C641C" w:rsidRPr="00043943" w:rsidRDefault="00EA63C7" w:rsidP="00B75A54">
            <w:pPr>
              <w:pStyle w:val="ListParagraph"/>
              <w:numPr>
                <w:ilvl w:val="0"/>
                <w:numId w:val="7"/>
              </w:numPr>
              <w:tabs>
                <w:tab w:val="left" w:pos="320"/>
              </w:tabs>
              <w:spacing w:after="120" w:line="240" w:lineRule="auto"/>
              <w:ind w:left="36" w:hanging="36"/>
              <w:contextualSpacing w:val="0"/>
              <w:jc w:val="both"/>
              <w:rPr>
                <w:rFonts w:ascii="Times New Roman" w:eastAsia="Times New Roman" w:hAnsi="Times New Roman" w:cs="Times New Roman"/>
                <w:sz w:val="24"/>
                <w:szCs w:val="24"/>
                <w:lang w:eastAsia="lv-LV"/>
              </w:rPr>
            </w:pPr>
            <w:hyperlink r:id="rId15" w:history="1">
              <w:r w:rsidRPr="00043943">
                <w:rPr>
                  <w:rStyle w:val="Hyperlink"/>
                  <w:rFonts w:ascii="Times New Roman" w:eastAsia="Times New Roman" w:hAnsi="Times New Roman" w:cs="Times New Roman"/>
                  <w:color w:val="auto"/>
                  <w:sz w:val="24"/>
                  <w:szCs w:val="24"/>
                  <w:lang w:eastAsia="lv-LV"/>
                </w:rPr>
                <w:t>Regula Nr.</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2024/1623</w:t>
              </w:r>
            </w:hyperlink>
            <w:r w:rsidR="00B75A54" w:rsidRPr="00043943">
              <w:rPr>
                <w:rFonts w:ascii="Times New Roman" w:eastAsia="Times New Roman" w:hAnsi="Times New Roman" w:cs="Times New Roman"/>
                <w:sz w:val="24"/>
                <w:szCs w:val="24"/>
                <w:lang w:eastAsia="lv-LV"/>
              </w:rPr>
              <w:t>.</w:t>
            </w:r>
          </w:p>
          <w:p w14:paraId="5DA9B30B" w14:textId="2DAE9954" w:rsidR="00EA63C7" w:rsidRPr="00043943" w:rsidRDefault="00EA63C7" w:rsidP="00B75A54">
            <w:pPr>
              <w:pStyle w:val="ListParagraph"/>
              <w:numPr>
                <w:ilvl w:val="0"/>
                <w:numId w:val="7"/>
              </w:numPr>
              <w:tabs>
                <w:tab w:val="left" w:pos="320"/>
              </w:tabs>
              <w:spacing w:after="120" w:line="240" w:lineRule="auto"/>
              <w:ind w:left="36" w:hanging="36"/>
              <w:contextualSpacing w:val="0"/>
              <w:jc w:val="both"/>
              <w:rPr>
                <w:rFonts w:ascii="Times New Roman" w:eastAsia="Times New Roman" w:hAnsi="Times New Roman" w:cs="Times New Roman"/>
                <w:sz w:val="24"/>
                <w:szCs w:val="24"/>
                <w:lang w:eastAsia="lv-LV"/>
              </w:rPr>
            </w:pPr>
            <w:hyperlink r:id="rId16" w:history="1">
              <w:r w:rsidRPr="00043943">
                <w:rPr>
                  <w:rStyle w:val="Hyperlink"/>
                  <w:rFonts w:ascii="Times New Roman" w:eastAsia="Times New Roman" w:hAnsi="Times New Roman" w:cs="Times New Roman"/>
                  <w:color w:val="auto"/>
                  <w:sz w:val="24"/>
                  <w:szCs w:val="24"/>
                  <w:lang w:eastAsia="lv-LV"/>
                </w:rPr>
                <w:t>Regula Nr.</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529/2014</w:t>
              </w:r>
            </w:hyperlink>
            <w:r w:rsidR="00B75A54" w:rsidRPr="00043943">
              <w:rPr>
                <w:rFonts w:ascii="Times New Roman" w:eastAsia="Times New Roman" w:hAnsi="Times New Roman" w:cs="Times New Roman"/>
                <w:sz w:val="24"/>
                <w:szCs w:val="24"/>
                <w:lang w:eastAsia="lv-LV"/>
              </w:rPr>
              <w:t>.</w:t>
            </w:r>
          </w:p>
          <w:p w14:paraId="1CCDB9C8" w14:textId="301EDB78" w:rsidR="00D40E43" w:rsidRPr="00043943" w:rsidRDefault="00D40E43" w:rsidP="00B75A54">
            <w:pPr>
              <w:pStyle w:val="ListParagraph"/>
              <w:numPr>
                <w:ilvl w:val="0"/>
                <w:numId w:val="7"/>
              </w:numPr>
              <w:tabs>
                <w:tab w:val="left" w:pos="320"/>
              </w:tabs>
              <w:spacing w:after="120" w:line="240" w:lineRule="auto"/>
              <w:ind w:left="36" w:hanging="36"/>
              <w:contextualSpacing w:val="0"/>
              <w:jc w:val="both"/>
              <w:rPr>
                <w:rFonts w:ascii="Times New Roman" w:eastAsia="Times New Roman" w:hAnsi="Times New Roman" w:cs="Times New Roman"/>
                <w:sz w:val="24"/>
                <w:szCs w:val="24"/>
                <w:lang w:eastAsia="lv-LV"/>
              </w:rPr>
            </w:pPr>
            <w:hyperlink r:id="rId17" w:history="1">
              <w:r w:rsidRPr="00043943">
                <w:rPr>
                  <w:rStyle w:val="Hyperlink"/>
                  <w:rFonts w:ascii="Times New Roman" w:eastAsia="Times New Roman" w:hAnsi="Times New Roman" w:cs="Times New Roman"/>
                  <w:color w:val="auto"/>
                  <w:sz w:val="24"/>
                  <w:szCs w:val="24"/>
                  <w:lang w:eastAsia="lv-LV"/>
                </w:rPr>
                <w:t>Komisijas 2021.</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gada 20.</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 xml:space="preserve">oktobra deleģētā regula (ES) 2022/439, ar ko Eiropas Parlamenta un Padomes </w:t>
              </w:r>
              <w:r w:rsidR="00A83482" w:rsidRPr="00043943">
                <w:rPr>
                  <w:rStyle w:val="Hyperlink"/>
                  <w:rFonts w:ascii="Times New Roman" w:eastAsia="Times New Roman" w:hAnsi="Times New Roman" w:cs="Times New Roman"/>
                  <w:color w:val="auto"/>
                  <w:sz w:val="24"/>
                  <w:szCs w:val="24"/>
                  <w:lang w:eastAsia="lv-LV"/>
                </w:rPr>
                <w:t xml:space="preserve">regulu </w:t>
              </w:r>
              <w:r w:rsidRPr="00043943">
                <w:rPr>
                  <w:rStyle w:val="Hyperlink"/>
                  <w:rFonts w:ascii="Times New Roman" w:eastAsia="Times New Roman" w:hAnsi="Times New Roman" w:cs="Times New Roman"/>
                  <w:color w:val="auto"/>
                  <w:sz w:val="24"/>
                  <w:szCs w:val="24"/>
                  <w:lang w:eastAsia="lv-LV"/>
                </w:rPr>
                <w:t>(ES) Nr.</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575/2013 papildina attiecībā uz regulatīviem tehniskajiem standartiem par precizētu novērtēšanas metodiku, kas jāievēro kompetentajām iestādēm, novērtējot kredītiestāžu un ieguldījumu brokeru sabiedrību atbilstību uz iekšējiem reitingiem balstītas pieejas izmantošanas prasībām</w:t>
              </w:r>
            </w:hyperlink>
            <w:r w:rsidR="00B75A54" w:rsidRPr="00043943">
              <w:rPr>
                <w:rFonts w:ascii="Times New Roman" w:eastAsia="Times New Roman" w:hAnsi="Times New Roman" w:cs="Times New Roman"/>
                <w:sz w:val="24"/>
                <w:szCs w:val="24"/>
                <w:lang w:eastAsia="lv-LV"/>
              </w:rPr>
              <w:t>.</w:t>
            </w:r>
          </w:p>
          <w:p w14:paraId="42681B7B" w14:textId="7896E8A2" w:rsidR="00D40E43" w:rsidRPr="00043943" w:rsidRDefault="00D40E43" w:rsidP="00B75A54">
            <w:pPr>
              <w:pStyle w:val="ListParagraph"/>
              <w:numPr>
                <w:ilvl w:val="0"/>
                <w:numId w:val="7"/>
              </w:numPr>
              <w:tabs>
                <w:tab w:val="left" w:pos="320"/>
              </w:tabs>
              <w:spacing w:after="120" w:line="240" w:lineRule="auto"/>
              <w:ind w:left="36" w:hanging="36"/>
              <w:contextualSpacing w:val="0"/>
              <w:jc w:val="both"/>
              <w:rPr>
                <w:rFonts w:ascii="Times New Roman" w:eastAsia="Times New Roman" w:hAnsi="Times New Roman" w:cs="Times New Roman"/>
                <w:sz w:val="24"/>
                <w:szCs w:val="24"/>
                <w:lang w:eastAsia="lv-LV"/>
              </w:rPr>
            </w:pPr>
            <w:hyperlink r:id="rId18" w:history="1">
              <w:r w:rsidRPr="00043943">
                <w:rPr>
                  <w:rStyle w:val="Hyperlink"/>
                  <w:rFonts w:ascii="Times New Roman" w:eastAsia="Times New Roman" w:hAnsi="Times New Roman" w:cs="Times New Roman"/>
                  <w:color w:val="auto"/>
                  <w:sz w:val="24"/>
                  <w:szCs w:val="24"/>
                  <w:lang w:eastAsia="lv-LV"/>
                </w:rPr>
                <w:t>Komisijas 2021.</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gada 1.</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marta deleģētā regula (ES)</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 xml:space="preserve">2021/930, ar ko Eiropas Parlamenta un Padomes </w:t>
              </w:r>
              <w:r w:rsidR="00A83482" w:rsidRPr="00043943">
                <w:rPr>
                  <w:rStyle w:val="Hyperlink"/>
                  <w:rFonts w:ascii="Times New Roman" w:eastAsia="Times New Roman" w:hAnsi="Times New Roman" w:cs="Times New Roman"/>
                  <w:color w:val="auto"/>
                  <w:sz w:val="24"/>
                  <w:szCs w:val="24"/>
                  <w:lang w:eastAsia="lv-LV"/>
                </w:rPr>
                <w:t xml:space="preserve">regulu </w:t>
              </w:r>
              <w:r w:rsidRPr="00043943">
                <w:rPr>
                  <w:rStyle w:val="Hyperlink"/>
                  <w:rFonts w:ascii="Times New Roman" w:eastAsia="Times New Roman" w:hAnsi="Times New Roman" w:cs="Times New Roman"/>
                  <w:color w:val="auto"/>
                  <w:sz w:val="24"/>
                  <w:szCs w:val="24"/>
                  <w:lang w:eastAsia="lv-LV"/>
                </w:rPr>
                <w:t>(ES) Nr.</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575/2013 papildina attiecībā uz regulatīvajiem tehniskajiem standartiem, kuri precizē minētās regulas 181.</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panta 1.</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punkta b)</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apakšpunktā un 182.</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panta 1.</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punkta b)</w:t>
              </w:r>
              <w:r w:rsidR="00A83482" w:rsidRPr="00043943">
                <w:rPr>
                  <w:rStyle w:val="Hyperlink"/>
                  <w:rFonts w:ascii="Times New Roman" w:eastAsia="Times New Roman" w:hAnsi="Times New Roman" w:cs="Times New Roman"/>
                  <w:color w:val="auto"/>
                  <w:sz w:val="24"/>
                  <w:szCs w:val="24"/>
                  <w:lang w:eastAsia="lv-LV"/>
                </w:rPr>
                <w:t> </w:t>
              </w:r>
              <w:r w:rsidRPr="00043943">
                <w:rPr>
                  <w:rStyle w:val="Hyperlink"/>
                  <w:rFonts w:ascii="Times New Roman" w:eastAsia="Times New Roman" w:hAnsi="Times New Roman" w:cs="Times New Roman"/>
                  <w:color w:val="auto"/>
                  <w:sz w:val="24"/>
                  <w:szCs w:val="24"/>
                  <w:lang w:eastAsia="lv-LV"/>
                </w:rPr>
                <w:t>apakšpunktā minētās ekonomikas lejupslīdes būtību, nopietnību un ilgumu</w:t>
              </w:r>
            </w:hyperlink>
            <w:r w:rsidR="00B75A54" w:rsidRPr="00043943">
              <w:rPr>
                <w:rFonts w:ascii="Times New Roman" w:eastAsia="Times New Roman" w:hAnsi="Times New Roman" w:cs="Times New Roman"/>
                <w:sz w:val="24"/>
                <w:szCs w:val="24"/>
                <w:lang w:eastAsia="lv-LV"/>
              </w:rPr>
              <w:t>.</w:t>
            </w:r>
          </w:p>
          <w:p w14:paraId="1980CD2D" w14:textId="45CBE447" w:rsidR="00EA63C7" w:rsidRPr="00043943" w:rsidRDefault="00993D5E" w:rsidP="00B75A54">
            <w:pPr>
              <w:pStyle w:val="ListParagraph"/>
              <w:numPr>
                <w:ilvl w:val="0"/>
                <w:numId w:val="7"/>
              </w:numPr>
              <w:tabs>
                <w:tab w:val="left" w:pos="320"/>
              </w:tabs>
              <w:spacing w:after="120" w:line="240" w:lineRule="auto"/>
              <w:ind w:left="36" w:hanging="36"/>
              <w:contextualSpacing w:val="0"/>
              <w:jc w:val="both"/>
              <w:rPr>
                <w:rFonts w:ascii="Times New Roman" w:eastAsia="Times New Roman" w:hAnsi="Times New Roman" w:cs="Times New Roman"/>
                <w:sz w:val="24"/>
                <w:szCs w:val="24"/>
                <w:lang w:eastAsia="lv-LV"/>
              </w:rPr>
            </w:pPr>
            <w:r w:rsidRPr="00043943">
              <w:rPr>
                <w:rFonts w:ascii="Times New Roman" w:hAnsi="Times New Roman" w:cs="Times New Roman"/>
                <w:sz w:val="24"/>
                <w:szCs w:val="24"/>
              </w:rPr>
              <w:t xml:space="preserve">Līdz ar Noteikumu projekta stāšanos spēkā spēku zaudēs </w:t>
            </w:r>
            <w:hyperlink r:id="rId19" w:history="1">
              <w:r w:rsidR="00EA63C7" w:rsidRPr="00043943">
                <w:rPr>
                  <w:rStyle w:val="Hyperlink"/>
                  <w:rFonts w:ascii="Times New Roman" w:eastAsia="Times New Roman" w:hAnsi="Times New Roman" w:cs="Times New Roman"/>
                  <w:color w:val="auto"/>
                  <w:sz w:val="24"/>
                  <w:szCs w:val="24"/>
                  <w:lang w:eastAsia="lv-LV"/>
                </w:rPr>
                <w:t>Noteikumi Nr.</w:t>
              </w:r>
              <w:r w:rsidR="00630969" w:rsidRPr="00043943">
                <w:rPr>
                  <w:rStyle w:val="Hyperlink"/>
                  <w:rFonts w:ascii="Times New Roman" w:eastAsia="Times New Roman" w:hAnsi="Times New Roman" w:cs="Times New Roman"/>
                  <w:color w:val="auto"/>
                  <w:sz w:val="24"/>
                  <w:szCs w:val="24"/>
                  <w:lang w:eastAsia="lv-LV"/>
                </w:rPr>
                <w:t> </w:t>
              </w:r>
              <w:r w:rsidR="00EA63C7" w:rsidRPr="00043943">
                <w:rPr>
                  <w:rStyle w:val="Hyperlink"/>
                  <w:rFonts w:ascii="Times New Roman" w:eastAsia="Times New Roman" w:hAnsi="Times New Roman" w:cs="Times New Roman"/>
                  <w:color w:val="auto"/>
                  <w:sz w:val="24"/>
                  <w:szCs w:val="24"/>
                  <w:lang w:eastAsia="lv-LV"/>
                </w:rPr>
                <w:t>247</w:t>
              </w:r>
            </w:hyperlink>
            <w:r w:rsidR="00EA63C7" w:rsidRPr="00043943">
              <w:rPr>
                <w:rFonts w:ascii="Times New Roman" w:eastAsia="Times New Roman" w:hAnsi="Times New Roman" w:cs="Times New Roman"/>
                <w:sz w:val="24"/>
                <w:szCs w:val="24"/>
                <w:lang w:eastAsia="lv-LV"/>
              </w:rPr>
              <w:t>.</w:t>
            </w:r>
          </w:p>
        </w:tc>
      </w:tr>
      <w:tr w:rsidR="000B4E0A" w:rsidRPr="000B4E0A" w14:paraId="7452BA0B" w14:textId="77777777" w:rsidTr="00812985">
        <w:trPr>
          <w:trHeight w:val="567"/>
        </w:trPr>
        <w:tc>
          <w:tcPr>
            <w:tcW w:w="1210" w:type="pct"/>
            <w:shd w:val="clear" w:color="auto" w:fill="auto"/>
            <w:hideMark/>
          </w:tcPr>
          <w:p w14:paraId="59DCD0AB" w14:textId="79317849" w:rsidR="00CA28AB" w:rsidRPr="00E253DA" w:rsidRDefault="00A42788" w:rsidP="00E163D6">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tc>
        <w:tc>
          <w:tcPr>
            <w:tcW w:w="3790" w:type="pct"/>
            <w:shd w:val="clear" w:color="auto" w:fill="auto"/>
          </w:tcPr>
          <w:p w14:paraId="073E1906" w14:textId="6662F736" w:rsidR="00A42788" w:rsidRPr="00AB107B" w:rsidRDefault="00F20736" w:rsidP="00EA1AC6">
            <w:pPr>
              <w:spacing w:after="120" w:line="240" w:lineRule="auto"/>
              <w:jc w:val="both"/>
              <w:rPr>
                <w:rFonts w:ascii="Times New Roman" w:eastAsia="Times New Roman" w:hAnsi="Times New Roman" w:cs="Times New Roman"/>
                <w:sz w:val="24"/>
                <w:szCs w:val="24"/>
                <w:lang w:eastAsia="lv-LV"/>
              </w:rPr>
            </w:pPr>
            <w:r w:rsidRPr="00F20736">
              <w:rPr>
                <w:rFonts w:ascii="Times New Roman" w:eastAsia="Times New Roman" w:hAnsi="Times New Roman" w:cs="Times New Roman"/>
                <w:sz w:val="24"/>
                <w:szCs w:val="24"/>
                <w:lang w:eastAsia="lv-LV"/>
              </w:rPr>
              <w:t>Noteikumu projekts nav jāsaskaņo ar Eiropas Centrālo banku.</w:t>
            </w:r>
          </w:p>
        </w:tc>
      </w:tr>
      <w:tr w:rsidR="000B4E0A" w:rsidRPr="000B4E0A" w14:paraId="112731BA" w14:textId="77777777" w:rsidTr="00812985">
        <w:trPr>
          <w:trHeight w:val="567"/>
        </w:trPr>
        <w:tc>
          <w:tcPr>
            <w:tcW w:w="1210" w:type="pct"/>
            <w:shd w:val="clear" w:color="auto" w:fill="auto"/>
            <w:hideMark/>
          </w:tcPr>
          <w:p w14:paraId="24B8210C"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46D89650"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790" w:type="pct"/>
            <w:shd w:val="clear" w:color="auto" w:fill="auto"/>
          </w:tcPr>
          <w:p w14:paraId="63257A16" w14:textId="1F8A76BC" w:rsidR="00CE3499" w:rsidRPr="00CE3499" w:rsidRDefault="00CE3499" w:rsidP="00CE3499">
            <w:pPr>
              <w:spacing w:after="120" w:line="240" w:lineRule="auto"/>
              <w:jc w:val="both"/>
              <w:rPr>
                <w:rFonts w:ascii="Times New Roman" w:eastAsia="Times New Roman" w:hAnsi="Times New Roman" w:cs="Times New Roman"/>
                <w:sz w:val="24"/>
                <w:szCs w:val="24"/>
                <w:lang w:eastAsia="lv-LV"/>
              </w:rPr>
            </w:pPr>
            <w:r w:rsidRPr="00CE3499">
              <w:rPr>
                <w:rFonts w:ascii="Times New Roman" w:eastAsia="Times New Roman" w:hAnsi="Times New Roman" w:cs="Times New Roman"/>
                <w:sz w:val="24"/>
                <w:szCs w:val="24"/>
                <w:lang w:eastAsia="lv-LV"/>
              </w:rPr>
              <w:t xml:space="preserve">Noteikumu projekts </w:t>
            </w:r>
            <w:r>
              <w:rPr>
                <w:rFonts w:ascii="Times New Roman" w:eastAsia="Times New Roman" w:hAnsi="Times New Roman" w:cs="Times New Roman"/>
                <w:sz w:val="24"/>
                <w:szCs w:val="24"/>
                <w:lang w:eastAsia="lv-LV"/>
              </w:rPr>
              <w:t>2024. gada 16. oktobrī</w:t>
            </w:r>
            <w:r w:rsidRPr="00CE3499">
              <w:rPr>
                <w:rFonts w:ascii="Times New Roman" w:eastAsia="Times New Roman" w:hAnsi="Times New Roman" w:cs="Times New Roman"/>
                <w:sz w:val="24"/>
                <w:szCs w:val="24"/>
                <w:lang w:eastAsia="lv-LV"/>
              </w:rPr>
              <w:t xml:space="preserve"> tika publicēts Latvijas Bankas tīmekļvietnes www.bank.lv sadaļas "Tiesību akti" </w:t>
            </w:r>
            <w:proofErr w:type="spellStart"/>
            <w:r w:rsidRPr="00CE3499">
              <w:rPr>
                <w:rFonts w:ascii="Times New Roman" w:eastAsia="Times New Roman" w:hAnsi="Times New Roman" w:cs="Times New Roman"/>
                <w:sz w:val="24"/>
                <w:szCs w:val="24"/>
                <w:lang w:eastAsia="lv-LV"/>
              </w:rPr>
              <w:t>apakšsadaļā</w:t>
            </w:r>
            <w:proofErr w:type="spellEnd"/>
            <w:r w:rsidRPr="00CE3499">
              <w:rPr>
                <w:rFonts w:ascii="Times New Roman" w:eastAsia="Times New Roman" w:hAnsi="Times New Roman" w:cs="Times New Roman"/>
                <w:sz w:val="24"/>
                <w:szCs w:val="24"/>
                <w:lang w:eastAsia="lv-LV"/>
              </w:rPr>
              <w:t xml:space="preserve"> "Sabiedrības līdzdalība", aicinot priekšlikumus iesniegt līdz </w:t>
            </w:r>
            <w:r>
              <w:rPr>
                <w:rFonts w:ascii="Times New Roman" w:eastAsia="Times New Roman" w:hAnsi="Times New Roman" w:cs="Times New Roman"/>
                <w:sz w:val="24"/>
                <w:szCs w:val="24"/>
                <w:lang w:eastAsia="lv-LV"/>
              </w:rPr>
              <w:t>2024. gada 30. oktobrim</w:t>
            </w:r>
            <w:r w:rsidRPr="00CE3499">
              <w:rPr>
                <w:rFonts w:ascii="Times New Roman" w:eastAsia="Times New Roman" w:hAnsi="Times New Roman" w:cs="Times New Roman"/>
                <w:sz w:val="24"/>
                <w:szCs w:val="24"/>
                <w:lang w:eastAsia="lv-LV"/>
              </w:rPr>
              <w:t xml:space="preserve">. </w:t>
            </w:r>
          </w:p>
          <w:p w14:paraId="7E0B4371" w14:textId="3E103FA2" w:rsidR="00E53DE9" w:rsidRPr="00AB107B" w:rsidRDefault="00CE3499" w:rsidP="00EA1AC6">
            <w:pPr>
              <w:spacing w:after="120" w:line="240" w:lineRule="auto"/>
              <w:jc w:val="both"/>
              <w:rPr>
                <w:rFonts w:ascii="Times New Roman" w:eastAsia="Times New Roman" w:hAnsi="Times New Roman" w:cs="Times New Roman"/>
                <w:sz w:val="24"/>
                <w:szCs w:val="24"/>
                <w:lang w:eastAsia="lv-LV"/>
              </w:rPr>
            </w:pPr>
            <w:r w:rsidRPr="00CE3499">
              <w:rPr>
                <w:rFonts w:ascii="Times New Roman" w:eastAsia="Times New Roman" w:hAnsi="Times New Roman" w:cs="Times New Roman"/>
                <w:sz w:val="24"/>
                <w:szCs w:val="24"/>
                <w:lang w:eastAsia="lv-LV"/>
              </w:rPr>
              <w:t>Vienlaikus par noteikumu projektu un notiekošo sabiedrības līdzdalību tika informēt</w:t>
            </w:r>
            <w:r>
              <w:rPr>
                <w:rFonts w:ascii="Times New Roman" w:eastAsia="Times New Roman" w:hAnsi="Times New Roman" w:cs="Times New Roman"/>
                <w:sz w:val="24"/>
                <w:szCs w:val="24"/>
                <w:lang w:eastAsia="lv-LV"/>
              </w:rPr>
              <w:t>a</w:t>
            </w:r>
            <w:r w:rsidRPr="00CE3499">
              <w:rPr>
                <w:rFonts w:ascii="Times New Roman" w:eastAsia="Times New Roman" w:hAnsi="Times New Roman" w:cs="Times New Roman"/>
                <w:sz w:val="24"/>
                <w:szCs w:val="24"/>
                <w:lang w:eastAsia="lv-LV"/>
              </w:rPr>
              <w:t xml:space="preserve"> </w:t>
            </w:r>
            <w:r w:rsidRPr="00F20736">
              <w:rPr>
                <w:rFonts w:ascii="Times New Roman" w:eastAsia="Times New Roman" w:hAnsi="Times New Roman" w:cs="Times New Roman"/>
                <w:sz w:val="24"/>
                <w:szCs w:val="24"/>
                <w:lang w:eastAsia="lv-LV"/>
              </w:rPr>
              <w:t>Latvijas Finanšu nozares asociācija un kredītiestādes, kuras nav Latvijas Finanšu nozares asociācijas biedres.</w:t>
            </w:r>
          </w:p>
        </w:tc>
      </w:tr>
      <w:tr w:rsidR="000B4E0A" w:rsidRPr="000B4E0A" w14:paraId="5A6E9DF0" w14:textId="77777777" w:rsidTr="00812985">
        <w:trPr>
          <w:trHeight w:val="567"/>
        </w:trPr>
        <w:tc>
          <w:tcPr>
            <w:tcW w:w="1210" w:type="pct"/>
            <w:shd w:val="clear" w:color="auto" w:fill="auto"/>
            <w:hideMark/>
          </w:tcPr>
          <w:p w14:paraId="74AD3CBC" w14:textId="77E68B13" w:rsidR="00CA28AB" w:rsidRPr="00E253DA" w:rsidRDefault="00A42788" w:rsidP="00473387">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Saskaņošanas rezultāti</w:t>
            </w:r>
          </w:p>
        </w:tc>
        <w:tc>
          <w:tcPr>
            <w:tcW w:w="3790" w:type="pct"/>
            <w:shd w:val="clear" w:color="auto" w:fill="auto"/>
          </w:tcPr>
          <w:p w14:paraId="34FFF534" w14:textId="62724B97" w:rsidR="00E53DE9" w:rsidRPr="00AB107B" w:rsidRDefault="00473387" w:rsidP="00EA1AC6">
            <w:pPr>
              <w:spacing w:after="120" w:line="240" w:lineRule="auto"/>
              <w:jc w:val="both"/>
              <w:rPr>
                <w:rFonts w:ascii="Times New Roman" w:eastAsia="Times New Roman" w:hAnsi="Times New Roman" w:cs="Times New Roman"/>
                <w:sz w:val="24"/>
                <w:szCs w:val="24"/>
                <w:lang w:eastAsia="lv-LV"/>
              </w:rPr>
            </w:pPr>
            <w:r w:rsidRPr="00473387">
              <w:rPr>
                <w:rFonts w:ascii="Times New Roman" w:eastAsia="Times New Roman" w:hAnsi="Times New Roman" w:cs="Times New Roman"/>
                <w:sz w:val="24"/>
                <w:szCs w:val="24"/>
                <w:lang w:eastAsia="lv-LV"/>
              </w:rPr>
              <w:t>Sabiedrības līdzdalības rezultātā par noteikumu projektu netika saņemti iebildumi vai priekšlikumi</w:t>
            </w:r>
            <w:r w:rsidR="00F20736" w:rsidRPr="00F20736">
              <w:rPr>
                <w:rFonts w:ascii="Times New Roman" w:eastAsia="Times New Roman" w:hAnsi="Times New Roman" w:cs="Times New Roman"/>
                <w:sz w:val="24"/>
                <w:szCs w:val="24"/>
                <w:lang w:eastAsia="lv-LV"/>
              </w:rPr>
              <w:t>.</w:t>
            </w:r>
          </w:p>
        </w:tc>
      </w:tr>
    </w:tbl>
    <w:p w14:paraId="07F9B713" w14:textId="6329E8E2" w:rsidR="00117AEB" w:rsidRDefault="00117AEB" w:rsidP="0049248A">
      <w:pPr>
        <w:spacing w:after="0" w:line="240" w:lineRule="auto"/>
        <w:rPr>
          <w:rFonts w:ascii="Times New Roman" w:hAnsi="Times New Roman" w:cs="Times New Roman"/>
          <w:sz w:val="24"/>
          <w:szCs w:val="24"/>
        </w:rPr>
      </w:pPr>
    </w:p>
    <w:sectPr w:rsidR="00117AEB" w:rsidSect="00EA63C7">
      <w:headerReference w:type="default" r:id="rId20"/>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5B016" w14:textId="77777777" w:rsidR="003A382A" w:rsidRDefault="003A382A" w:rsidP="009B27BE">
      <w:pPr>
        <w:spacing w:after="0" w:line="240" w:lineRule="auto"/>
      </w:pPr>
      <w:r>
        <w:separator/>
      </w:r>
    </w:p>
  </w:endnote>
  <w:endnote w:type="continuationSeparator" w:id="0">
    <w:p w14:paraId="630D6AA2" w14:textId="77777777" w:rsidR="003A382A" w:rsidRDefault="003A382A"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766A2" w14:textId="77777777" w:rsidR="003A382A" w:rsidRDefault="003A382A" w:rsidP="009B27BE">
      <w:pPr>
        <w:spacing w:after="0" w:line="240" w:lineRule="auto"/>
      </w:pPr>
      <w:r>
        <w:separator/>
      </w:r>
    </w:p>
  </w:footnote>
  <w:footnote w:type="continuationSeparator" w:id="0">
    <w:p w14:paraId="2B257E03" w14:textId="77777777" w:rsidR="003A382A" w:rsidRDefault="003A382A" w:rsidP="009B27BE">
      <w:pPr>
        <w:spacing w:after="0" w:line="240" w:lineRule="auto"/>
      </w:pPr>
      <w:r>
        <w:continuationSeparator/>
      </w:r>
    </w:p>
  </w:footnote>
  <w:footnote w:id="1">
    <w:p w14:paraId="5A54F268" w14:textId="05711754" w:rsidR="002C17FB" w:rsidRPr="00B75A54" w:rsidRDefault="002C17FB">
      <w:pPr>
        <w:pStyle w:val="FootnoteText"/>
        <w:rPr>
          <w:rFonts w:ascii="Times New Roman" w:hAnsi="Times New Roman" w:cs="Times New Roman"/>
        </w:rPr>
      </w:pPr>
      <w:r>
        <w:rPr>
          <w:rStyle w:val="FootnoteReference"/>
        </w:rPr>
        <w:t>*</w:t>
      </w:r>
      <w:r w:rsidRPr="00B75A54">
        <w:rPr>
          <w:rFonts w:ascii="Times New Roman" w:hAnsi="Times New Roman" w:cs="Times New Roman"/>
        </w:rPr>
        <w:t xml:space="preserve"> </w:t>
      </w:r>
      <w:hyperlink r:id="rId1" w:history="1">
        <w:r w:rsidRPr="00B75A54">
          <w:rPr>
            <w:rStyle w:val="Hyperlink"/>
            <w:rFonts w:ascii="Times New Roman" w:hAnsi="Times New Roman" w:cs="Times New Roman"/>
          </w:rPr>
          <w:t xml:space="preserve">EBA </w:t>
        </w:r>
        <w:proofErr w:type="spellStart"/>
        <w:r w:rsidRPr="00B75A54">
          <w:rPr>
            <w:rStyle w:val="Hyperlink"/>
            <w:rFonts w:ascii="Times New Roman" w:hAnsi="Times New Roman" w:cs="Times New Roman"/>
          </w:rPr>
          <w:t>final</w:t>
        </w:r>
        <w:proofErr w:type="spellEnd"/>
        <w:r w:rsidRPr="00B75A54">
          <w:rPr>
            <w:rStyle w:val="Hyperlink"/>
            <w:rFonts w:ascii="Times New Roman" w:hAnsi="Times New Roman" w:cs="Times New Roman"/>
          </w:rPr>
          <w:t xml:space="preserve"> RTS </w:t>
        </w:r>
        <w:proofErr w:type="spellStart"/>
        <w:r w:rsidRPr="00B75A54">
          <w:rPr>
            <w:rStyle w:val="Hyperlink"/>
            <w:rFonts w:ascii="Times New Roman" w:hAnsi="Times New Roman" w:cs="Times New Roman"/>
          </w:rPr>
          <w:t>draft</w:t>
        </w:r>
        <w:proofErr w:type="spellEnd"/>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16CEF61"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2B28558C"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E08C5"/>
    <w:multiLevelType w:val="hybridMultilevel"/>
    <w:tmpl w:val="2B5CB720"/>
    <w:lvl w:ilvl="0" w:tplc="FF9A3A7C">
      <w:start w:val="1"/>
      <w:numFmt w:val="bullet"/>
      <w:lvlText w:val=""/>
      <w:lvlJc w:val="left"/>
      <w:pPr>
        <w:ind w:left="1080" w:hanging="360"/>
      </w:pPr>
      <w:rPr>
        <w:rFonts w:ascii="Symbol" w:hAnsi="Symbol"/>
      </w:rPr>
    </w:lvl>
    <w:lvl w:ilvl="1" w:tplc="333E49AA">
      <w:start w:val="1"/>
      <w:numFmt w:val="bullet"/>
      <w:lvlText w:val=""/>
      <w:lvlJc w:val="left"/>
      <w:pPr>
        <w:ind w:left="1080" w:hanging="360"/>
      </w:pPr>
      <w:rPr>
        <w:rFonts w:ascii="Symbol" w:hAnsi="Symbol"/>
      </w:rPr>
    </w:lvl>
    <w:lvl w:ilvl="2" w:tplc="543A8D36">
      <w:start w:val="1"/>
      <w:numFmt w:val="bullet"/>
      <w:lvlText w:val=""/>
      <w:lvlJc w:val="left"/>
      <w:pPr>
        <w:ind w:left="1080" w:hanging="360"/>
      </w:pPr>
      <w:rPr>
        <w:rFonts w:ascii="Symbol" w:hAnsi="Symbol"/>
      </w:rPr>
    </w:lvl>
    <w:lvl w:ilvl="3" w:tplc="F7F03740">
      <w:start w:val="1"/>
      <w:numFmt w:val="bullet"/>
      <w:lvlText w:val=""/>
      <w:lvlJc w:val="left"/>
      <w:pPr>
        <w:ind w:left="1080" w:hanging="360"/>
      </w:pPr>
      <w:rPr>
        <w:rFonts w:ascii="Symbol" w:hAnsi="Symbol"/>
      </w:rPr>
    </w:lvl>
    <w:lvl w:ilvl="4" w:tplc="12300048">
      <w:start w:val="1"/>
      <w:numFmt w:val="bullet"/>
      <w:lvlText w:val=""/>
      <w:lvlJc w:val="left"/>
      <w:pPr>
        <w:ind w:left="1080" w:hanging="360"/>
      </w:pPr>
      <w:rPr>
        <w:rFonts w:ascii="Symbol" w:hAnsi="Symbol"/>
      </w:rPr>
    </w:lvl>
    <w:lvl w:ilvl="5" w:tplc="45426344">
      <w:start w:val="1"/>
      <w:numFmt w:val="bullet"/>
      <w:lvlText w:val=""/>
      <w:lvlJc w:val="left"/>
      <w:pPr>
        <w:ind w:left="1080" w:hanging="360"/>
      </w:pPr>
      <w:rPr>
        <w:rFonts w:ascii="Symbol" w:hAnsi="Symbol"/>
      </w:rPr>
    </w:lvl>
    <w:lvl w:ilvl="6" w:tplc="B2D293B4">
      <w:start w:val="1"/>
      <w:numFmt w:val="bullet"/>
      <w:lvlText w:val=""/>
      <w:lvlJc w:val="left"/>
      <w:pPr>
        <w:ind w:left="1080" w:hanging="360"/>
      </w:pPr>
      <w:rPr>
        <w:rFonts w:ascii="Symbol" w:hAnsi="Symbol"/>
      </w:rPr>
    </w:lvl>
    <w:lvl w:ilvl="7" w:tplc="0960FC6E">
      <w:start w:val="1"/>
      <w:numFmt w:val="bullet"/>
      <w:lvlText w:val=""/>
      <w:lvlJc w:val="left"/>
      <w:pPr>
        <w:ind w:left="1080" w:hanging="360"/>
      </w:pPr>
      <w:rPr>
        <w:rFonts w:ascii="Symbol" w:hAnsi="Symbol"/>
      </w:rPr>
    </w:lvl>
    <w:lvl w:ilvl="8" w:tplc="AABC79D0">
      <w:start w:val="1"/>
      <w:numFmt w:val="bullet"/>
      <w:lvlText w:val=""/>
      <w:lvlJc w:val="left"/>
      <w:pPr>
        <w:ind w:left="1080" w:hanging="360"/>
      </w:pPr>
      <w:rPr>
        <w:rFonts w:ascii="Symbol" w:hAnsi="Symbol"/>
      </w:rPr>
    </w:lvl>
  </w:abstractNum>
  <w:abstractNum w:abstractNumId="1" w15:restartNumberingAfterBreak="0">
    <w:nsid w:val="09D42C67"/>
    <w:multiLevelType w:val="multilevel"/>
    <w:tmpl w:val="1242D246"/>
    <w:lvl w:ilvl="0">
      <w:start w:val="1"/>
      <w:numFmt w:val="decimal"/>
      <w:suff w:val="space"/>
      <w:lvlText w:val="%1."/>
      <w:lvlJc w:val="left"/>
      <w:pPr>
        <w:ind w:left="360" w:hanging="360"/>
      </w:pPr>
      <w:rPr>
        <w:rFonts w:hint="default"/>
      </w:rPr>
    </w:lvl>
    <w:lvl w:ilvl="1">
      <w:start w:val="1"/>
      <w:numFmt w:val="decimal"/>
      <w:lvlText w:val="%2)"/>
      <w:lvlJc w:val="left"/>
      <w:pPr>
        <w:ind w:left="720" w:hanging="360"/>
      </w:p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6D79D8"/>
    <w:multiLevelType w:val="hybridMultilevel"/>
    <w:tmpl w:val="8A0A051C"/>
    <w:lvl w:ilvl="0" w:tplc="3BF6A6A4">
      <w:start w:val="1"/>
      <w:numFmt w:val="decimal"/>
      <w:lvlText w:val="%1."/>
      <w:lvlJc w:val="left"/>
      <w:pPr>
        <w:ind w:left="720" w:hanging="36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1D77741"/>
    <w:multiLevelType w:val="hybridMultilevel"/>
    <w:tmpl w:val="21D8AFA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22F41526"/>
    <w:multiLevelType w:val="hybridMultilevel"/>
    <w:tmpl w:val="B85AEFB4"/>
    <w:lvl w:ilvl="0" w:tplc="9974605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3604522"/>
    <w:multiLevelType w:val="hybridMultilevel"/>
    <w:tmpl w:val="9C82AF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9D427EA"/>
    <w:multiLevelType w:val="hybridMultilevel"/>
    <w:tmpl w:val="C6AC67DC"/>
    <w:lvl w:ilvl="0" w:tplc="EEAAA0B4">
      <w:start w:val="1"/>
      <w:numFmt w:val="decimal"/>
      <w:lvlText w:val="%1)"/>
      <w:lvlJc w:val="left"/>
      <w:pPr>
        <w:ind w:left="1020" w:hanging="360"/>
      </w:pPr>
    </w:lvl>
    <w:lvl w:ilvl="1" w:tplc="B81A76B0">
      <w:start w:val="1"/>
      <w:numFmt w:val="decimal"/>
      <w:lvlText w:val="%2)"/>
      <w:lvlJc w:val="left"/>
      <w:pPr>
        <w:ind w:left="1020" w:hanging="360"/>
      </w:pPr>
    </w:lvl>
    <w:lvl w:ilvl="2" w:tplc="C74E95BA">
      <w:start w:val="1"/>
      <w:numFmt w:val="decimal"/>
      <w:lvlText w:val="%3)"/>
      <w:lvlJc w:val="left"/>
      <w:pPr>
        <w:ind w:left="1020" w:hanging="360"/>
      </w:pPr>
    </w:lvl>
    <w:lvl w:ilvl="3" w:tplc="7F72CE52">
      <w:start w:val="1"/>
      <w:numFmt w:val="decimal"/>
      <w:lvlText w:val="%4)"/>
      <w:lvlJc w:val="left"/>
      <w:pPr>
        <w:ind w:left="1020" w:hanging="360"/>
      </w:pPr>
    </w:lvl>
    <w:lvl w:ilvl="4" w:tplc="94200F2A">
      <w:start w:val="1"/>
      <w:numFmt w:val="decimal"/>
      <w:lvlText w:val="%5)"/>
      <w:lvlJc w:val="left"/>
      <w:pPr>
        <w:ind w:left="1020" w:hanging="360"/>
      </w:pPr>
    </w:lvl>
    <w:lvl w:ilvl="5" w:tplc="1582964E">
      <w:start w:val="1"/>
      <w:numFmt w:val="decimal"/>
      <w:lvlText w:val="%6)"/>
      <w:lvlJc w:val="left"/>
      <w:pPr>
        <w:ind w:left="1020" w:hanging="360"/>
      </w:pPr>
    </w:lvl>
    <w:lvl w:ilvl="6" w:tplc="BF628696">
      <w:start w:val="1"/>
      <w:numFmt w:val="decimal"/>
      <w:lvlText w:val="%7)"/>
      <w:lvlJc w:val="left"/>
      <w:pPr>
        <w:ind w:left="1020" w:hanging="360"/>
      </w:pPr>
    </w:lvl>
    <w:lvl w:ilvl="7" w:tplc="B786092C">
      <w:start w:val="1"/>
      <w:numFmt w:val="decimal"/>
      <w:lvlText w:val="%8)"/>
      <w:lvlJc w:val="left"/>
      <w:pPr>
        <w:ind w:left="1020" w:hanging="360"/>
      </w:pPr>
    </w:lvl>
    <w:lvl w:ilvl="8" w:tplc="1A28D7F8">
      <w:start w:val="1"/>
      <w:numFmt w:val="decimal"/>
      <w:lvlText w:val="%9)"/>
      <w:lvlJc w:val="left"/>
      <w:pPr>
        <w:ind w:left="1020" w:hanging="360"/>
      </w:pPr>
    </w:lvl>
  </w:abstractNum>
  <w:abstractNum w:abstractNumId="7" w15:restartNumberingAfterBreak="0">
    <w:nsid w:val="4B234BF6"/>
    <w:multiLevelType w:val="hybridMultilevel"/>
    <w:tmpl w:val="32B25E3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0576AA8"/>
    <w:multiLevelType w:val="hybridMultilevel"/>
    <w:tmpl w:val="BD4CBBF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2B94E42"/>
    <w:multiLevelType w:val="hybridMultilevel"/>
    <w:tmpl w:val="8A5C700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3BB7D32"/>
    <w:multiLevelType w:val="multilevel"/>
    <w:tmpl w:val="BD9232F4"/>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2."/>
      <w:lvlJc w:val="left"/>
      <w:pPr>
        <w:ind w:left="0" w:firstLine="0"/>
      </w:pPr>
      <w:rPr>
        <w:rFonts w:ascii="Times New Roman" w:eastAsia="Times New Roman" w:hAnsi="Times New Roman" w:cs="Times New Roman"/>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7354528"/>
    <w:multiLevelType w:val="hybridMultilevel"/>
    <w:tmpl w:val="CD76D8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9774DA3"/>
    <w:multiLevelType w:val="hybridMultilevel"/>
    <w:tmpl w:val="32B25E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E26779B"/>
    <w:multiLevelType w:val="hybridMultilevel"/>
    <w:tmpl w:val="6DF4AF22"/>
    <w:lvl w:ilvl="0" w:tplc="04260011">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 w15:restartNumberingAfterBreak="0">
    <w:nsid w:val="74E552B3"/>
    <w:multiLevelType w:val="hybridMultilevel"/>
    <w:tmpl w:val="DA0ECDBC"/>
    <w:lvl w:ilvl="0" w:tplc="29FCEB92">
      <w:start w:val="1"/>
      <w:numFmt w:val="decimal"/>
      <w:lvlText w:val="%1)"/>
      <w:lvlJc w:val="left"/>
      <w:pPr>
        <w:ind w:left="720" w:hanging="360"/>
      </w:pPr>
    </w:lvl>
    <w:lvl w:ilvl="1" w:tplc="C58E674C">
      <w:start w:val="1"/>
      <w:numFmt w:val="decimal"/>
      <w:lvlText w:val="%2)"/>
      <w:lvlJc w:val="left"/>
      <w:pPr>
        <w:ind w:left="720" w:hanging="360"/>
      </w:pPr>
    </w:lvl>
    <w:lvl w:ilvl="2" w:tplc="5B321DAC">
      <w:start w:val="1"/>
      <w:numFmt w:val="decimal"/>
      <w:lvlText w:val="%3)"/>
      <w:lvlJc w:val="left"/>
      <w:pPr>
        <w:ind w:left="720" w:hanging="360"/>
      </w:pPr>
    </w:lvl>
    <w:lvl w:ilvl="3" w:tplc="93D87456">
      <w:start w:val="1"/>
      <w:numFmt w:val="decimal"/>
      <w:lvlText w:val="%4)"/>
      <w:lvlJc w:val="left"/>
      <w:pPr>
        <w:ind w:left="720" w:hanging="360"/>
      </w:pPr>
    </w:lvl>
    <w:lvl w:ilvl="4" w:tplc="902C495A">
      <w:start w:val="1"/>
      <w:numFmt w:val="decimal"/>
      <w:lvlText w:val="%5)"/>
      <w:lvlJc w:val="left"/>
      <w:pPr>
        <w:ind w:left="720" w:hanging="360"/>
      </w:pPr>
    </w:lvl>
    <w:lvl w:ilvl="5" w:tplc="5F165E9C">
      <w:start w:val="1"/>
      <w:numFmt w:val="decimal"/>
      <w:lvlText w:val="%6)"/>
      <w:lvlJc w:val="left"/>
      <w:pPr>
        <w:ind w:left="720" w:hanging="360"/>
      </w:pPr>
    </w:lvl>
    <w:lvl w:ilvl="6" w:tplc="18585F2A">
      <w:start w:val="1"/>
      <w:numFmt w:val="decimal"/>
      <w:lvlText w:val="%7)"/>
      <w:lvlJc w:val="left"/>
      <w:pPr>
        <w:ind w:left="720" w:hanging="360"/>
      </w:pPr>
    </w:lvl>
    <w:lvl w:ilvl="7" w:tplc="5B3A4F9A">
      <w:start w:val="1"/>
      <w:numFmt w:val="decimal"/>
      <w:lvlText w:val="%8)"/>
      <w:lvlJc w:val="left"/>
      <w:pPr>
        <w:ind w:left="720" w:hanging="360"/>
      </w:pPr>
    </w:lvl>
    <w:lvl w:ilvl="8" w:tplc="1A84A82C">
      <w:start w:val="1"/>
      <w:numFmt w:val="decimal"/>
      <w:lvlText w:val="%9)"/>
      <w:lvlJc w:val="left"/>
      <w:pPr>
        <w:ind w:left="720" w:hanging="360"/>
      </w:pPr>
    </w:lvl>
  </w:abstractNum>
  <w:abstractNum w:abstractNumId="16" w15:restartNumberingAfterBreak="0">
    <w:nsid w:val="76E8661E"/>
    <w:multiLevelType w:val="hybridMultilevel"/>
    <w:tmpl w:val="C12C46FA"/>
    <w:lvl w:ilvl="0" w:tplc="6E82F040">
      <w:start w:val="1"/>
      <w:numFmt w:val="decimal"/>
      <w:lvlText w:val="%1)"/>
      <w:lvlJc w:val="left"/>
      <w:pPr>
        <w:ind w:left="720" w:hanging="360"/>
      </w:pPr>
    </w:lvl>
    <w:lvl w:ilvl="1" w:tplc="4DCA99EC">
      <w:start w:val="1"/>
      <w:numFmt w:val="decimal"/>
      <w:lvlText w:val="%2)"/>
      <w:lvlJc w:val="left"/>
      <w:pPr>
        <w:ind w:left="720" w:hanging="360"/>
      </w:pPr>
    </w:lvl>
    <w:lvl w:ilvl="2" w:tplc="82D49E20">
      <w:start w:val="1"/>
      <w:numFmt w:val="decimal"/>
      <w:lvlText w:val="%3)"/>
      <w:lvlJc w:val="left"/>
      <w:pPr>
        <w:ind w:left="720" w:hanging="360"/>
      </w:pPr>
    </w:lvl>
    <w:lvl w:ilvl="3" w:tplc="ABA8F3CA">
      <w:start w:val="1"/>
      <w:numFmt w:val="decimal"/>
      <w:lvlText w:val="%4)"/>
      <w:lvlJc w:val="left"/>
      <w:pPr>
        <w:ind w:left="720" w:hanging="360"/>
      </w:pPr>
    </w:lvl>
    <w:lvl w:ilvl="4" w:tplc="4132AFD0">
      <w:start w:val="1"/>
      <w:numFmt w:val="decimal"/>
      <w:lvlText w:val="%5)"/>
      <w:lvlJc w:val="left"/>
      <w:pPr>
        <w:ind w:left="720" w:hanging="360"/>
      </w:pPr>
    </w:lvl>
    <w:lvl w:ilvl="5" w:tplc="635A004C">
      <w:start w:val="1"/>
      <w:numFmt w:val="decimal"/>
      <w:lvlText w:val="%6)"/>
      <w:lvlJc w:val="left"/>
      <w:pPr>
        <w:ind w:left="720" w:hanging="360"/>
      </w:pPr>
    </w:lvl>
    <w:lvl w:ilvl="6" w:tplc="B7A6021E">
      <w:start w:val="1"/>
      <w:numFmt w:val="decimal"/>
      <w:lvlText w:val="%7)"/>
      <w:lvlJc w:val="left"/>
      <w:pPr>
        <w:ind w:left="720" w:hanging="360"/>
      </w:pPr>
    </w:lvl>
    <w:lvl w:ilvl="7" w:tplc="909EA4E8">
      <w:start w:val="1"/>
      <w:numFmt w:val="decimal"/>
      <w:lvlText w:val="%8)"/>
      <w:lvlJc w:val="left"/>
      <w:pPr>
        <w:ind w:left="720" w:hanging="360"/>
      </w:pPr>
    </w:lvl>
    <w:lvl w:ilvl="8" w:tplc="ECA63176">
      <w:start w:val="1"/>
      <w:numFmt w:val="decimal"/>
      <w:lvlText w:val="%9)"/>
      <w:lvlJc w:val="left"/>
      <w:pPr>
        <w:ind w:left="720" w:hanging="360"/>
      </w:pPr>
    </w:lvl>
  </w:abstractNum>
  <w:abstractNum w:abstractNumId="17" w15:restartNumberingAfterBreak="0">
    <w:nsid w:val="77E00F55"/>
    <w:multiLevelType w:val="hybridMultilevel"/>
    <w:tmpl w:val="A3A0DD00"/>
    <w:lvl w:ilvl="0" w:tplc="FFFFFFF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26534662">
    <w:abstractNumId w:val="14"/>
  </w:num>
  <w:num w:numId="2" w16cid:durableId="1583830091">
    <w:abstractNumId w:val="3"/>
  </w:num>
  <w:num w:numId="3" w16cid:durableId="807209601">
    <w:abstractNumId w:val="7"/>
  </w:num>
  <w:num w:numId="4" w16cid:durableId="540633807">
    <w:abstractNumId w:val="11"/>
  </w:num>
  <w:num w:numId="5" w16cid:durableId="253784293">
    <w:abstractNumId w:val="12"/>
  </w:num>
  <w:num w:numId="6" w16cid:durableId="560795264">
    <w:abstractNumId w:val="13"/>
  </w:num>
  <w:num w:numId="7" w16cid:durableId="451870917">
    <w:abstractNumId w:val="5"/>
  </w:num>
  <w:num w:numId="8" w16cid:durableId="1750038345">
    <w:abstractNumId w:val="17"/>
  </w:num>
  <w:num w:numId="9" w16cid:durableId="1432817280">
    <w:abstractNumId w:val="0"/>
  </w:num>
  <w:num w:numId="10" w16cid:durableId="1823155602">
    <w:abstractNumId w:val="6"/>
  </w:num>
  <w:num w:numId="11" w16cid:durableId="144664670">
    <w:abstractNumId w:val="15"/>
  </w:num>
  <w:num w:numId="12" w16cid:durableId="1727797654">
    <w:abstractNumId w:val="16"/>
  </w:num>
  <w:num w:numId="13" w16cid:durableId="492919115">
    <w:abstractNumId w:val="2"/>
  </w:num>
  <w:num w:numId="14" w16cid:durableId="997735569">
    <w:abstractNumId w:val="9"/>
  </w:num>
  <w:num w:numId="15" w16cid:durableId="1957129373">
    <w:abstractNumId w:val="10"/>
  </w:num>
  <w:num w:numId="16" w16cid:durableId="934171199">
    <w:abstractNumId w:val="8"/>
  </w:num>
  <w:num w:numId="17" w16cid:durableId="221797987">
    <w:abstractNumId w:val="4"/>
  </w:num>
  <w:num w:numId="18" w16cid:durableId="462120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C3F"/>
    <w:rsid w:val="00000C9D"/>
    <w:rsid w:val="00002DB1"/>
    <w:rsid w:val="00005BDC"/>
    <w:rsid w:val="00007438"/>
    <w:rsid w:val="00025C77"/>
    <w:rsid w:val="000263F5"/>
    <w:rsid w:val="000308E6"/>
    <w:rsid w:val="0004322E"/>
    <w:rsid w:val="00043943"/>
    <w:rsid w:val="000559E4"/>
    <w:rsid w:val="00056376"/>
    <w:rsid w:val="000568BB"/>
    <w:rsid w:val="00073467"/>
    <w:rsid w:val="00073766"/>
    <w:rsid w:val="00077089"/>
    <w:rsid w:val="00083F73"/>
    <w:rsid w:val="000843DF"/>
    <w:rsid w:val="000849A3"/>
    <w:rsid w:val="00084A37"/>
    <w:rsid w:val="0008510E"/>
    <w:rsid w:val="0009347B"/>
    <w:rsid w:val="00094877"/>
    <w:rsid w:val="0009616F"/>
    <w:rsid w:val="000A1EC9"/>
    <w:rsid w:val="000B1F2D"/>
    <w:rsid w:val="000B4E0A"/>
    <w:rsid w:val="000B54A4"/>
    <w:rsid w:val="000D2951"/>
    <w:rsid w:val="000D59F4"/>
    <w:rsid w:val="000E0B2C"/>
    <w:rsid w:val="000F160F"/>
    <w:rsid w:val="000F4FE6"/>
    <w:rsid w:val="00100D2F"/>
    <w:rsid w:val="00101EB4"/>
    <w:rsid w:val="001057CE"/>
    <w:rsid w:val="00107E9B"/>
    <w:rsid w:val="00117AEB"/>
    <w:rsid w:val="00120EBA"/>
    <w:rsid w:val="001306A0"/>
    <w:rsid w:val="00132070"/>
    <w:rsid w:val="00133F6A"/>
    <w:rsid w:val="0013690F"/>
    <w:rsid w:val="00143A48"/>
    <w:rsid w:val="00143C51"/>
    <w:rsid w:val="00152AF2"/>
    <w:rsid w:val="001557F7"/>
    <w:rsid w:val="00160BDE"/>
    <w:rsid w:val="00162E14"/>
    <w:rsid w:val="001655B7"/>
    <w:rsid w:val="001712A3"/>
    <w:rsid w:val="00174FE8"/>
    <w:rsid w:val="001839A9"/>
    <w:rsid w:val="00196D36"/>
    <w:rsid w:val="001A5171"/>
    <w:rsid w:val="001C0E7F"/>
    <w:rsid w:val="001D0102"/>
    <w:rsid w:val="001D13EE"/>
    <w:rsid w:val="001D607C"/>
    <w:rsid w:val="001D72FD"/>
    <w:rsid w:val="001D73A3"/>
    <w:rsid w:val="001E06B5"/>
    <w:rsid w:val="001E3A64"/>
    <w:rsid w:val="001E55E4"/>
    <w:rsid w:val="001F3BDD"/>
    <w:rsid w:val="00202A1B"/>
    <w:rsid w:val="00203C03"/>
    <w:rsid w:val="0021170F"/>
    <w:rsid w:val="00225195"/>
    <w:rsid w:val="0024758E"/>
    <w:rsid w:val="0025505D"/>
    <w:rsid w:val="002575F8"/>
    <w:rsid w:val="00260ED6"/>
    <w:rsid w:val="002644CD"/>
    <w:rsid w:val="00271001"/>
    <w:rsid w:val="002713BA"/>
    <w:rsid w:val="00286EC7"/>
    <w:rsid w:val="0029333D"/>
    <w:rsid w:val="002A2899"/>
    <w:rsid w:val="002B2C4F"/>
    <w:rsid w:val="002B2D61"/>
    <w:rsid w:val="002C17FB"/>
    <w:rsid w:val="002C1A5C"/>
    <w:rsid w:val="002C576C"/>
    <w:rsid w:val="002D4B64"/>
    <w:rsid w:val="002D54F5"/>
    <w:rsid w:val="002E22F2"/>
    <w:rsid w:val="002F67D6"/>
    <w:rsid w:val="00300DAE"/>
    <w:rsid w:val="0030104E"/>
    <w:rsid w:val="00301704"/>
    <w:rsid w:val="00303E45"/>
    <w:rsid w:val="003070FF"/>
    <w:rsid w:val="00314AC9"/>
    <w:rsid w:val="003255C8"/>
    <w:rsid w:val="00325B5D"/>
    <w:rsid w:val="003344C2"/>
    <w:rsid w:val="0033540F"/>
    <w:rsid w:val="003535C9"/>
    <w:rsid w:val="0035419A"/>
    <w:rsid w:val="00356ACD"/>
    <w:rsid w:val="00361919"/>
    <w:rsid w:val="0036355F"/>
    <w:rsid w:val="003646EC"/>
    <w:rsid w:val="003654D7"/>
    <w:rsid w:val="00365522"/>
    <w:rsid w:val="003663C8"/>
    <w:rsid w:val="0037034B"/>
    <w:rsid w:val="003774D8"/>
    <w:rsid w:val="003777CB"/>
    <w:rsid w:val="0038059B"/>
    <w:rsid w:val="003830EB"/>
    <w:rsid w:val="00395B8E"/>
    <w:rsid w:val="00397965"/>
    <w:rsid w:val="003A382A"/>
    <w:rsid w:val="003A64E1"/>
    <w:rsid w:val="003B2243"/>
    <w:rsid w:val="003B2F03"/>
    <w:rsid w:val="003B481B"/>
    <w:rsid w:val="003D06FC"/>
    <w:rsid w:val="00406A33"/>
    <w:rsid w:val="00415227"/>
    <w:rsid w:val="00420FE9"/>
    <w:rsid w:val="004215BC"/>
    <w:rsid w:val="00423739"/>
    <w:rsid w:val="004259ED"/>
    <w:rsid w:val="004262D5"/>
    <w:rsid w:val="00436244"/>
    <w:rsid w:val="00436AC6"/>
    <w:rsid w:val="00440240"/>
    <w:rsid w:val="004451BE"/>
    <w:rsid w:val="00445C89"/>
    <w:rsid w:val="00447B17"/>
    <w:rsid w:val="0045001A"/>
    <w:rsid w:val="004530CB"/>
    <w:rsid w:val="00462DE4"/>
    <w:rsid w:val="00465DCE"/>
    <w:rsid w:val="004669EE"/>
    <w:rsid w:val="00472784"/>
    <w:rsid w:val="00473387"/>
    <w:rsid w:val="00474C3F"/>
    <w:rsid w:val="00474D30"/>
    <w:rsid w:val="00481104"/>
    <w:rsid w:val="0049248A"/>
    <w:rsid w:val="00492ED8"/>
    <w:rsid w:val="00494DA2"/>
    <w:rsid w:val="00494DB8"/>
    <w:rsid w:val="0049785C"/>
    <w:rsid w:val="004A5D13"/>
    <w:rsid w:val="004B50A3"/>
    <w:rsid w:val="004B6B6B"/>
    <w:rsid w:val="004B71FC"/>
    <w:rsid w:val="004C329A"/>
    <w:rsid w:val="004C63E5"/>
    <w:rsid w:val="004D341F"/>
    <w:rsid w:val="004E117F"/>
    <w:rsid w:val="004F0103"/>
    <w:rsid w:val="004F0ACC"/>
    <w:rsid w:val="004F18F1"/>
    <w:rsid w:val="004F292F"/>
    <w:rsid w:val="004F6E33"/>
    <w:rsid w:val="00516429"/>
    <w:rsid w:val="00520F8F"/>
    <w:rsid w:val="005257FD"/>
    <w:rsid w:val="00532EBA"/>
    <w:rsid w:val="005350E3"/>
    <w:rsid w:val="00536845"/>
    <w:rsid w:val="005445EF"/>
    <w:rsid w:val="00545668"/>
    <w:rsid w:val="005525B8"/>
    <w:rsid w:val="00556358"/>
    <w:rsid w:val="00562FBB"/>
    <w:rsid w:val="005648EF"/>
    <w:rsid w:val="00583825"/>
    <w:rsid w:val="0058668C"/>
    <w:rsid w:val="00594EC9"/>
    <w:rsid w:val="005A1487"/>
    <w:rsid w:val="005A1C7D"/>
    <w:rsid w:val="005A2EEA"/>
    <w:rsid w:val="005A35A2"/>
    <w:rsid w:val="005A5B34"/>
    <w:rsid w:val="005A7EAB"/>
    <w:rsid w:val="005B0122"/>
    <w:rsid w:val="005B3E28"/>
    <w:rsid w:val="005B6EAB"/>
    <w:rsid w:val="005C19EB"/>
    <w:rsid w:val="005C4BE1"/>
    <w:rsid w:val="005C63CD"/>
    <w:rsid w:val="005D3661"/>
    <w:rsid w:val="005E3505"/>
    <w:rsid w:val="005F2B32"/>
    <w:rsid w:val="006000F6"/>
    <w:rsid w:val="0060016E"/>
    <w:rsid w:val="00602FE5"/>
    <w:rsid w:val="00603119"/>
    <w:rsid w:val="0060626A"/>
    <w:rsid w:val="00612ECF"/>
    <w:rsid w:val="00616F32"/>
    <w:rsid w:val="00627EEA"/>
    <w:rsid w:val="00630969"/>
    <w:rsid w:val="00630B8B"/>
    <w:rsid w:val="00636A32"/>
    <w:rsid w:val="00642172"/>
    <w:rsid w:val="00642FF5"/>
    <w:rsid w:val="00644912"/>
    <w:rsid w:val="00675332"/>
    <w:rsid w:val="00676D9A"/>
    <w:rsid w:val="0067706F"/>
    <w:rsid w:val="00684A21"/>
    <w:rsid w:val="006858E6"/>
    <w:rsid w:val="006907E2"/>
    <w:rsid w:val="006930AB"/>
    <w:rsid w:val="0069410B"/>
    <w:rsid w:val="00694B65"/>
    <w:rsid w:val="00695642"/>
    <w:rsid w:val="00696B48"/>
    <w:rsid w:val="006A5FCD"/>
    <w:rsid w:val="006B3F31"/>
    <w:rsid w:val="006C641C"/>
    <w:rsid w:val="006E13B3"/>
    <w:rsid w:val="006E386F"/>
    <w:rsid w:val="006E4B12"/>
    <w:rsid w:val="00700949"/>
    <w:rsid w:val="00706BA4"/>
    <w:rsid w:val="00713B89"/>
    <w:rsid w:val="0071456F"/>
    <w:rsid w:val="00724B80"/>
    <w:rsid w:val="00730BAB"/>
    <w:rsid w:val="00736043"/>
    <w:rsid w:val="00756820"/>
    <w:rsid w:val="00762371"/>
    <w:rsid w:val="00764172"/>
    <w:rsid w:val="0076476B"/>
    <w:rsid w:val="007678C9"/>
    <w:rsid w:val="0077245D"/>
    <w:rsid w:val="007758DF"/>
    <w:rsid w:val="007758E7"/>
    <w:rsid w:val="0078098C"/>
    <w:rsid w:val="00790CDB"/>
    <w:rsid w:val="007915FA"/>
    <w:rsid w:val="00793B90"/>
    <w:rsid w:val="007A6661"/>
    <w:rsid w:val="007B0A2F"/>
    <w:rsid w:val="007C59E0"/>
    <w:rsid w:val="007E313B"/>
    <w:rsid w:val="007E734D"/>
    <w:rsid w:val="007F1255"/>
    <w:rsid w:val="007F3E20"/>
    <w:rsid w:val="007F5EF6"/>
    <w:rsid w:val="00801459"/>
    <w:rsid w:val="0080275F"/>
    <w:rsid w:val="00802B18"/>
    <w:rsid w:val="00810362"/>
    <w:rsid w:val="00812985"/>
    <w:rsid w:val="0081742D"/>
    <w:rsid w:val="0082058A"/>
    <w:rsid w:val="0083759B"/>
    <w:rsid w:val="00837616"/>
    <w:rsid w:val="00862563"/>
    <w:rsid w:val="0086365C"/>
    <w:rsid w:val="008662A1"/>
    <w:rsid w:val="0087393B"/>
    <w:rsid w:val="0088497E"/>
    <w:rsid w:val="00885C5A"/>
    <w:rsid w:val="008869DD"/>
    <w:rsid w:val="008A2EC8"/>
    <w:rsid w:val="008A566A"/>
    <w:rsid w:val="008B0572"/>
    <w:rsid w:val="008B5056"/>
    <w:rsid w:val="008C720F"/>
    <w:rsid w:val="008D4181"/>
    <w:rsid w:val="008D60CC"/>
    <w:rsid w:val="008E233B"/>
    <w:rsid w:val="008F550D"/>
    <w:rsid w:val="009015D5"/>
    <w:rsid w:val="00903470"/>
    <w:rsid w:val="00903E56"/>
    <w:rsid w:val="00906FF7"/>
    <w:rsid w:val="00920831"/>
    <w:rsid w:val="009255D5"/>
    <w:rsid w:val="009269B6"/>
    <w:rsid w:val="0093057A"/>
    <w:rsid w:val="00936DDB"/>
    <w:rsid w:val="0094347A"/>
    <w:rsid w:val="0094597E"/>
    <w:rsid w:val="00951E5E"/>
    <w:rsid w:val="0096105D"/>
    <w:rsid w:val="0096381D"/>
    <w:rsid w:val="0096445A"/>
    <w:rsid w:val="00964E44"/>
    <w:rsid w:val="00967200"/>
    <w:rsid w:val="009711D8"/>
    <w:rsid w:val="009726AB"/>
    <w:rsid w:val="0097497F"/>
    <w:rsid w:val="00975644"/>
    <w:rsid w:val="0097774C"/>
    <w:rsid w:val="00982FF1"/>
    <w:rsid w:val="00987A50"/>
    <w:rsid w:val="00993D5E"/>
    <w:rsid w:val="00994EC4"/>
    <w:rsid w:val="00997DF2"/>
    <w:rsid w:val="009A00B6"/>
    <w:rsid w:val="009A3354"/>
    <w:rsid w:val="009A4993"/>
    <w:rsid w:val="009B0B60"/>
    <w:rsid w:val="009B145B"/>
    <w:rsid w:val="009B27BE"/>
    <w:rsid w:val="009C33EC"/>
    <w:rsid w:val="009C52B4"/>
    <w:rsid w:val="009C6ECD"/>
    <w:rsid w:val="009D3C0D"/>
    <w:rsid w:val="009D3FE5"/>
    <w:rsid w:val="009D69BC"/>
    <w:rsid w:val="009D6D14"/>
    <w:rsid w:val="009E5466"/>
    <w:rsid w:val="009E7289"/>
    <w:rsid w:val="009F2C2B"/>
    <w:rsid w:val="009F7082"/>
    <w:rsid w:val="00A00DBA"/>
    <w:rsid w:val="00A0254C"/>
    <w:rsid w:val="00A04181"/>
    <w:rsid w:val="00A0418B"/>
    <w:rsid w:val="00A056D8"/>
    <w:rsid w:val="00A072AA"/>
    <w:rsid w:val="00A13A06"/>
    <w:rsid w:val="00A13C7A"/>
    <w:rsid w:val="00A14F30"/>
    <w:rsid w:val="00A15E41"/>
    <w:rsid w:val="00A211B2"/>
    <w:rsid w:val="00A23DED"/>
    <w:rsid w:val="00A25744"/>
    <w:rsid w:val="00A26017"/>
    <w:rsid w:val="00A36170"/>
    <w:rsid w:val="00A42788"/>
    <w:rsid w:val="00A44EB3"/>
    <w:rsid w:val="00A50CFA"/>
    <w:rsid w:val="00A51DF5"/>
    <w:rsid w:val="00A65785"/>
    <w:rsid w:val="00A71EAA"/>
    <w:rsid w:val="00A739DC"/>
    <w:rsid w:val="00A80308"/>
    <w:rsid w:val="00A83482"/>
    <w:rsid w:val="00A87CBC"/>
    <w:rsid w:val="00A90376"/>
    <w:rsid w:val="00A92051"/>
    <w:rsid w:val="00A933A7"/>
    <w:rsid w:val="00AA782E"/>
    <w:rsid w:val="00AB107B"/>
    <w:rsid w:val="00AB7144"/>
    <w:rsid w:val="00AB73AD"/>
    <w:rsid w:val="00AC1DF1"/>
    <w:rsid w:val="00AC3188"/>
    <w:rsid w:val="00AC4143"/>
    <w:rsid w:val="00AC7B58"/>
    <w:rsid w:val="00AD0E9E"/>
    <w:rsid w:val="00AD34CE"/>
    <w:rsid w:val="00AE0A39"/>
    <w:rsid w:val="00AE1383"/>
    <w:rsid w:val="00AE4DA0"/>
    <w:rsid w:val="00AF6A2B"/>
    <w:rsid w:val="00B00638"/>
    <w:rsid w:val="00B041A2"/>
    <w:rsid w:val="00B065F0"/>
    <w:rsid w:val="00B075DA"/>
    <w:rsid w:val="00B107D6"/>
    <w:rsid w:val="00B2321C"/>
    <w:rsid w:val="00B239A5"/>
    <w:rsid w:val="00B3728B"/>
    <w:rsid w:val="00B37C7C"/>
    <w:rsid w:val="00B4162A"/>
    <w:rsid w:val="00B43393"/>
    <w:rsid w:val="00B434A6"/>
    <w:rsid w:val="00B53D44"/>
    <w:rsid w:val="00B54208"/>
    <w:rsid w:val="00B60EAF"/>
    <w:rsid w:val="00B62244"/>
    <w:rsid w:val="00B64ECD"/>
    <w:rsid w:val="00B67E2F"/>
    <w:rsid w:val="00B72828"/>
    <w:rsid w:val="00B73872"/>
    <w:rsid w:val="00B75A54"/>
    <w:rsid w:val="00B76BBE"/>
    <w:rsid w:val="00B803E7"/>
    <w:rsid w:val="00B916CF"/>
    <w:rsid w:val="00B94A53"/>
    <w:rsid w:val="00B95DAB"/>
    <w:rsid w:val="00BA305B"/>
    <w:rsid w:val="00BA5682"/>
    <w:rsid w:val="00BA5EAE"/>
    <w:rsid w:val="00BC0630"/>
    <w:rsid w:val="00BC6ACC"/>
    <w:rsid w:val="00BD08B3"/>
    <w:rsid w:val="00BD2000"/>
    <w:rsid w:val="00BE6798"/>
    <w:rsid w:val="00BF04C7"/>
    <w:rsid w:val="00BF5789"/>
    <w:rsid w:val="00C0501A"/>
    <w:rsid w:val="00C1503D"/>
    <w:rsid w:val="00C26CE9"/>
    <w:rsid w:val="00C353CD"/>
    <w:rsid w:val="00C41DA9"/>
    <w:rsid w:val="00C41DCD"/>
    <w:rsid w:val="00C42A61"/>
    <w:rsid w:val="00C61831"/>
    <w:rsid w:val="00C668FF"/>
    <w:rsid w:val="00C717C8"/>
    <w:rsid w:val="00C7715D"/>
    <w:rsid w:val="00C82E2E"/>
    <w:rsid w:val="00C85C34"/>
    <w:rsid w:val="00C96350"/>
    <w:rsid w:val="00CA28AB"/>
    <w:rsid w:val="00CB0CFE"/>
    <w:rsid w:val="00CC563E"/>
    <w:rsid w:val="00CC7B37"/>
    <w:rsid w:val="00CD0CBB"/>
    <w:rsid w:val="00CD559D"/>
    <w:rsid w:val="00CE174C"/>
    <w:rsid w:val="00CE3499"/>
    <w:rsid w:val="00CE3CB6"/>
    <w:rsid w:val="00CE60D7"/>
    <w:rsid w:val="00CF1C02"/>
    <w:rsid w:val="00D01185"/>
    <w:rsid w:val="00D16C76"/>
    <w:rsid w:val="00D178C8"/>
    <w:rsid w:val="00D17D5D"/>
    <w:rsid w:val="00D200B2"/>
    <w:rsid w:val="00D31810"/>
    <w:rsid w:val="00D32FB0"/>
    <w:rsid w:val="00D40E43"/>
    <w:rsid w:val="00D41997"/>
    <w:rsid w:val="00D45853"/>
    <w:rsid w:val="00D508D3"/>
    <w:rsid w:val="00D5290E"/>
    <w:rsid w:val="00D57820"/>
    <w:rsid w:val="00D623DE"/>
    <w:rsid w:val="00D63BB8"/>
    <w:rsid w:val="00D8080E"/>
    <w:rsid w:val="00D83195"/>
    <w:rsid w:val="00D841C8"/>
    <w:rsid w:val="00D85121"/>
    <w:rsid w:val="00DA46DB"/>
    <w:rsid w:val="00DA7789"/>
    <w:rsid w:val="00DB1934"/>
    <w:rsid w:val="00DC1299"/>
    <w:rsid w:val="00DC4634"/>
    <w:rsid w:val="00DD1A68"/>
    <w:rsid w:val="00DF0840"/>
    <w:rsid w:val="00E02510"/>
    <w:rsid w:val="00E0270F"/>
    <w:rsid w:val="00E04474"/>
    <w:rsid w:val="00E0587A"/>
    <w:rsid w:val="00E14192"/>
    <w:rsid w:val="00E163D6"/>
    <w:rsid w:val="00E253DA"/>
    <w:rsid w:val="00E25E2C"/>
    <w:rsid w:val="00E31C38"/>
    <w:rsid w:val="00E372A4"/>
    <w:rsid w:val="00E4677D"/>
    <w:rsid w:val="00E47CCB"/>
    <w:rsid w:val="00E50524"/>
    <w:rsid w:val="00E52001"/>
    <w:rsid w:val="00E53DE9"/>
    <w:rsid w:val="00E60064"/>
    <w:rsid w:val="00E64851"/>
    <w:rsid w:val="00E65761"/>
    <w:rsid w:val="00E65B14"/>
    <w:rsid w:val="00E7042C"/>
    <w:rsid w:val="00E72575"/>
    <w:rsid w:val="00E753C1"/>
    <w:rsid w:val="00E878F5"/>
    <w:rsid w:val="00EA017F"/>
    <w:rsid w:val="00EA1316"/>
    <w:rsid w:val="00EA1AC6"/>
    <w:rsid w:val="00EA27BD"/>
    <w:rsid w:val="00EA2873"/>
    <w:rsid w:val="00EA4B8B"/>
    <w:rsid w:val="00EA63C7"/>
    <w:rsid w:val="00EA724F"/>
    <w:rsid w:val="00EB261C"/>
    <w:rsid w:val="00EB5215"/>
    <w:rsid w:val="00EC2700"/>
    <w:rsid w:val="00ED0E10"/>
    <w:rsid w:val="00ED24EF"/>
    <w:rsid w:val="00ED564F"/>
    <w:rsid w:val="00ED6BC6"/>
    <w:rsid w:val="00EE0D14"/>
    <w:rsid w:val="00EE0FEE"/>
    <w:rsid w:val="00EE4DDB"/>
    <w:rsid w:val="00EF13B5"/>
    <w:rsid w:val="00EF2A94"/>
    <w:rsid w:val="00EF330D"/>
    <w:rsid w:val="00EF6F5C"/>
    <w:rsid w:val="00F01807"/>
    <w:rsid w:val="00F051BB"/>
    <w:rsid w:val="00F20736"/>
    <w:rsid w:val="00F23743"/>
    <w:rsid w:val="00F31522"/>
    <w:rsid w:val="00F31C7B"/>
    <w:rsid w:val="00F33A1D"/>
    <w:rsid w:val="00F36C63"/>
    <w:rsid w:val="00F37991"/>
    <w:rsid w:val="00F54163"/>
    <w:rsid w:val="00F56FFA"/>
    <w:rsid w:val="00F72063"/>
    <w:rsid w:val="00F72CC8"/>
    <w:rsid w:val="00F850D0"/>
    <w:rsid w:val="00F86E08"/>
    <w:rsid w:val="00F942E9"/>
    <w:rsid w:val="00FA0B1B"/>
    <w:rsid w:val="00FA4B91"/>
    <w:rsid w:val="00FA4D7E"/>
    <w:rsid w:val="00FB4507"/>
    <w:rsid w:val="00FC2161"/>
    <w:rsid w:val="00FC63A1"/>
    <w:rsid w:val="00FD19D9"/>
    <w:rsid w:val="00FD1E26"/>
    <w:rsid w:val="00FD1EBF"/>
    <w:rsid w:val="00FD2EB6"/>
    <w:rsid w:val="00FD5114"/>
    <w:rsid w:val="00FF68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BD802"/>
  <w15:chartTrackingRefBased/>
  <w15:docId w15:val="{BF3AEF5F-0B78-44EC-9C69-465F86853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4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612ECF"/>
    <w:pPr>
      <w:ind w:left="720"/>
      <w:contextualSpacing/>
    </w:pPr>
  </w:style>
  <w:style w:type="paragraph" w:customStyle="1" w:styleId="doc-ti">
    <w:name w:val="doc-ti"/>
    <w:basedOn w:val="Normal"/>
    <w:rsid w:val="00724B8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CD0CBB"/>
    <w:rPr>
      <w:sz w:val="16"/>
      <w:szCs w:val="16"/>
    </w:rPr>
  </w:style>
  <w:style w:type="paragraph" w:styleId="CommentText">
    <w:name w:val="annotation text"/>
    <w:basedOn w:val="Normal"/>
    <w:link w:val="CommentTextChar"/>
    <w:uiPriority w:val="99"/>
    <w:unhideWhenUsed/>
    <w:rsid w:val="00CD0CBB"/>
    <w:pPr>
      <w:spacing w:line="240" w:lineRule="auto"/>
    </w:pPr>
    <w:rPr>
      <w:sz w:val="20"/>
      <w:szCs w:val="20"/>
    </w:rPr>
  </w:style>
  <w:style w:type="character" w:customStyle="1" w:styleId="CommentTextChar">
    <w:name w:val="Comment Text Char"/>
    <w:basedOn w:val="DefaultParagraphFont"/>
    <w:link w:val="CommentText"/>
    <w:uiPriority w:val="99"/>
    <w:rsid w:val="00CD0CBB"/>
    <w:rPr>
      <w:sz w:val="20"/>
      <w:szCs w:val="20"/>
    </w:rPr>
  </w:style>
  <w:style w:type="paragraph" w:styleId="CommentSubject">
    <w:name w:val="annotation subject"/>
    <w:basedOn w:val="CommentText"/>
    <w:next w:val="CommentText"/>
    <w:link w:val="CommentSubjectChar"/>
    <w:uiPriority w:val="99"/>
    <w:semiHidden/>
    <w:unhideWhenUsed/>
    <w:rsid w:val="00CD0CBB"/>
    <w:rPr>
      <w:b/>
      <w:bCs/>
    </w:rPr>
  </w:style>
  <w:style w:type="character" w:customStyle="1" w:styleId="CommentSubjectChar">
    <w:name w:val="Comment Subject Char"/>
    <w:basedOn w:val="CommentTextChar"/>
    <w:link w:val="CommentSubject"/>
    <w:uiPriority w:val="99"/>
    <w:semiHidden/>
    <w:rsid w:val="00CD0CBB"/>
    <w:rPr>
      <w:b/>
      <w:bCs/>
      <w:sz w:val="20"/>
      <w:szCs w:val="20"/>
    </w:rPr>
  </w:style>
  <w:style w:type="paragraph" w:styleId="Revision">
    <w:name w:val="Revision"/>
    <w:hidden/>
    <w:uiPriority w:val="99"/>
    <w:semiHidden/>
    <w:rsid w:val="009015D5"/>
    <w:pPr>
      <w:spacing w:after="0" w:line="240" w:lineRule="auto"/>
    </w:pPr>
  </w:style>
  <w:style w:type="character" w:styleId="Hyperlink">
    <w:name w:val="Hyperlink"/>
    <w:basedOn w:val="DefaultParagraphFont"/>
    <w:uiPriority w:val="99"/>
    <w:unhideWhenUsed/>
    <w:rsid w:val="003774D8"/>
    <w:rPr>
      <w:color w:val="0563C1" w:themeColor="hyperlink"/>
      <w:u w:val="single"/>
    </w:rPr>
  </w:style>
  <w:style w:type="character" w:styleId="UnresolvedMention">
    <w:name w:val="Unresolved Mention"/>
    <w:basedOn w:val="DefaultParagraphFont"/>
    <w:uiPriority w:val="99"/>
    <w:semiHidden/>
    <w:unhideWhenUsed/>
    <w:rsid w:val="003774D8"/>
    <w:rPr>
      <w:color w:val="605E5C"/>
      <w:shd w:val="clear" w:color="auto" w:fill="E1DFDD"/>
    </w:rPr>
  </w:style>
  <w:style w:type="character" w:customStyle="1" w:styleId="cf01">
    <w:name w:val="cf01"/>
    <w:basedOn w:val="DefaultParagraphFont"/>
    <w:rsid w:val="004F292F"/>
    <w:rPr>
      <w:rFonts w:ascii="Segoe UI" w:hAnsi="Segoe UI" w:cs="Segoe UI" w:hint="default"/>
      <w:sz w:val="18"/>
      <w:szCs w:val="18"/>
    </w:rPr>
  </w:style>
  <w:style w:type="table" w:styleId="TableGrid">
    <w:name w:val="Table Grid"/>
    <w:basedOn w:val="TableNormal"/>
    <w:uiPriority w:val="39"/>
    <w:rsid w:val="00117AEB"/>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7AEB"/>
    <w:rPr>
      <w:rFonts w:ascii="Segoe UI" w:hAnsi="Segoe UI" w:cs="Segoe UI" w:hint="default"/>
      <w:color w:val="333333"/>
      <w:sz w:val="18"/>
      <w:szCs w:val="18"/>
      <w:shd w:val="clear" w:color="auto" w:fill="FFFFFF"/>
    </w:rPr>
  </w:style>
  <w:style w:type="character" w:styleId="FollowedHyperlink">
    <w:name w:val="FollowedHyperlink"/>
    <w:basedOn w:val="DefaultParagraphFont"/>
    <w:uiPriority w:val="99"/>
    <w:semiHidden/>
    <w:unhideWhenUsed/>
    <w:rsid w:val="00700949"/>
    <w:rPr>
      <w:color w:val="954F72" w:themeColor="followedHyperlink"/>
      <w:u w:val="single"/>
    </w:rPr>
  </w:style>
  <w:style w:type="paragraph" w:customStyle="1" w:styleId="NApunkts1">
    <w:name w:val="NA punkts 1"/>
    <w:basedOn w:val="Normal"/>
    <w:link w:val="NApunkts1Rakstz"/>
    <w:qFormat/>
    <w:rsid w:val="00EA4B8B"/>
    <w:pPr>
      <w:numPr>
        <w:numId w:val="15"/>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EA4B8B"/>
    <w:pPr>
      <w:keepLines/>
      <w:numPr>
        <w:ilvl w:val="1"/>
        <w:numId w:val="15"/>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EA4B8B"/>
    <w:pPr>
      <w:keepLines/>
      <w:numPr>
        <w:ilvl w:val="2"/>
        <w:numId w:val="15"/>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EA4B8B"/>
    <w:pPr>
      <w:keepLines/>
      <w:numPr>
        <w:ilvl w:val="3"/>
        <w:numId w:val="15"/>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C26CE9"/>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14012100">
      <w:bodyDiv w:val="1"/>
      <w:marLeft w:val="0"/>
      <w:marRight w:val="0"/>
      <w:marTop w:val="0"/>
      <w:marBottom w:val="0"/>
      <w:divBdr>
        <w:top w:val="none" w:sz="0" w:space="0" w:color="auto"/>
        <w:left w:val="none" w:sz="0" w:space="0" w:color="auto"/>
        <w:bottom w:val="none" w:sz="0" w:space="0" w:color="auto"/>
        <w:right w:val="none" w:sz="0" w:space="0" w:color="auto"/>
      </w:divBdr>
    </w:div>
    <w:div w:id="903490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32418-ieguldijumu-brokeru-sabiedribu-likums" TargetMode="External"/><Relationship Id="rId18" Type="http://schemas.openxmlformats.org/officeDocument/2006/relationships/hyperlink" Target="https://eur-lex.europa.eu/legal-content/LV/TXT/?uri=CELEX:32021R093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likumi.lv/ta/id/326575-latvijas-bankas-likums" TargetMode="External"/><Relationship Id="rId17" Type="http://schemas.openxmlformats.org/officeDocument/2006/relationships/hyperlink" Target="https://eur-lex.europa.eu/legal-content/LV/TXT/?uri=CELEX:32022R0439" TargetMode="External"/><Relationship Id="rId2" Type="http://schemas.openxmlformats.org/officeDocument/2006/relationships/customXml" Target="../customXml/item2.xml"/><Relationship Id="rId16" Type="http://schemas.openxmlformats.org/officeDocument/2006/relationships/hyperlink" Target="https://eur-lex.europa.eu/legal-content/LV/TXT/?uri=CELEX%3A02014R0529-2015070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37426-kreditiestazu-likums" TargetMode="External"/><Relationship Id="rId5" Type="http://schemas.openxmlformats.org/officeDocument/2006/relationships/numbering" Target="numbering.xml"/><Relationship Id="rId15" Type="http://schemas.openxmlformats.org/officeDocument/2006/relationships/hyperlink" Target="https://eur-lex.europa.eu/eli/reg/2024/1623/oj" TargetMode="External"/><Relationship Id="rId10" Type="http://schemas.openxmlformats.org/officeDocument/2006/relationships/endnotes" Target="endnotes.xml"/><Relationship Id="rId19" Type="http://schemas.openxmlformats.org/officeDocument/2006/relationships/hyperlink" Target="https://likumi.lv/ta/id/320100-atlaujas-izmantot-kapitala-prasibu-aprekina-ieksejos-modelus-pieejas-un-metodes-saskana-ar-eiropas-parlamenta-un-padomes-regulu-es-nr-5752013-2013-gada-26-junijs-par-prudencialajam-prasibam-attieciba-uz-kreditiestadem-un-ieguldijumu-brokeru-sabiedribam-un-ar-ko-groza-regulu-es-nr-6482012-sanemsanas-normativie-noteikum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LV/TXT/PDF/?uri=CELEX:02013R0575-20230628"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ba.europa.eu/publications-and-media/press-releases/eba-publishes-final-standards-assessing-materiality-extensions-and-changes-new-market-risk-intern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06276224A306C449E8282550241560B" ma:contentTypeVersion="4" ma:contentTypeDescription="Izveidot jaunu dokumentu." ma:contentTypeScope="" ma:versionID="2fc4fa0031d9836b858ec41c8e3fa23f">
  <xsd:schema xmlns:xsd="http://www.w3.org/2001/XMLSchema" xmlns:xs="http://www.w3.org/2001/XMLSchema" xmlns:p="http://schemas.microsoft.com/office/2006/metadata/properties" xmlns:ns2="3171b942-6fba-462d-8c07-2d36cda0e53d" targetNamespace="http://schemas.microsoft.com/office/2006/metadata/properties" ma:root="true" ma:fieldsID="40a2715de80f40374af890180bee846a" ns2:_="">
    <xsd:import namespace="3171b942-6fba-462d-8c07-2d36cda0e53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71b942-6fba-462d-8c07-2d36cda0e5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F52DC4-8FCD-4609-A518-AB5EF31362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71b942-6fba-462d-8c07-2d36cda0e5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ANA_ANOTACIJA.dotx</Template>
  <TotalTime>1</TotalTime>
  <Pages>7</Pages>
  <Words>11108</Words>
  <Characters>6333</Characters>
  <Application>Microsoft Office Word</Application>
  <DocSecurity>0</DocSecurity>
  <Lines>52</Lines>
  <Paragraphs>34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Konstantīns Vorobjovs</dc:creator>
  <cp:keywords/>
  <dc:description/>
  <cp:lastModifiedBy>Ieva Utāne</cp:lastModifiedBy>
  <cp:revision>2</cp:revision>
  <cp:lastPrinted>2024-09-10T14:28:00Z</cp:lastPrinted>
  <dcterms:created xsi:type="dcterms:W3CDTF">2024-11-05T12:31:00Z</dcterms:created>
  <dcterms:modified xsi:type="dcterms:W3CDTF">2024-11-05T12:31:00Z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0x010100306276224A306C449E8282550241560B</vt:lpwstr>
  </property>
</Properties>
</file>