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39AC7" w14:textId="1C3E4A82" w:rsidR="009B27BE" w:rsidRPr="004E3F4A" w:rsidRDefault="00CA28AB" w:rsidP="00F62D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3F4A">
        <w:rPr>
          <w:rFonts w:ascii="Times New Roman" w:hAnsi="Times New Roman" w:cs="Times New Roman"/>
          <w:b/>
          <w:bCs/>
          <w:sz w:val="24"/>
          <w:szCs w:val="24"/>
        </w:rPr>
        <w:t>Latvijas Bankas noteikumu projekta</w:t>
      </w:r>
      <w:r w:rsidR="008D5368">
        <w:rPr>
          <w:rFonts w:ascii="Times New Roman" w:hAnsi="Times New Roman" w:cs="Times New Roman"/>
          <w:b/>
          <w:bCs/>
          <w:sz w:val="24"/>
          <w:szCs w:val="24"/>
        </w:rPr>
        <w:br/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alias w:val="Nosaukums"/>
          <w:tag w:val="Nosaukums"/>
          <w:id w:val="25447728"/>
          <w:placeholder>
            <w:docPart w:val="06FB9562532E48C79A9A7CAF997B965E"/>
          </w:placeholder>
        </w:sdtPr>
        <w:sdtEndPr/>
        <w:sdtContent>
          <w:sdt>
            <w:sdt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alias w:val="Nosaukums"/>
              <w:tag w:val="Nosaukums"/>
              <w:id w:val="-1282566986"/>
              <w:placeholder>
                <w:docPart w:val="0DE2760AD93F4C379BADD32CC4AEBE9A"/>
              </w:placeholder>
            </w:sdtPr>
            <w:sdtEndPr/>
            <w:sdtContent>
              <w:r w:rsidR="00492810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"</w:t>
              </w:r>
              <w:r w:rsidR="008F6F80" w:rsidRPr="008F6F80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 xml:space="preserve">Kontu maiņas pakalpojuma sniegšanas </w:t>
              </w:r>
              <w:r w:rsidR="009B1022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kārtība</w:t>
              </w:r>
              <w:r w:rsidR="009A72ED" w:rsidRPr="004E3F4A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"</w:t>
              </w:r>
            </w:sdtContent>
          </w:sdt>
        </w:sdtContent>
      </w:sdt>
      <w:r w:rsidR="006760E3" w:rsidRPr="004E3F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481B" w:rsidRPr="004E3F4A">
        <w:rPr>
          <w:rFonts w:ascii="Times New Roman" w:hAnsi="Times New Roman" w:cs="Times New Roman"/>
          <w:b/>
          <w:bCs/>
          <w:sz w:val="24"/>
          <w:szCs w:val="24"/>
        </w:rPr>
        <w:t>anotācija</w:t>
      </w:r>
    </w:p>
    <w:p w14:paraId="0B66099E" w14:textId="77777777" w:rsidR="003B481B" w:rsidRPr="004E3F4A" w:rsidRDefault="003B481B" w:rsidP="00F62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802"/>
      </w:tblGrid>
      <w:tr w:rsidR="00F62DE2" w:rsidRPr="004E3F4A" w14:paraId="2BEFF1B2" w14:textId="77777777" w:rsidTr="00ED184E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648BA918" w14:textId="77777777" w:rsidR="00A42788" w:rsidRPr="004E3F4A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  <w:p w14:paraId="5CE2EE7C" w14:textId="77777777" w:rsidR="00CA28AB" w:rsidRPr="004E3F4A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08E3F30D" w14:textId="143FF3A0" w:rsidR="00E53DE9" w:rsidRPr="004E3F4A" w:rsidRDefault="008F6F80" w:rsidP="003674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F6F8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Kontu maiņas pakalpojuma sniegšanas </w:t>
            </w:r>
            <w:r w:rsidR="003E418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kārtība</w:t>
            </w:r>
          </w:p>
        </w:tc>
      </w:tr>
      <w:tr w:rsidR="00F62DE2" w:rsidRPr="004E3F4A" w14:paraId="1D36F47A" w14:textId="77777777" w:rsidTr="00ED184E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2F180771" w14:textId="77777777" w:rsidR="00A42788" w:rsidRPr="004E3F4A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  <w:p w14:paraId="47E2425B" w14:textId="77777777" w:rsidR="00CA28AB" w:rsidRPr="004E3F4A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4E1881C3" w14:textId="7389110D" w:rsidR="00E53DE9" w:rsidRPr="004E3F4A" w:rsidRDefault="00F14016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Latvijas Bankas</w:t>
            </w:r>
            <w:r w:rsidR="006760E3" w:rsidRPr="004E3F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C3B7F" w:rsidRPr="004E3F4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noteikumi</w:t>
            </w:r>
          </w:p>
        </w:tc>
      </w:tr>
      <w:tr w:rsidR="00F62DE2" w:rsidRPr="004E3F4A" w14:paraId="5992D55E" w14:textId="77777777" w:rsidTr="00236A95">
        <w:trPr>
          <w:trHeight w:val="697"/>
        </w:trPr>
        <w:tc>
          <w:tcPr>
            <w:tcW w:w="1248" w:type="pct"/>
            <w:shd w:val="clear" w:color="auto" w:fill="auto"/>
            <w:hideMark/>
          </w:tcPr>
          <w:p w14:paraId="604DAF9B" w14:textId="77777777" w:rsidR="00A42788" w:rsidRPr="004E3F4A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Izdošanas pamatojums </w:t>
            </w:r>
          </w:p>
          <w:p w14:paraId="1F56AB7F" w14:textId="77777777" w:rsidR="00CA28AB" w:rsidRPr="004E3F4A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5AFDE6F9" w14:textId="3DA50B69" w:rsidR="00E53DE9" w:rsidRPr="00CB12C0" w:rsidRDefault="00492810" w:rsidP="003D1F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Maksājumu pakalpojumu un elektroniskās naudas</w:t>
            </w:r>
            <w:r w:rsidR="003D1F15" w:rsidRPr="004E3F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likuma</w:t>
            </w:r>
            <w:r w:rsidR="009606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</w:t>
            </w:r>
            <w:r w:rsidR="00F10B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96063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 Likums)</w:t>
            </w:r>
            <w:r w:rsidR="003D1F15" w:rsidRPr="004E3F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8F6F8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  <w:r w:rsidR="003D1F15" w:rsidRPr="004E3F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="008F6F80" w:rsidRPr="00BB71E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="003D1F15" w:rsidRPr="004E3F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 panta </w:t>
            </w:r>
            <w:r w:rsidR="00CB12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</w:t>
            </w:r>
            <w:r w:rsidR="003D1F15" w:rsidRPr="004E3F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daļa</w:t>
            </w:r>
            <w:r w:rsidR="00CB12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F62DE2" w:rsidRPr="004E3F4A" w14:paraId="248CA3CA" w14:textId="77777777" w:rsidTr="00ED184E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71105B1A" w14:textId="77777777" w:rsidR="00A42788" w:rsidRPr="003E62F3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3E6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  <w:p w14:paraId="1B83DA20" w14:textId="77777777" w:rsidR="00CA28AB" w:rsidRPr="003E62F3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0B4AD95E" w14:textId="1445358C" w:rsidR="003A4638" w:rsidRPr="003A4638" w:rsidRDefault="003A4638" w:rsidP="00BB71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A4638">
              <w:rPr>
                <w:rFonts w:ascii="Times New Roman" w:hAnsi="Times New Roman" w:cs="Times New Roman"/>
                <w:sz w:val="24"/>
                <w:szCs w:val="24"/>
              </w:rPr>
              <w:t>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  <w:r w:rsidRPr="004E3F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B629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Pr="004E3F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 panta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</w:t>
            </w:r>
            <w:r w:rsidRPr="004E3F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daļa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nosaka </w:t>
            </w:r>
            <w:r w:rsidRPr="003A46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3A46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pienākumu </w:t>
            </w:r>
            <w:r w:rsidRPr="003A46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</w:t>
            </w:r>
            <w:r w:rsidRPr="003A46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noteikumus, kuros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tā </w:t>
            </w:r>
            <w:r w:rsidRPr="003A463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nosaka kontu maiņas pakalpojuma sniegšanas kārtību, tai skaitā kontu maiņas pieprasījuma saturu un formu.</w:t>
            </w:r>
            <w:r w:rsidR="006E68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Šāds deleģējums Likumā ietverts, lai Latvijas normatīvajos aktos pārņemtu un ieviestu normas, kas izriet no </w:t>
            </w:r>
            <w:r w:rsidR="006E68D0" w:rsidRPr="006E68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Parlamenta un Padomes 2014.</w:t>
            </w:r>
            <w:r w:rsidR="006E68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6E68D0" w:rsidRPr="006E68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23.</w:t>
            </w:r>
            <w:r w:rsidR="006E68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6E68D0" w:rsidRPr="006E68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jūlija direktīvas</w:t>
            </w:r>
            <w:r w:rsidR="00F10B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6E68D0" w:rsidRPr="006E68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2014/92/ES par maksājumu kontu tarifu salīdzināmību, maksājumu kontu maiņu un piekļuvi maksājumu kontiem ar pamatfunkcijām</w:t>
            </w:r>
            <w:r w:rsidR="006E68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(turpmāk</w:t>
            </w:r>
            <w:r w:rsidR="00F10B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90417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="006E68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Direktīva</w:t>
            </w:r>
            <w:r w:rsidR="00F10B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90417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2014/92/ES</w:t>
            </w:r>
            <w:r w:rsidR="006E68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 w:rsidR="0090417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2ABD4978" w14:textId="1C724E31" w:rsidR="008D5720" w:rsidRPr="00C14A12" w:rsidRDefault="008D5720" w:rsidP="008D572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Šobrīd ir spēkā un minēto Likuma deleģējumu izpilda </w:t>
            </w:r>
            <w:r w:rsidRPr="008D5720">
              <w:rPr>
                <w:rFonts w:ascii="Times New Roman" w:hAnsi="Times New Roman" w:cs="Times New Roman"/>
                <w:sz w:val="24"/>
                <w:szCs w:val="24"/>
              </w:rPr>
              <w:t>Finanšu un kapitāla tirgus komisijas 2020.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D5720">
              <w:rPr>
                <w:rFonts w:ascii="Times New Roman" w:hAnsi="Times New Roman" w:cs="Times New Roman"/>
                <w:sz w:val="24"/>
                <w:szCs w:val="24"/>
              </w:rPr>
              <w:t>gada 14.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D5720">
              <w:rPr>
                <w:rFonts w:ascii="Times New Roman" w:hAnsi="Times New Roman" w:cs="Times New Roman"/>
                <w:sz w:val="24"/>
                <w:szCs w:val="24"/>
              </w:rPr>
              <w:t xml:space="preserve">jūlija </w:t>
            </w:r>
            <w:r w:rsidR="00C05CFB" w:rsidRPr="00C05CFB">
              <w:rPr>
                <w:rFonts w:ascii="Times New Roman" w:hAnsi="Times New Roman" w:cs="Times New Roman"/>
                <w:sz w:val="24"/>
                <w:szCs w:val="24"/>
              </w:rPr>
              <w:t xml:space="preserve">normatīvie </w:t>
            </w:r>
            <w:r w:rsidRPr="008D5720">
              <w:rPr>
                <w:rFonts w:ascii="Times New Roman" w:hAnsi="Times New Roman" w:cs="Times New Roman"/>
                <w:sz w:val="24"/>
                <w:szCs w:val="24"/>
              </w:rPr>
              <w:t>noteikumi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D5720">
              <w:rPr>
                <w:rFonts w:ascii="Times New Roman" w:hAnsi="Times New Roman" w:cs="Times New Roman"/>
                <w:sz w:val="24"/>
                <w:szCs w:val="24"/>
              </w:rPr>
              <w:t>83 "Kontu maiņas pakalpojuma sniegšanas noteikumi"</w:t>
            </w:r>
            <w:r w:rsidR="00C05CF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05CFB" w:rsidRPr="00C14A12">
              <w:rPr>
                <w:rFonts w:ascii="Times New Roman" w:hAnsi="Times New Roman" w:cs="Times New Roman"/>
                <w:sz w:val="24"/>
                <w:szCs w:val="24"/>
              </w:rPr>
              <w:t>turpmāk – Noteikumi Nr. 8</w:t>
            </w:r>
            <w:r w:rsidR="00C05CFB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8D57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45A0AB" w14:textId="040224C3" w:rsidR="00FF59AC" w:rsidRDefault="0090417E" w:rsidP="000A746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Savukārt s</w:t>
            </w:r>
            <w:r w:rsidR="00A81648" w:rsidRPr="00C14A12">
              <w:rPr>
                <w:rFonts w:ascii="Times New Roman" w:hAnsi="Times New Roman" w:cs="Times New Roman"/>
                <w:sz w:val="24"/>
                <w:szCs w:val="24"/>
              </w:rPr>
              <w:t xml:space="preserve">askaņā ar Latvijas Bankas likuma </w:t>
            </w:r>
            <w:r w:rsidR="00F62DE2" w:rsidRPr="00C14A1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81648" w:rsidRPr="00C14A12">
              <w:rPr>
                <w:rFonts w:ascii="Times New Roman" w:hAnsi="Times New Roman" w:cs="Times New Roman"/>
                <w:sz w:val="24"/>
                <w:szCs w:val="24"/>
              </w:rPr>
              <w:t>ārejas noteikumu 3.</w:t>
            </w:r>
            <w:r w:rsidR="00F62DE2" w:rsidRPr="00C14A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81648" w:rsidRPr="00C14A12">
              <w:rPr>
                <w:rFonts w:ascii="Times New Roman" w:hAnsi="Times New Roman" w:cs="Times New Roman"/>
                <w:sz w:val="24"/>
                <w:szCs w:val="24"/>
              </w:rPr>
              <w:t xml:space="preserve">punktu </w:t>
            </w:r>
            <w:r w:rsidR="00A81648" w:rsidRPr="00C14A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Finanšu un kapitāla tirgus komisijas ārējie normatīvie akti,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kas izdoti līdz </w:t>
            </w:r>
            <w:r w:rsidRPr="0090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 w:rsidRPr="0090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0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gada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904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decembrim, </w:t>
            </w:r>
            <w:r w:rsidR="00A81648" w:rsidRPr="00C14A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piemērojami līdz dienai, kad stājas spēkā attiecīgie Latvijas Bankas ārējie normatīvie akti, bet ne ilgāk kā līdz 2024. gada 31. decembrim.</w:t>
            </w:r>
            <w:r w:rsidR="008D5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81648" w:rsidRPr="00C14A12">
              <w:rPr>
                <w:rFonts w:ascii="Times New Roman" w:hAnsi="Times New Roman" w:cs="Times New Roman"/>
                <w:sz w:val="24"/>
                <w:szCs w:val="24"/>
              </w:rPr>
              <w:t xml:space="preserve">Ņemot vērā minēto, </w:t>
            </w:r>
            <w:r w:rsidR="002676FE" w:rsidRPr="00C14A12">
              <w:rPr>
                <w:rFonts w:ascii="Times New Roman" w:hAnsi="Times New Roman" w:cs="Times New Roman"/>
                <w:sz w:val="24"/>
                <w:szCs w:val="24"/>
              </w:rPr>
              <w:t>Latvijas Banka ir</w:t>
            </w:r>
            <w:r w:rsidR="00A81648" w:rsidRPr="00C14A12">
              <w:rPr>
                <w:rFonts w:ascii="Times New Roman" w:hAnsi="Times New Roman" w:cs="Times New Roman"/>
                <w:sz w:val="24"/>
                <w:szCs w:val="24"/>
              </w:rPr>
              <w:t xml:space="preserve"> izstrādā</w:t>
            </w:r>
            <w:r w:rsidR="002676FE" w:rsidRPr="00C14A12">
              <w:rPr>
                <w:rFonts w:ascii="Times New Roman" w:hAnsi="Times New Roman" w:cs="Times New Roman"/>
                <w:sz w:val="24"/>
                <w:szCs w:val="24"/>
              </w:rPr>
              <w:t>jusi</w:t>
            </w:r>
            <w:r w:rsidR="00A81648" w:rsidRPr="00C14A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6FE" w:rsidRPr="00C14A12">
              <w:rPr>
                <w:rFonts w:ascii="Times New Roman" w:hAnsi="Times New Roman" w:cs="Times New Roman"/>
                <w:sz w:val="24"/>
                <w:szCs w:val="24"/>
              </w:rPr>
              <w:t>noteikumu projektu "</w:t>
            </w:r>
            <w:r w:rsidR="008F6F80"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Kontu maiņas pakalpojuma sniegšanas </w:t>
            </w:r>
            <w:r w:rsidR="004C3875">
              <w:rPr>
                <w:rFonts w:ascii="Times New Roman" w:hAnsi="Times New Roman" w:cs="Times New Roman"/>
                <w:sz w:val="24"/>
                <w:szCs w:val="24"/>
              </w:rPr>
              <w:t>kārtība</w:t>
            </w:r>
            <w:r w:rsidR="002676FE" w:rsidRPr="00C14A1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2676FE" w:rsidRPr="00C14A12">
              <w:rPr>
                <w:rFonts w:ascii="Times New Roman" w:hAnsi="Times New Roman" w:cs="Times New Roman"/>
                <w:sz w:val="24"/>
                <w:szCs w:val="24"/>
              </w:rPr>
              <w:t xml:space="preserve"> (turpmāk –</w:t>
            </w:r>
            <w:r w:rsidR="00A81648" w:rsidRPr="00C14A12">
              <w:rPr>
                <w:rFonts w:ascii="Times New Roman" w:hAnsi="Times New Roman" w:cs="Times New Roman"/>
                <w:sz w:val="24"/>
                <w:szCs w:val="24"/>
              </w:rPr>
              <w:t xml:space="preserve"> projekts</w:t>
            </w:r>
            <w:r w:rsidR="002676FE" w:rsidRPr="00C14A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81648" w:rsidRPr="00C14A12">
              <w:rPr>
                <w:rFonts w:ascii="Times New Roman" w:hAnsi="Times New Roman" w:cs="Times New Roman"/>
                <w:sz w:val="24"/>
                <w:szCs w:val="24"/>
              </w:rPr>
              <w:t xml:space="preserve">, kas aizstās </w:t>
            </w:r>
            <w:r w:rsidR="001C690B" w:rsidRPr="00C14A12">
              <w:rPr>
                <w:rFonts w:ascii="Times New Roman" w:hAnsi="Times New Roman" w:cs="Times New Roman"/>
                <w:sz w:val="24"/>
                <w:szCs w:val="24"/>
              </w:rPr>
              <w:t>Noteikum</w:t>
            </w:r>
            <w:r w:rsidR="00C05CFB">
              <w:rPr>
                <w:rFonts w:ascii="Times New Roman" w:hAnsi="Times New Roman" w:cs="Times New Roman"/>
                <w:sz w:val="24"/>
                <w:szCs w:val="24"/>
              </w:rPr>
              <w:t>us</w:t>
            </w:r>
            <w:r w:rsidR="001C690B" w:rsidRPr="00C14A12">
              <w:rPr>
                <w:rFonts w:ascii="Times New Roman" w:hAnsi="Times New Roman" w:cs="Times New Roman"/>
                <w:sz w:val="24"/>
                <w:szCs w:val="24"/>
              </w:rPr>
              <w:t xml:space="preserve"> Nr. </w:t>
            </w:r>
            <w:r w:rsidR="00C14A12" w:rsidRPr="00C14A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6F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59AC" w:rsidRPr="00C14A1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47198D07" w14:textId="7D6760AA" w:rsidR="00CB12C0" w:rsidRDefault="00103278" w:rsidP="003B5143">
            <w:pPr>
              <w:pStyle w:val="NApunkts2"/>
              <w:numPr>
                <w:ilvl w:val="0"/>
                <w:numId w:val="0"/>
              </w:numPr>
              <w:spacing w:after="120"/>
            </w:pPr>
            <w:r w:rsidRPr="00C14A12">
              <w:t>Projekt</w:t>
            </w:r>
            <w:r w:rsidR="00014BCF">
              <w:t>ā</w:t>
            </w:r>
            <w:r w:rsidRPr="00C14A12">
              <w:t xml:space="preserve"> </w:t>
            </w:r>
            <w:r w:rsidR="00014BCF">
              <w:t xml:space="preserve">saglabāts </w:t>
            </w:r>
            <w:r w:rsidR="00014BCF" w:rsidRPr="00C14A12">
              <w:t>Noteikum</w:t>
            </w:r>
            <w:r w:rsidR="00014BCF">
              <w:t>os</w:t>
            </w:r>
            <w:r w:rsidR="00014BCF" w:rsidRPr="00C14A12">
              <w:t xml:space="preserve"> </w:t>
            </w:r>
            <w:r w:rsidRPr="00C14A12">
              <w:t>Nr. </w:t>
            </w:r>
            <w:r w:rsidR="00C14A12" w:rsidRPr="00C14A12">
              <w:t>8</w:t>
            </w:r>
            <w:r w:rsidR="008F6F80">
              <w:t>3</w:t>
            </w:r>
            <w:r w:rsidR="00014BCF">
              <w:t xml:space="preserve"> ietvertais regulējums</w:t>
            </w:r>
            <w:r w:rsidR="00124986" w:rsidRPr="00C14A12">
              <w:t xml:space="preserve">. </w:t>
            </w:r>
          </w:p>
          <w:p w14:paraId="22BFA6A2" w14:textId="487A96CD" w:rsidR="003C540A" w:rsidRDefault="003C540A" w:rsidP="003B5143">
            <w:pPr>
              <w:pStyle w:val="NApunkts2"/>
              <w:numPr>
                <w:ilvl w:val="0"/>
                <w:numId w:val="0"/>
              </w:numPr>
              <w:spacing w:after="120"/>
            </w:pPr>
            <w:r>
              <w:t xml:space="preserve">Projekta </w:t>
            </w:r>
            <w:r w:rsidRPr="003C540A">
              <w:t>mērķis ir sniegt patērētājiem un tirgus dalībniekiem saprotamu informāciju par kontu maiņas pakalpojuma sniegšanas kārtību un tirgus dalībniekiem nodrošināt vienlīdzīgus konkurences apstākļus.</w:t>
            </w:r>
          </w:p>
          <w:p w14:paraId="45D12186" w14:textId="1AEF3B3B" w:rsidR="008F6F80" w:rsidRPr="008F6F80" w:rsidRDefault="008F6F80" w:rsidP="008F6F80">
            <w:pPr>
              <w:pStyle w:val="NApunkts2"/>
              <w:numPr>
                <w:ilvl w:val="0"/>
                <w:numId w:val="0"/>
              </w:numPr>
              <w:spacing w:after="120"/>
              <w:rPr>
                <w:bCs/>
              </w:rPr>
            </w:pPr>
            <w:r w:rsidRPr="006F258C">
              <w:rPr>
                <w:bCs/>
              </w:rPr>
              <w:t>Projekt</w:t>
            </w:r>
            <w:r w:rsidR="002D1ED8" w:rsidRPr="006F258C">
              <w:rPr>
                <w:bCs/>
              </w:rPr>
              <w:t xml:space="preserve">s </w:t>
            </w:r>
            <w:r w:rsidR="00D1147D">
              <w:rPr>
                <w:bCs/>
              </w:rPr>
              <w:t xml:space="preserve">pēc apstiprināšanas </w:t>
            </w:r>
            <w:r w:rsidR="002D1ED8" w:rsidRPr="006F258C">
              <w:rPr>
                <w:bCs/>
              </w:rPr>
              <w:t>būs</w:t>
            </w:r>
            <w:r w:rsidRPr="006F258C">
              <w:rPr>
                <w:bCs/>
              </w:rPr>
              <w:t xml:space="preserve"> piemēro</w:t>
            </w:r>
            <w:r w:rsidR="002D1ED8" w:rsidRPr="006F258C">
              <w:rPr>
                <w:bCs/>
              </w:rPr>
              <w:t>jams</w:t>
            </w:r>
            <w:r w:rsidRPr="006F258C">
              <w:rPr>
                <w:bCs/>
              </w:rPr>
              <w:t xml:space="preserve"> gadījumos</w:t>
            </w:r>
            <w:r w:rsidRPr="004136ED">
              <w:rPr>
                <w:bCs/>
              </w:rPr>
              <w:t>, kad patērētājs</w:t>
            </w:r>
            <w:r w:rsidRPr="008F6F80">
              <w:rPr>
                <w:bCs/>
              </w:rPr>
              <w:t xml:space="preserve"> vēlas veikt kontu maiņu</w:t>
            </w:r>
            <w:r w:rsidR="005D19D0">
              <w:rPr>
                <w:bCs/>
              </w:rPr>
              <w:t xml:space="preserve"> (Likuma 1. panta 29. punkts)</w:t>
            </w:r>
            <w:r w:rsidRPr="008F6F80">
              <w:rPr>
                <w:bCs/>
              </w:rPr>
              <w:t>, kuras ietvaros viens (nododošais) maksājumu pakalpojum</w:t>
            </w:r>
            <w:r w:rsidR="00CE1742">
              <w:rPr>
                <w:bCs/>
              </w:rPr>
              <w:t>u</w:t>
            </w:r>
            <w:r w:rsidRPr="008F6F80">
              <w:rPr>
                <w:bCs/>
              </w:rPr>
              <w:t xml:space="preserve"> sniedzējs</w:t>
            </w:r>
            <w:r w:rsidR="0055000C">
              <w:rPr>
                <w:bCs/>
              </w:rPr>
              <w:t xml:space="preserve"> (Likuma 1. panta 30. punkts)</w:t>
            </w:r>
            <w:r w:rsidRPr="008F6F80">
              <w:rPr>
                <w:bCs/>
              </w:rPr>
              <w:t xml:space="preserve"> nodod kont</w:t>
            </w:r>
            <w:r w:rsidR="00E761C7">
              <w:rPr>
                <w:bCs/>
              </w:rPr>
              <w:t>u</w:t>
            </w:r>
            <w:r w:rsidRPr="008F6F80">
              <w:rPr>
                <w:bCs/>
              </w:rPr>
              <w:t xml:space="preserve"> maiņai nepieciešamo informāciju citam (saņemošajam) maksājumu pakalpojumu sniedzējam</w:t>
            </w:r>
            <w:r w:rsidR="0055000C">
              <w:rPr>
                <w:bCs/>
              </w:rPr>
              <w:t xml:space="preserve"> (Likuma 1. panta 3</w:t>
            </w:r>
            <w:r w:rsidR="005D19D0">
              <w:rPr>
                <w:bCs/>
              </w:rPr>
              <w:t>1</w:t>
            </w:r>
            <w:r w:rsidR="0055000C">
              <w:rPr>
                <w:bCs/>
              </w:rPr>
              <w:t>. punkts)</w:t>
            </w:r>
            <w:r w:rsidRPr="008F6F80">
              <w:rPr>
                <w:bCs/>
              </w:rPr>
              <w:t>, ja tie abi sniedz maksājumu pakalpojumus Latvijā.</w:t>
            </w:r>
          </w:p>
          <w:p w14:paraId="23B3E659" w14:textId="66C013AF" w:rsidR="00290125" w:rsidRDefault="008F6F80" w:rsidP="008F6F80">
            <w:pPr>
              <w:pStyle w:val="NApunkts2"/>
              <w:numPr>
                <w:ilvl w:val="0"/>
                <w:numId w:val="0"/>
              </w:numPr>
              <w:spacing w:after="120"/>
              <w:rPr>
                <w:bCs/>
              </w:rPr>
            </w:pPr>
            <w:r>
              <w:rPr>
                <w:bCs/>
              </w:rPr>
              <w:t>P</w:t>
            </w:r>
            <w:r w:rsidRPr="008F6F80">
              <w:rPr>
                <w:bCs/>
              </w:rPr>
              <w:t>rojektā noteikta kont</w:t>
            </w:r>
            <w:r w:rsidR="00CE1742">
              <w:rPr>
                <w:bCs/>
              </w:rPr>
              <w:t>u</w:t>
            </w:r>
            <w:r w:rsidRPr="008F6F80">
              <w:rPr>
                <w:bCs/>
              </w:rPr>
              <w:t xml:space="preserve"> maiņas pakalpojuma sniegšanas kārtība</w:t>
            </w:r>
            <w:r>
              <w:rPr>
                <w:bCs/>
              </w:rPr>
              <w:t>, tai skaitā</w:t>
            </w:r>
            <w:r w:rsidRPr="008F6F80">
              <w:rPr>
                <w:bCs/>
              </w:rPr>
              <w:t xml:space="preserve"> kontu maiņas pieprasījuma saturs un forma.</w:t>
            </w:r>
          </w:p>
          <w:p w14:paraId="51731751" w14:textId="32605BCD" w:rsidR="0079679B" w:rsidRDefault="0079679B" w:rsidP="0079679B">
            <w:pPr>
              <w:pStyle w:val="NApunkts2"/>
              <w:numPr>
                <w:ilvl w:val="0"/>
                <w:numId w:val="0"/>
              </w:numPr>
              <w:spacing w:after="120"/>
              <w:rPr>
                <w:bCs/>
              </w:rPr>
            </w:pPr>
            <w:r w:rsidRPr="0079679B">
              <w:rPr>
                <w:bCs/>
              </w:rPr>
              <w:lastRenderedPageBreak/>
              <w:t>Projekt</w:t>
            </w:r>
            <w:r w:rsidR="00CE1742">
              <w:rPr>
                <w:bCs/>
              </w:rPr>
              <w:t>a</w:t>
            </w:r>
            <w:r w:rsidRPr="0079679B">
              <w:rPr>
                <w:bCs/>
              </w:rPr>
              <w:t xml:space="preserve"> pielikum</w:t>
            </w:r>
            <w:r w:rsidR="00E761C7">
              <w:rPr>
                <w:bCs/>
              </w:rPr>
              <w:t>ā</w:t>
            </w:r>
            <w:r w:rsidRPr="0079679B">
              <w:rPr>
                <w:bCs/>
              </w:rPr>
              <w:t xml:space="preserve"> pievienots konta maiņas pieprasījums, kurā ietverta patērētāja piekrišana nododošajam un saņemošajam maksājumu pakalpojumu sniedzējam veikt konkrētus ienākošos kredīta pārvedumus un kredīta pārvedumu regulāro maksājumu rīkojumus, uz kuriem tiks attiecināta maiņa</w:t>
            </w:r>
            <w:r w:rsidR="002B31CD">
              <w:rPr>
                <w:bCs/>
              </w:rPr>
              <w:t>,</w:t>
            </w:r>
            <w:r w:rsidRPr="0079679B">
              <w:rPr>
                <w:bCs/>
              </w:rPr>
              <w:t xml:space="preserve"> vai slē</w:t>
            </w:r>
            <w:r>
              <w:rPr>
                <w:bCs/>
              </w:rPr>
              <w:t>gt</w:t>
            </w:r>
            <w:r w:rsidRPr="0079679B">
              <w:rPr>
                <w:bCs/>
              </w:rPr>
              <w:t xml:space="preserve"> pie nododošā maksājumu pakalpojumu sniedzēja atvērto kontu un izpildīt visus ar kontu saistītos maksājumu pakalpojumus no konta, kas atvērts pie saņemošā maksājumu pakalpojumu sniedzēja</w:t>
            </w:r>
            <w:r w:rsidR="002B31CD">
              <w:rPr>
                <w:bCs/>
              </w:rPr>
              <w:t>,</w:t>
            </w:r>
            <w:r>
              <w:rPr>
                <w:bCs/>
              </w:rPr>
              <w:t xml:space="preserve"> un </w:t>
            </w:r>
            <w:r w:rsidRPr="0079679B">
              <w:rPr>
                <w:bCs/>
              </w:rPr>
              <w:t>datum</w:t>
            </w:r>
            <w:r w:rsidR="00CE1742">
              <w:rPr>
                <w:bCs/>
              </w:rPr>
              <w:t>s</w:t>
            </w:r>
            <w:r w:rsidRPr="0079679B">
              <w:rPr>
                <w:bCs/>
              </w:rPr>
              <w:t>, no kura kredīta pārvedumu regulāro maksājumu rīkojumus izpilda no maksājumu konta, kas atvērts vai tiek turēts pie saņemošā maksājumu pakalpojumu sniedzēja.</w:t>
            </w:r>
            <w:r>
              <w:rPr>
                <w:bCs/>
              </w:rPr>
              <w:t xml:space="preserve"> </w:t>
            </w:r>
          </w:p>
          <w:p w14:paraId="02FFF2B7" w14:textId="324C19A4" w:rsidR="008F6F80" w:rsidRPr="008F6F80" w:rsidRDefault="0079679B" w:rsidP="002D64E3">
            <w:pPr>
              <w:pStyle w:val="NApunkts2"/>
              <w:numPr>
                <w:ilvl w:val="0"/>
                <w:numId w:val="0"/>
              </w:numPr>
              <w:spacing w:after="120"/>
              <w:rPr>
                <w:bCs/>
              </w:rPr>
            </w:pPr>
            <w:r>
              <w:rPr>
                <w:bCs/>
              </w:rPr>
              <w:t xml:space="preserve">Projekts arī paredz </w:t>
            </w:r>
            <w:r w:rsidR="002D64E3">
              <w:rPr>
                <w:bCs/>
              </w:rPr>
              <w:t xml:space="preserve">nododošajam maksājumu pakalpojumu sniedzējam </w:t>
            </w:r>
            <w:r w:rsidR="002B31CD">
              <w:rPr>
                <w:bCs/>
              </w:rPr>
              <w:t xml:space="preserve">pienākumu </w:t>
            </w:r>
            <w:r w:rsidR="002D64E3">
              <w:rPr>
                <w:bCs/>
              </w:rPr>
              <w:t xml:space="preserve">pārbaudīt, vai nepastāv </w:t>
            </w:r>
            <w:r w:rsidR="002D64E3" w:rsidRPr="002D64E3">
              <w:rPr>
                <w:bCs/>
              </w:rPr>
              <w:t>apstākļi, kuru dēļ nav iespējams izpildīt kontu maiņas pieprasījumā norādītos uzdevumus</w:t>
            </w:r>
            <w:r w:rsidR="00CD36A1">
              <w:rPr>
                <w:bCs/>
              </w:rPr>
              <w:t>,</w:t>
            </w:r>
            <w:r w:rsidR="002D64E3">
              <w:rPr>
                <w:bCs/>
              </w:rPr>
              <w:t xml:space="preserve"> </w:t>
            </w:r>
            <w:r w:rsidR="002B31CD">
              <w:rPr>
                <w:bCs/>
              </w:rPr>
              <w:t>t.</w:t>
            </w:r>
            <w:r w:rsidR="00F10BD5">
              <w:rPr>
                <w:bCs/>
              </w:rPr>
              <w:t> </w:t>
            </w:r>
            <w:r w:rsidR="002B31CD">
              <w:rPr>
                <w:bCs/>
              </w:rPr>
              <w:t>i.</w:t>
            </w:r>
            <w:r w:rsidR="00CE1742">
              <w:rPr>
                <w:bCs/>
              </w:rPr>
              <w:t>,</w:t>
            </w:r>
            <w:r w:rsidR="002B31CD">
              <w:rPr>
                <w:bCs/>
              </w:rPr>
              <w:t xml:space="preserve"> vai nepastāv kontu maiņu </w:t>
            </w:r>
            <w:r w:rsidR="002D64E3">
              <w:rPr>
                <w:bCs/>
              </w:rPr>
              <w:t>izslēdzošie apstākļi</w:t>
            </w:r>
            <w:r w:rsidR="002D64E3" w:rsidRPr="002D64E3">
              <w:rPr>
                <w:bCs/>
              </w:rPr>
              <w:t xml:space="preserve">, piemēram, ar patērētāja kontu saistīts kreditēšanas līgums </w:t>
            </w:r>
            <w:r w:rsidR="00236A95">
              <w:rPr>
                <w:bCs/>
              </w:rPr>
              <w:t>vai</w:t>
            </w:r>
            <w:r w:rsidR="00236A95" w:rsidRPr="002D64E3">
              <w:rPr>
                <w:bCs/>
              </w:rPr>
              <w:t xml:space="preserve"> </w:t>
            </w:r>
            <w:r w:rsidR="002D64E3" w:rsidRPr="002D64E3">
              <w:rPr>
                <w:bCs/>
              </w:rPr>
              <w:t>līgums par finanšu nodrošinājuma sniegšanu nododošajam maksājumu pakalpojumu sniedzējam</w:t>
            </w:r>
            <w:r w:rsidR="00236A95">
              <w:rPr>
                <w:bCs/>
              </w:rPr>
              <w:t>,</w:t>
            </w:r>
            <w:r w:rsidR="002D64E3">
              <w:rPr>
                <w:bCs/>
              </w:rPr>
              <w:t xml:space="preserve"> vai patērētāja neizpildītas saistības </w:t>
            </w:r>
            <w:r w:rsidR="00CE1742">
              <w:rPr>
                <w:bCs/>
              </w:rPr>
              <w:t xml:space="preserve">pret </w:t>
            </w:r>
            <w:r w:rsidR="002D64E3">
              <w:rPr>
                <w:bCs/>
              </w:rPr>
              <w:t>nododoš</w:t>
            </w:r>
            <w:r w:rsidR="00CE1742">
              <w:rPr>
                <w:bCs/>
              </w:rPr>
              <w:t>o</w:t>
            </w:r>
            <w:r w:rsidR="002D64E3">
              <w:rPr>
                <w:bCs/>
              </w:rPr>
              <w:t xml:space="preserve"> maksājumu pakalpojumu sniedzēj</w:t>
            </w:r>
            <w:r w:rsidR="00CE1742">
              <w:rPr>
                <w:bCs/>
              </w:rPr>
              <w:t>u</w:t>
            </w:r>
            <w:r w:rsidR="00290125" w:rsidRPr="00290125">
              <w:rPr>
                <w:bCs/>
              </w:rPr>
              <w:t>.</w:t>
            </w:r>
          </w:p>
          <w:p w14:paraId="2C53C3D6" w14:textId="2C806CB1" w:rsidR="00CB12C0" w:rsidRPr="003B5143" w:rsidRDefault="006F258C" w:rsidP="003A5CC7">
            <w:pPr>
              <w:pStyle w:val="NApunkts2"/>
              <w:numPr>
                <w:ilvl w:val="0"/>
                <w:numId w:val="0"/>
              </w:numPr>
              <w:spacing w:after="120"/>
              <w:rPr>
                <w:bCs/>
                <w:highlight w:val="yellow"/>
              </w:rPr>
            </w:pPr>
            <w:r>
              <w:rPr>
                <w:bCs/>
              </w:rPr>
              <w:t>N</w:t>
            </w:r>
            <w:r w:rsidR="008F6F80" w:rsidRPr="008F6F80">
              <w:rPr>
                <w:bCs/>
              </w:rPr>
              <w:t>oteikumi</w:t>
            </w:r>
            <w:r w:rsidR="00CE1742">
              <w:rPr>
                <w:bCs/>
              </w:rPr>
              <w:t xml:space="preserve"> pēc apstiprināšanas</w:t>
            </w:r>
            <w:r w:rsidR="008F6F80" w:rsidRPr="008F6F80">
              <w:rPr>
                <w:bCs/>
              </w:rPr>
              <w:t xml:space="preserve"> būs saistoši maksājumu pakalpojumu sniedzējiem, ja tie sniedz ar maksājumu kontu saistītus pakalpojumus Latvijā</w:t>
            </w:r>
            <w:r w:rsidR="003A5CC7">
              <w:rPr>
                <w:bCs/>
              </w:rPr>
              <w:t>.</w:t>
            </w:r>
            <w:r w:rsidR="008F6F80" w:rsidRPr="008F6F80">
              <w:rPr>
                <w:bCs/>
              </w:rPr>
              <w:t xml:space="preserve"> </w:t>
            </w:r>
          </w:p>
        </w:tc>
      </w:tr>
      <w:tr w:rsidR="00F62DE2" w:rsidRPr="004E3F4A" w14:paraId="0A6F58C3" w14:textId="77777777" w:rsidTr="00ED184E">
        <w:trPr>
          <w:trHeight w:val="770"/>
        </w:trPr>
        <w:tc>
          <w:tcPr>
            <w:tcW w:w="1248" w:type="pct"/>
            <w:shd w:val="clear" w:color="auto" w:fill="auto"/>
            <w:hideMark/>
          </w:tcPr>
          <w:p w14:paraId="427434F4" w14:textId="77777777" w:rsidR="00A42788" w:rsidRPr="004E3F4A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Leģitīmais mērķis</w:t>
            </w:r>
          </w:p>
          <w:p w14:paraId="7F2053CC" w14:textId="77777777" w:rsidR="00CA28AB" w:rsidRPr="004E3F4A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226E62E5" w14:textId="605184E3" w:rsidR="008F6F80" w:rsidRDefault="0033570B" w:rsidP="008F6F8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F6F80"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rojekts nepieciešams, lai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nodrošinātu Likumā noteiktā deleģējuma izpildi un regulētu </w:t>
            </w: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>patērētāj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F80" w:rsidRPr="008F6F80">
              <w:rPr>
                <w:rFonts w:ascii="Times New Roman" w:hAnsi="Times New Roman" w:cs="Times New Roman"/>
                <w:sz w:val="24"/>
                <w:szCs w:val="24"/>
              </w:rPr>
              <w:t>un maksājumu pakalpojumu sniedzēj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F6F80"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tiesības un pienākumus </w:t>
            </w:r>
            <w:r w:rsidR="008F6F80"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kontu maiņas pakalpojuma </w:t>
            </w: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>sniegšan</w:t>
            </w:r>
            <w:r w:rsidR="00E761C7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Projekts nosaka minētā pakalpojuma sniegšanas </w:t>
            </w:r>
            <w:r w:rsidR="008F6F80"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kārtību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attiecīgi šādā veidā </w:t>
            </w:r>
            <w:r w:rsidR="008F6F80"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maksājumu pakalpojumu sniedzējiem </w:t>
            </w: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>nodrošin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F80" w:rsidRPr="008F6F80">
              <w:rPr>
                <w:rFonts w:ascii="Times New Roman" w:hAnsi="Times New Roman" w:cs="Times New Roman"/>
                <w:sz w:val="24"/>
                <w:szCs w:val="24"/>
              </w:rPr>
              <w:t>vienlīdzīgus konkurences apstākļus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tādējādi kalpojot sabiedrības interes</w:t>
            </w:r>
            <w:r w:rsidR="00CE1742">
              <w:rPr>
                <w:rFonts w:ascii="Times New Roman" w:hAnsi="Times New Roman" w:cs="Times New Roman"/>
                <w:sz w:val="24"/>
                <w:szCs w:val="24"/>
              </w:rPr>
              <w:t>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saņemt kvalitatīvu pakalpojumu godīgos tirgus konkurences apstākļos</w:t>
            </w:r>
            <w:r w:rsidR="008F6F80" w:rsidRPr="008F6F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3BAD2D" w14:textId="3263DC0C" w:rsidR="000D1EBD" w:rsidRPr="00C14A12" w:rsidRDefault="002451FF" w:rsidP="00FB6D5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yellow"/>
                <w:lang w:eastAsia="lv-LV"/>
              </w:rPr>
            </w:pPr>
            <w:r w:rsidRPr="003B5143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Līdz ar to </w:t>
            </w:r>
            <w:r w:rsidR="00FB3B81" w:rsidRPr="003B5143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noteikumi tiek izdoti citu personu tiesību un sabiedrības labklājības aizsardzībai</w:t>
            </w:r>
            <w:r w:rsidR="007F047A" w:rsidRPr="003B5143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2DE2" w:rsidRPr="004E3F4A" w14:paraId="490AA477" w14:textId="77777777" w:rsidTr="00ED184E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6CACFA44" w14:textId="77777777" w:rsidR="00A42788" w:rsidRPr="004E3F4A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Samērīgums</w:t>
            </w:r>
          </w:p>
          <w:p w14:paraId="430A0335" w14:textId="77777777" w:rsidR="00CA28AB" w:rsidRPr="004E3F4A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64A04021" w14:textId="21650276" w:rsidR="00B64303" w:rsidRDefault="00960636" w:rsidP="0096063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636">
              <w:rPr>
                <w:rFonts w:ascii="Times New Roman" w:hAnsi="Times New Roman" w:cs="Times New Roman"/>
                <w:sz w:val="24"/>
                <w:szCs w:val="24"/>
              </w:rPr>
              <w:t xml:space="preserve">Atbilstošākais veids, kā noteikt vienotas prasības saistībā ar informācijas sniegšanu, kuras nodrošina normatīvajos aktos noteikto prasību izpildi, ir izdot tirgus dalībniekiem saistošus noteikumus, kuri sniedz skaidru priekšstatu par </w:t>
            </w:r>
            <w:r w:rsidR="00B64303" w:rsidRPr="00B64303">
              <w:rPr>
                <w:rFonts w:ascii="Times New Roman" w:hAnsi="Times New Roman" w:cs="Times New Roman"/>
                <w:sz w:val="24"/>
                <w:szCs w:val="24"/>
              </w:rPr>
              <w:t>saprotamu un savstarpēji salīdzināmu informāciju par konta un ar to saistīto pakalpojumu maksām</w:t>
            </w:r>
            <w:r w:rsidR="0033570B">
              <w:rPr>
                <w:rFonts w:ascii="Times New Roman" w:hAnsi="Times New Roman" w:cs="Times New Roman"/>
                <w:sz w:val="24"/>
                <w:szCs w:val="24"/>
              </w:rPr>
              <w:t xml:space="preserve"> (tarifiem)</w:t>
            </w:r>
            <w:r w:rsidR="00B64303" w:rsidRPr="00B64303">
              <w:rPr>
                <w:rFonts w:ascii="Times New Roman" w:hAnsi="Times New Roman" w:cs="Times New Roman"/>
                <w:sz w:val="24"/>
                <w:szCs w:val="24"/>
              </w:rPr>
              <w:t xml:space="preserve"> un informāciju par patērētāja konta izmaksām noteiktā laika periodā.</w:t>
            </w:r>
          </w:p>
          <w:p w14:paraId="5CF4A8D0" w14:textId="77777777" w:rsidR="00B64303" w:rsidRDefault="00960636" w:rsidP="0096063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636">
              <w:rPr>
                <w:rFonts w:ascii="Times New Roman" w:hAnsi="Times New Roman" w:cs="Times New Roman"/>
                <w:sz w:val="24"/>
                <w:szCs w:val="24"/>
              </w:rPr>
              <w:t xml:space="preserve">Projekts kopumā un tajā ietvertās tiesību normas atbilst samērīguma principam, jo: </w:t>
            </w:r>
          </w:p>
          <w:p w14:paraId="0D279EEE" w14:textId="3C0D153D" w:rsidR="00960636" w:rsidRPr="00960636" w:rsidRDefault="00960636" w:rsidP="0096063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636">
              <w:rPr>
                <w:rFonts w:ascii="Times New Roman" w:hAnsi="Times New Roman" w:cs="Times New Roman"/>
                <w:sz w:val="24"/>
                <w:szCs w:val="24"/>
              </w:rPr>
              <w:t>- pirmkārt, ar projektu un tajā ietvertajām prasībām tiek sasniegts leģitīmais mērķis (citu personu tiesību un sabiedrības labklājības aizsardzība);</w:t>
            </w:r>
          </w:p>
          <w:p w14:paraId="7A50938C" w14:textId="77777777" w:rsidR="00B64303" w:rsidRDefault="00960636" w:rsidP="00960636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636">
              <w:rPr>
                <w:rFonts w:ascii="Times New Roman" w:hAnsi="Times New Roman" w:cs="Times New Roman"/>
                <w:sz w:val="24"/>
                <w:szCs w:val="24"/>
              </w:rPr>
              <w:t xml:space="preserve">- otrkārt, nepastāv tādi alternatīvi līdzekļi, kas sasniegtu leģitīmo mērķi tādā pašā kvalitātē; </w:t>
            </w:r>
          </w:p>
          <w:p w14:paraId="546A7B0D" w14:textId="43AF299B" w:rsidR="00FB6D54" w:rsidRDefault="00960636" w:rsidP="00FB6D5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636">
              <w:rPr>
                <w:rFonts w:ascii="Times New Roman" w:hAnsi="Times New Roman" w:cs="Times New Roman"/>
                <w:sz w:val="24"/>
                <w:szCs w:val="24"/>
              </w:rPr>
              <w:t xml:space="preserve">- treškārt, labums, ko iegūs sabiedrība, būs lielāks par projektā ietverto prasību </w:t>
            </w:r>
            <w:r w:rsidR="00CD36A1" w:rsidRPr="00960636">
              <w:rPr>
                <w:rFonts w:ascii="Times New Roman" w:hAnsi="Times New Roman" w:cs="Times New Roman"/>
                <w:sz w:val="24"/>
                <w:szCs w:val="24"/>
              </w:rPr>
              <w:t>radīt</w:t>
            </w:r>
            <w:r w:rsidR="00CD36A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D36A1" w:rsidRPr="00960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36A1">
              <w:rPr>
                <w:rFonts w:ascii="Times New Roman" w:hAnsi="Times New Roman" w:cs="Times New Roman"/>
                <w:sz w:val="24"/>
                <w:szCs w:val="24"/>
              </w:rPr>
              <w:t>slogu finanšu tirgus dalībniekam</w:t>
            </w:r>
            <w:r w:rsidRPr="00960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241A92" w14:textId="3BFD7B32" w:rsidR="0033570B" w:rsidRDefault="0033570B" w:rsidP="008F6F8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Būtiski atzīmēt, ka šāda pieeja izsvērta, pieņemot Eiropas Savienības tiesību aktu</w:t>
            </w:r>
            <w:r w:rsidR="00F10B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Direktīvu</w:t>
            </w:r>
            <w:r w:rsidR="00F10B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2014/92/ES, kuras prasības ievie</w:t>
            </w:r>
            <w:r w:rsidR="002D1ED8">
              <w:rPr>
                <w:rFonts w:ascii="Times New Roman" w:hAnsi="Times New Roman" w:cs="Times New Roman"/>
                <w:sz w:val="24"/>
                <w:szCs w:val="24"/>
              </w:rPr>
              <w:t>stas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Likumu un uz tā pamata izdotajiem noteikumiem.</w:t>
            </w:r>
          </w:p>
          <w:p w14:paraId="41524855" w14:textId="066C07E8" w:rsidR="008F6F80" w:rsidRPr="008F6F80" w:rsidRDefault="008F6F80" w:rsidP="008F6F8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>Spēkā esošie normatīvie akti nosaka, ka maksājumu pakalpojum</w:t>
            </w:r>
            <w:r w:rsidR="002D1ED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 sniedzējs sniedz kontu maiņas pakalpojumu, pamatojoties uz </w:t>
            </w:r>
            <w:r w:rsidR="0033570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ikumu, taču tas </w:t>
            </w:r>
            <w:r w:rsidR="00880ADF">
              <w:rPr>
                <w:rFonts w:ascii="Times New Roman" w:hAnsi="Times New Roman" w:cs="Times New Roman"/>
                <w:sz w:val="24"/>
                <w:szCs w:val="24"/>
              </w:rPr>
              <w:t xml:space="preserve">detalizēti </w:t>
            </w: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nenosaka kontu maiņas pakalpojuma sniegšanas kārtību. </w:t>
            </w:r>
          </w:p>
          <w:p w14:paraId="5893DE77" w14:textId="5528E920" w:rsidR="008F6F80" w:rsidRDefault="008F6F80" w:rsidP="008F6F8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Atbilstošākais veids, kā noteikt vienotas prasības </w:t>
            </w:r>
            <w:r w:rsidR="002D1ED8">
              <w:rPr>
                <w:rFonts w:ascii="Times New Roman" w:hAnsi="Times New Roman" w:cs="Times New Roman"/>
                <w:sz w:val="24"/>
                <w:szCs w:val="24"/>
              </w:rPr>
              <w:t xml:space="preserve">attiecībā uz </w:t>
            </w: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>kontu maiņas pakalpojuma sniegšanas kārtīb</w:t>
            </w:r>
            <w:r w:rsidR="002D1ED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>, tai skaitā kontu maiņas pieprasījuma satur</w:t>
            </w:r>
            <w:r w:rsidR="002D1ED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 un form</w:t>
            </w:r>
            <w:r w:rsidR="002D1ED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F6F80">
              <w:rPr>
                <w:rFonts w:ascii="Times New Roman" w:hAnsi="Times New Roman" w:cs="Times New Roman"/>
                <w:sz w:val="24"/>
                <w:szCs w:val="24"/>
              </w:rPr>
              <w:t>, ir izdot patērētājiem un maksājumu pakalpojumu sniedzējiem saistošus noteikumus.</w:t>
            </w:r>
          </w:p>
          <w:p w14:paraId="7229CF82" w14:textId="678B0D1D" w:rsidR="008F6F80" w:rsidRPr="00C14A12" w:rsidRDefault="003042CB" w:rsidP="008F6F80">
            <w:pPr>
              <w:spacing w:after="12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Projekts</w:t>
            </w:r>
            <w:r w:rsidR="008F6F80"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 attiecinām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F6F80"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 uz maksājumu pakalpojumu sniedzējiem, ja tie sniedz ar maksājumu kontu saistītus pakalpojumus Latvijā un maksājumu konti ir </w:t>
            </w:r>
            <w:r w:rsidR="008F6F80" w:rsidRPr="008F6F8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</w:t>
            </w:r>
            <w:r w:rsidR="008F6F80" w:rsidRPr="008F6F80">
              <w:rPr>
                <w:rFonts w:ascii="Times New Roman" w:hAnsi="Times New Roman" w:cs="Times New Roman"/>
                <w:sz w:val="24"/>
                <w:szCs w:val="24"/>
              </w:rPr>
              <w:t xml:space="preserve"> valūtā.</w:t>
            </w:r>
          </w:p>
        </w:tc>
      </w:tr>
      <w:tr w:rsidR="00F62DE2" w:rsidRPr="004E3F4A" w14:paraId="7803B4D4" w14:textId="77777777" w:rsidTr="00ED184E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385434FC" w14:textId="77777777" w:rsidR="00A42788" w:rsidRPr="004E3F4A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Spēkā stāšanās</w:t>
            </w:r>
          </w:p>
          <w:p w14:paraId="11817387" w14:textId="77777777" w:rsidR="00CA28AB" w:rsidRPr="004E3F4A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2E39BC90" w14:textId="5DF75185" w:rsidR="0016709D" w:rsidRPr="004E3F4A" w:rsidRDefault="0062751E" w:rsidP="00D304A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1547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Atbilstoši Latvijas Bankas likuma 8.</w:t>
            </w:r>
            <w:r w:rsidR="003F3859" w:rsidRPr="0051547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51547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panta otrajai daļai</w:t>
            </w:r>
            <w:r w:rsidR="003F3859" w:rsidRPr="0051547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F62DE2" w:rsidRPr="0051547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–</w:t>
            </w:r>
            <w:r w:rsidRPr="0051547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nākamajā dienā pēc noteikumu publicēšanas oficiālajā izdevumā ''Latvijas Vēstnesis''</w:t>
            </w:r>
            <w:r w:rsidR="00F62DE2" w:rsidRPr="0051547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F62DE2" w:rsidRPr="004E3F4A" w14:paraId="334FA83B" w14:textId="77777777" w:rsidTr="00ED184E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413D2506" w14:textId="77777777" w:rsidR="00A42788" w:rsidRPr="004E3F4A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Ietekme uz Latvijas Bankas budžetu</w:t>
            </w:r>
          </w:p>
          <w:p w14:paraId="61C22255" w14:textId="77777777" w:rsidR="00CA28AB" w:rsidRPr="004E3F4A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6FABF7D5" w14:textId="60FEEA42" w:rsidR="00E53DE9" w:rsidRPr="004E3F4A" w:rsidRDefault="0062751E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4E3F4A">
              <w:rPr>
                <w:rFonts w:ascii="Times New Roman" w:hAnsi="Times New Roman" w:cs="Times New Roman"/>
                <w:iCs/>
                <w:sz w:val="24"/>
                <w:szCs w:val="24"/>
              </w:rPr>
              <w:t>Nav ietekme</w:t>
            </w:r>
            <w:r w:rsidR="003F3859" w:rsidRPr="004E3F4A"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Pr="004E3F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uz Latvijas Bankas budžetu</w:t>
            </w:r>
            <w:r w:rsidR="00F62DE2" w:rsidRPr="004E3F4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F62DE2" w:rsidRPr="004E3F4A" w14:paraId="3AA013AA" w14:textId="77777777" w:rsidTr="00ED184E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11F5B109" w14:textId="77777777" w:rsidR="00A42788" w:rsidRPr="004E3F4A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Administratīvā sloga un izmaksu novērtējums </w:t>
            </w:r>
            <w:r w:rsidR="00C85C34"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</w:t>
            </w:r>
            <w:r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tirgus dalībniekiem</w:t>
            </w:r>
            <w:r w:rsidR="00C85C34"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  <w:p w14:paraId="19955254" w14:textId="77777777" w:rsidR="00CA28AB" w:rsidRPr="004E3F4A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1FC0E256" w14:textId="302CD486" w:rsidR="002003FD" w:rsidRPr="004E3F4A" w:rsidRDefault="0042517C" w:rsidP="00C92CBE">
            <w:pPr>
              <w:spacing w:after="120" w:line="240" w:lineRule="auto"/>
              <w:jc w:val="both"/>
              <w:rPr>
                <w:rStyle w:val="cf01"/>
                <w:rFonts w:ascii="Times New Roman" w:hAnsi="Times New Roman" w:cs="Times New Roman"/>
                <w:sz w:val="24"/>
                <w:szCs w:val="24"/>
              </w:rPr>
            </w:pPr>
            <w:r w:rsidRPr="004E3F4A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Salīdzinot ar Noteikumiem Nr. </w:t>
            </w:r>
            <w:r w:rsidR="00C14A12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8</w:t>
            </w:r>
            <w:r w:rsidR="008F6F80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3</w:t>
            </w:r>
            <w:r w:rsidR="008F6091" w:rsidRPr="004E3F4A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E3F4A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projekts neparedz jaunas prasības </w:t>
            </w:r>
            <w:r w:rsidR="00960636" w:rsidRPr="00960636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maksājumu pakalpojumu sniedzējiem</w:t>
            </w:r>
            <w:r w:rsidR="00357118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08432DD" w14:textId="122AB01E" w:rsidR="00A42788" w:rsidRPr="004E3F4A" w:rsidRDefault="00A42788" w:rsidP="000F1D7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62DE2" w:rsidRPr="004E3F4A" w14:paraId="3F88AC9B" w14:textId="77777777" w:rsidTr="00ED184E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2A1F3042" w14:textId="77777777" w:rsidR="00A42788" w:rsidRPr="004E3F4A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Saistītie dokumenti</w:t>
            </w:r>
          </w:p>
          <w:p w14:paraId="098B231B" w14:textId="77777777" w:rsidR="00CA28AB" w:rsidRPr="004E3F4A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311BC643" w14:textId="3252368C" w:rsidR="00F11CFF" w:rsidRPr="004E3F4A" w:rsidRDefault="00F11CFF" w:rsidP="009F2F3C">
            <w:pPr>
              <w:pStyle w:val="NApunkts2"/>
              <w:numPr>
                <w:ilvl w:val="0"/>
                <w:numId w:val="0"/>
              </w:numPr>
              <w:tabs>
                <w:tab w:val="left" w:pos="487"/>
              </w:tabs>
              <w:spacing w:after="120"/>
            </w:pPr>
            <w:r w:rsidRPr="004E3F4A">
              <w:t>Ar projektu saistīti:</w:t>
            </w:r>
          </w:p>
          <w:p w14:paraId="65BCFE57" w14:textId="263D52EB" w:rsidR="00674B05" w:rsidRPr="004E3F4A" w:rsidRDefault="003042CB" w:rsidP="00AE1B80">
            <w:pPr>
              <w:pStyle w:val="NApunkts2"/>
              <w:numPr>
                <w:ilvl w:val="0"/>
                <w:numId w:val="23"/>
              </w:numPr>
              <w:tabs>
                <w:tab w:val="left" w:pos="321"/>
              </w:tabs>
              <w:spacing w:after="120"/>
              <w:ind w:left="0" w:firstLine="0"/>
            </w:pPr>
            <w:r>
              <w:t>L</w:t>
            </w:r>
            <w:r w:rsidR="00BF1839" w:rsidRPr="004E3F4A">
              <w:t>ikums;</w:t>
            </w:r>
          </w:p>
          <w:p w14:paraId="050FB705" w14:textId="7C6A1206" w:rsidR="00E53DE9" w:rsidRPr="004E3F4A" w:rsidRDefault="00C762C2" w:rsidP="00AE1B80">
            <w:pPr>
              <w:pStyle w:val="NApunkts2"/>
              <w:numPr>
                <w:ilvl w:val="0"/>
                <w:numId w:val="23"/>
              </w:numPr>
              <w:tabs>
                <w:tab w:val="left" w:pos="321"/>
              </w:tabs>
              <w:spacing w:after="120"/>
              <w:ind w:left="0" w:firstLine="0"/>
            </w:pPr>
            <w:r w:rsidRPr="004E3F4A">
              <w:t>Noteikumi Nr. </w:t>
            </w:r>
            <w:r w:rsidR="00D11139">
              <w:t>8</w:t>
            </w:r>
            <w:r w:rsidR="008F6F80">
              <w:t>3</w:t>
            </w:r>
            <w:r w:rsidR="00BF1839" w:rsidRPr="004E3F4A">
              <w:t>;</w:t>
            </w:r>
          </w:p>
          <w:p w14:paraId="39CE6F18" w14:textId="228FC925" w:rsidR="00006B2C" w:rsidRPr="004E3F4A" w:rsidRDefault="00006B2C" w:rsidP="00AE1B80">
            <w:pPr>
              <w:pStyle w:val="NApunkts2"/>
              <w:numPr>
                <w:ilvl w:val="0"/>
                <w:numId w:val="23"/>
              </w:numPr>
              <w:tabs>
                <w:tab w:val="left" w:pos="336"/>
              </w:tabs>
              <w:spacing w:after="120"/>
              <w:ind w:left="0" w:firstLine="0"/>
            </w:pPr>
            <w:r w:rsidRPr="00006B2C">
              <w:t>Direktīva 2014/92/ES</w:t>
            </w:r>
            <w:r>
              <w:t>.</w:t>
            </w:r>
          </w:p>
        </w:tc>
      </w:tr>
      <w:tr w:rsidR="00F62DE2" w:rsidRPr="004E3F4A" w14:paraId="48A1FBA5" w14:textId="77777777" w:rsidTr="00ED184E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79529BAF" w14:textId="77777777" w:rsidR="00A42788" w:rsidRPr="004E3F4A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Eiropas Centrālo banku</w:t>
            </w:r>
          </w:p>
          <w:p w14:paraId="712B7F8F" w14:textId="77777777" w:rsidR="00CA28AB" w:rsidRPr="004E3F4A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2CC97BE0" w14:textId="1067EE96" w:rsidR="00A42788" w:rsidRPr="004E3F4A" w:rsidRDefault="0062751E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nepieciešama</w:t>
            </w:r>
            <w:r w:rsidR="00F62DE2" w:rsidRPr="004E3F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F62DE2" w:rsidRPr="004E3F4A" w14:paraId="1F40980D" w14:textId="77777777" w:rsidTr="00ED184E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093FB66C" w14:textId="77777777" w:rsidR="00A42788" w:rsidRPr="004E3F4A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citām publiskām un privātām personām</w:t>
            </w:r>
          </w:p>
          <w:p w14:paraId="6C45F9AA" w14:textId="77777777" w:rsidR="00CA28AB" w:rsidRPr="004E3F4A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5387E3F2" w14:textId="448FA34A" w:rsidR="00F9770A" w:rsidRPr="004E3F4A" w:rsidRDefault="00F9770A" w:rsidP="00F9770A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9770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Noteikumu projekts tika publicēts Latvijas Bankas tīmekļvietnes www.bank.lv sadaļas "Tiesību akti" </w:t>
            </w:r>
            <w:proofErr w:type="spellStart"/>
            <w:r w:rsidRPr="00F9770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apakšsadaļā</w:t>
            </w:r>
            <w:proofErr w:type="spellEnd"/>
            <w:r w:rsidRPr="00F9770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"Sabiedrības līdzdalība", un sabiedrībai līdz 2024. gada </w:t>
            </w: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29.maijam</w:t>
            </w:r>
            <w:r w:rsidRPr="00F9770A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bija iespēja iesaistīties tā apspriešanā. Vienlaikus par noteikumu projektu un notiekošo sabiedrības līdzdalību tika informēta Latvijas Maksājumu pakalpojumu un elektroniskās naudas iestāžu asociācija, Finanšu nozares asociācija un AS ''Rietumu banka''. </w:t>
            </w:r>
          </w:p>
        </w:tc>
      </w:tr>
      <w:tr w:rsidR="00F62DE2" w:rsidRPr="004E3F4A" w14:paraId="542C6B80" w14:textId="77777777" w:rsidTr="00ED184E">
        <w:trPr>
          <w:trHeight w:val="567"/>
        </w:trPr>
        <w:tc>
          <w:tcPr>
            <w:tcW w:w="1248" w:type="pct"/>
            <w:shd w:val="clear" w:color="auto" w:fill="auto"/>
            <w:hideMark/>
          </w:tcPr>
          <w:p w14:paraId="0C15FC19" w14:textId="77777777" w:rsidR="00A42788" w:rsidRPr="004E3F4A" w:rsidRDefault="00A42788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E3F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Saskaņošanas rezultāti</w:t>
            </w:r>
          </w:p>
          <w:p w14:paraId="42750899" w14:textId="77777777" w:rsidR="00CA28AB" w:rsidRPr="004E3F4A" w:rsidRDefault="00CA28AB" w:rsidP="00F6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752" w:type="pct"/>
            <w:shd w:val="clear" w:color="auto" w:fill="auto"/>
          </w:tcPr>
          <w:p w14:paraId="1ED7B44B" w14:textId="3630F402" w:rsidR="00515473" w:rsidRPr="004E3F4A" w:rsidRDefault="00564637" w:rsidP="00F10BD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646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Saskaņošanas procesā un sabiedrības līdzdalības gaitā priekšlikum</w:t>
            </w:r>
            <w:r w:rsidR="00F9770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5646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iebildum</w:t>
            </w:r>
            <w:r w:rsidR="00F9770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</w:t>
            </w:r>
            <w:r w:rsidRPr="0056463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F9770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netika saņemti</w:t>
            </w:r>
          </w:p>
        </w:tc>
      </w:tr>
    </w:tbl>
    <w:p w14:paraId="6C17CC46" w14:textId="77777777" w:rsidR="00C23BE8" w:rsidRDefault="00C23BE8" w:rsidP="00E32A2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23BE8" w:rsidSect="008743B4">
          <w:headerReference w:type="default" r:id="rId11"/>
          <w:pgSz w:w="11906" w:h="16838" w:code="9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14:paraId="4473720E" w14:textId="616DFD6F" w:rsidR="00C23BE8" w:rsidRDefault="008B48CB" w:rsidP="001A5FF2">
      <w:pPr>
        <w:spacing w:after="0" w:line="240" w:lineRule="auto"/>
        <w:ind w:right="-50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Pielikums </w:t>
      </w:r>
      <w:r w:rsidR="00C23BE8" w:rsidRPr="00C23B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Latvijas Bankas noteikumu projekta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C23BE8" w:rsidRPr="00C23BE8">
        <w:rPr>
          <w:rFonts w:ascii="Times New Roman" w:hAnsi="Times New Roman" w:cs="Times New Roman"/>
          <w:color w:val="000000" w:themeColor="text1"/>
          <w:sz w:val="24"/>
          <w:szCs w:val="24"/>
        </w:rPr>
        <w:t>anotācijai</w:t>
      </w:r>
    </w:p>
    <w:p w14:paraId="417699DD" w14:textId="77777777" w:rsidR="00D1147D" w:rsidRPr="00C23BE8" w:rsidRDefault="00D1147D" w:rsidP="001A5FF2">
      <w:pPr>
        <w:spacing w:after="0" w:line="240" w:lineRule="auto"/>
        <w:ind w:right="-501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8CD677" w14:textId="77777777" w:rsidR="00C23BE8" w:rsidRPr="00C23BE8" w:rsidRDefault="00C23BE8" w:rsidP="00D1147D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3B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Eiropas Savienības tiesību aktu pārņemšanas/ieviešanas tabula</w:t>
      </w:r>
    </w:p>
    <w:p w14:paraId="660413C9" w14:textId="49DAD966" w:rsidR="00C23BE8" w:rsidRPr="00C23BE8" w:rsidRDefault="00C23BE8" w:rsidP="00486455">
      <w:pPr>
        <w:spacing w:line="240" w:lineRule="auto"/>
        <w:ind w:left="-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23B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Latvijas Bankas noteikumu projekta nosaukums: </w:t>
      </w:r>
      <w:r w:rsidRPr="00C23B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"</w:t>
      </w:r>
      <w:r w:rsidR="00445DE8" w:rsidRPr="00445DE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Kontu maiņas pakalpojuma sniegšanas </w:t>
      </w:r>
      <w:r w:rsidR="002D1ED8">
        <w:rPr>
          <w:rFonts w:ascii="Times New Roman" w:eastAsia="Times New Roman" w:hAnsi="Times New Roman" w:cs="Times New Roman"/>
          <w:sz w:val="24"/>
          <w:szCs w:val="24"/>
          <w:lang w:eastAsia="lv-LV"/>
        </w:rPr>
        <w:t>kārtība</w:t>
      </w:r>
      <w:r w:rsidRPr="00C23BE8">
        <w:rPr>
          <w:rFonts w:ascii="Times New Roman" w:eastAsia="Times New Roman" w:hAnsi="Times New Roman" w:cs="Times New Roman"/>
          <w:sz w:val="24"/>
          <w:szCs w:val="24"/>
          <w:lang w:eastAsia="lv-LV"/>
        </w:rPr>
        <w:t>" (turpmāk</w:t>
      </w:r>
      <w:r w:rsidR="00F10BD5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C23BE8">
        <w:rPr>
          <w:rFonts w:ascii="Times New Roman" w:eastAsia="Times New Roman" w:hAnsi="Times New Roman" w:cs="Times New Roman"/>
          <w:sz w:val="24"/>
          <w:szCs w:val="24"/>
          <w:lang w:eastAsia="lv-LV"/>
        </w:rPr>
        <w:t>– projekts)</w:t>
      </w:r>
    </w:p>
    <w:p w14:paraId="4577EC26" w14:textId="41C081F4" w:rsidR="00C23BE8" w:rsidRPr="00C23BE8" w:rsidRDefault="00C23BE8" w:rsidP="00486455">
      <w:pPr>
        <w:spacing w:line="240" w:lineRule="auto"/>
        <w:ind w:left="-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23B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Eiropas Savienības tiesību akta nosaukums:</w:t>
      </w:r>
      <w:r w:rsidRPr="00C23BE8">
        <w:rPr>
          <w:rFonts w:ascii="Times New Roman" w:hAnsi="Times New Roman" w:cs="Times New Roman"/>
          <w:sz w:val="24"/>
          <w:szCs w:val="24"/>
        </w:rPr>
        <w:t xml:space="preserve"> Eiropas Parlamenta un Padomes </w:t>
      </w:r>
      <w:r w:rsidR="00006B2C" w:rsidRPr="00006B2C">
        <w:rPr>
          <w:rFonts w:ascii="Times New Roman" w:hAnsi="Times New Roman" w:cs="Times New Roman"/>
          <w:sz w:val="24"/>
          <w:szCs w:val="24"/>
        </w:rPr>
        <w:t>2014.</w:t>
      </w:r>
      <w:r w:rsidR="00F10BD5">
        <w:rPr>
          <w:rFonts w:ascii="Times New Roman" w:hAnsi="Times New Roman" w:cs="Times New Roman"/>
          <w:sz w:val="24"/>
          <w:szCs w:val="24"/>
        </w:rPr>
        <w:t> </w:t>
      </w:r>
      <w:r w:rsidR="00006B2C" w:rsidRPr="00006B2C">
        <w:rPr>
          <w:rFonts w:ascii="Times New Roman" w:hAnsi="Times New Roman" w:cs="Times New Roman"/>
          <w:sz w:val="24"/>
          <w:szCs w:val="24"/>
        </w:rPr>
        <w:t>gada 23.</w:t>
      </w:r>
      <w:r w:rsidR="00F10BD5">
        <w:rPr>
          <w:rFonts w:ascii="Times New Roman" w:hAnsi="Times New Roman" w:cs="Times New Roman"/>
          <w:sz w:val="24"/>
          <w:szCs w:val="24"/>
        </w:rPr>
        <w:t> </w:t>
      </w:r>
      <w:r w:rsidR="00006B2C" w:rsidRPr="00006B2C">
        <w:rPr>
          <w:rFonts w:ascii="Times New Roman" w:hAnsi="Times New Roman" w:cs="Times New Roman"/>
          <w:sz w:val="24"/>
          <w:szCs w:val="24"/>
        </w:rPr>
        <w:t xml:space="preserve">jūlija </w:t>
      </w:r>
      <w:r w:rsidR="002D1ED8">
        <w:rPr>
          <w:rFonts w:ascii="Times New Roman" w:hAnsi="Times New Roman" w:cs="Times New Roman"/>
          <w:sz w:val="24"/>
          <w:szCs w:val="24"/>
        </w:rPr>
        <w:t>d</w:t>
      </w:r>
      <w:r w:rsidR="00006B2C" w:rsidRPr="00006B2C">
        <w:rPr>
          <w:rFonts w:ascii="Times New Roman" w:hAnsi="Times New Roman" w:cs="Times New Roman"/>
          <w:sz w:val="24"/>
          <w:szCs w:val="24"/>
        </w:rPr>
        <w:t>irektīva 2014/92/ES par maksājumu kontu tarifu salīdzināmību, maksājumu kontu maiņu un piekļuvi maksājumu kontiem ar pamatfunkcijām</w:t>
      </w:r>
      <w:r w:rsidRPr="00C23BE8">
        <w:rPr>
          <w:rFonts w:ascii="Times New Roman" w:hAnsi="Times New Roman" w:cs="Times New Roman"/>
          <w:sz w:val="24"/>
          <w:szCs w:val="24"/>
        </w:rPr>
        <w:t xml:space="preserve"> (turpmāk – </w:t>
      </w:r>
      <w:r w:rsidR="00006B2C">
        <w:rPr>
          <w:rFonts w:ascii="Times New Roman" w:hAnsi="Times New Roman" w:cs="Times New Roman"/>
          <w:sz w:val="24"/>
          <w:szCs w:val="24"/>
        </w:rPr>
        <w:t>Direktīva 2014/92</w:t>
      </w:r>
      <w:r w:rsidR="006E68D0">
        <w:rPr>
          <w:rFonts w:ascii="Times New Roman" w:hAnsi="Times New Roman" w:cs="Times New Roman"/>
          <w:sz w:val="24"/>
          <w:szCs w:val="24"/>
        </w:rPr>
        <w:t>/ES</w:t>
      </w:r>
      <w:r w:rsidRPr="00C23BE8">
        <w:rPr>
          <w:rFonts w:ascii="Times New Roman" w:hAnsi="Times New Roman" w:cs="Times New Roman"/>
          <w:sz w:val="24"/>
          <w:szCs w:val="24"/>
        </w:rPr>
        <w:t>)</w:t>
      </w:r>
      <w:r w:rsidRPr="00C23B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tbl>
      <w:tblPr>
        <w:tblStyle w:val="TableGrid"/>
        <w:tblpPr w:leftFromText="180" w:rightFromText="180" w:vertAnchor="text" w:tblpX="-582" w:tblpY="1"/>
        <w:tblW w:w="14864" w:type="dxa"/>
        <w:tblLook w:val="04A0" w:firstRow="1" w:lastRow="0" w:firstColumn="1" w:lastColumn="0" w:noHBand="0" w:noVBand="1"/>
      </w:tblPr>
      <w:tblGrid>
        <w:gridCol w:w="2590"/>
        <w:gridCol w:w="2358"/>
        <w:gridCol w:w="2661"/>
        <w:gridCol w:w="2604"/>
        <w:gridCol w:w="2185"/>
        <w:gridCol w:w="2466"/>
      </w:tblGrid>
      <w:tr w:rsidR="006F258C" w:rsidRPr="00C23BE8" w14:paraId="6FD0F513" w14:textId="77777777" w:rsidTr="00486455">
        <w:trPr>
          <w:trHeight w:val="3529"/>
        </w:trPr>
        <w:tc>
          <w:tcPr>
            <w:tcW w:w="2590" w:type="dxa"/>
          </w:tcPr>
          <w:p w14:paraId="24AB3763" w14:textId="77777777" w:rsidR="00C23BE8" w:rsidRPr="00C23BE8" w:rsidRDefault="00C23BE8" w:rsidP="00486455">
            <w:pPr>
              <w:spacing w:after="160"/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Eiropas Savienības tiesību akta pants, punkts vai apakšpunkts, kurā paredzētās prasības Latvijā jāizpilda </w:t>
            </w:r>
            <w:r w:rsidRPr="00C23BE8">
              <w:rPr>
                <w:rFonts w:eastAsiaTheme="minorHAnsi"/>
                <w:i/>
                <w:iCs/>
                <w:color w:val="000000" w:themeColor="text1"/>
                <w:sz w:val="24"/>
                <w:szCs w:val="24"/>
                <w:lang w:eastAsia="en-US"/>
              </w:rPr>
              <w:t>(norāda pēc iespējas konkrētāku teksta vienību)</w:t>
            </w:r>
          </w:p>
        </w:tc>
        <w:tc>
          <w:tcPr>
            <w:tcW w:w="2358" w:type="dxa"/>
          </w:tcPr>
          <w:p w14:paraId="577892AD" w14:textId="77777777" w:rsidR="00C23BE8" w:rsidRPr="00C23BE8" w:rsidRDefault="00C23BE8" w:rsidP="00486455">
            <w:pPr>
              <w:spacing w:after="160"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Projekta punkts/apakšpunkts, kas izpilda A ailē minēto prasību </w:t>
            </w:r>
            <w:r w:rsidRPr="00C23BE8">
              <w:rPr>
                <w:rFonts w:eastAsiaTheme="minorHAnsi"/>
                <w:i/>
                <w:iCs/>
                <w:color w:val="000000" w:themeColor="text1"/>
                <w:sz w:val="24"/>
                <w:szCs w:val="24"/>
                <w:lang w:eastAsia="en-US"/>
              </w:rPr>
              <w:t>(norāda pēc iespējas konkrētāku teksta vienību)</w:t>
            </w:r>
          </w:p>
        </w:tc>
        <w:tc>
          <w:tcPr>
            <w:tcW w:w="2661" w:type="dxa"/>
          </w:tcPr>
          <w:p w14:paraId="479FDC27" w14:textId="6FF81697" w:rsidR="00C23BE8" w:rsidRPr="00C23BE8" w:rsidRDefault="00C23BE8" w:rsidP="00486455">
            <w:pPr>
              <w:spacing w:after="160"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Vai A ailē minētā prasība ar B ailē minēto projekta punktu/apakšpunktu tiek izpildīta pilnībā vai daļēji </w:t>
            </w:r>
            <w:r w:rsidRPr="00C23BE8">
              <w:rPr>
                <w:rFonts w:eastAsiaTheme="minorHAnsi"/>
                <w:i/>
                <w:iCs/>
                <w:color w:val="000000" w:themeColor="text1"/>
                <w:sz w:val="24"/>
                <w:szCs w:val="24"/>
                <w:lang w:eastAsia="en-US"/>
              </w:rPr>
              <w:t>(ja daļēji, norāda, kur un kā ir vai tiks nodrošināta prasības pilnīga izpilde)</w:t>
            </w:r>
          </w:p>
        </w:tc>
        <w:tc>
          <w:tcPr>
            <w:tcW w:w="2604" w:type="dxa"/>
          </w:tcPr>
          <w:p w14:paraId="5ACD8DD2" w14:textId="77777777" w:rsidR="00C23BE8" w:rsidRPr="00C23BE8" w:rsidRDefault="00C23BE8" w:rsidP="00486455">
            <w:pPr>
              <w:spacing w:after="160"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Vai B ailē norādītais projekta punkts/apakšpunkts paredz stingrākas prasības, nekā A ailē minētā prasība </w:t>
            </w:r>
            <w:r w:rsidRPr="00C23BE8">
              <w:rPr>
                <w:rFonts w:eastAsiaTheme="minorHAnsi"/>
                <w:i/>
                <w:iCs/>
                <w:color w:val="000000" w:themeColor="text1"/>
                <w:sz w:val="24"/>
                <w:szCs w:val="24"/>
                <w:lang w:eastAsia="en-US"/>
              </w:rPr>
              <w:t>(ja paredz stingrākas prasības, papildus norāda pamatojumu šādu stingrāku prasību nepieciešamībai)</w:t>
            </w:r>
          </w:p>
        </w:tc>
        <w:tc>
          <w:tcPr>
            <w:tcW w:w="2185" w:type="dxa"/>
          </w:tcPr>
          <w:p w14:paraId="1AC6A056" w14:textId="77777777" w:rsidR="00C23BE8" w:rsidRPr="00C23BE8" w:rsidRDefault="00C23BE8" w:rsidP="00486455">
            <w:pPr>
              <w:spacing w:after="160"/>
              <w:jc w:val="center"/>
              <w:rPr>
                <w:rFonts w:eastAsiaTheme="minorHAnsi"/>
                <w:i/>
                <w:iCs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Vai A ailē minētā prasība ir jāizpilda obligāti </w:t>
            </w:r>
            <w:r w:rsidRPr="00C23BE8">
              <w:rPr>
                <w:rFonts w:eastAsiaTheme="minorHAnsi"/>
                <w:i/>
                <w:iCs/>
                <w:color w:val="000000" w:themeColor="text1"/>
                <w:sz w:val="24"/>
                <w:szCs w:val="24"/>
                <w:lang w:eastAsia="en-US"/>
              </w:rPr>
              <w:t>(ja Eiropas Savienības tiesību akts paredz izvēles iespēju, papildus norāda, vai un kādēļ šī rīcības brīvība Latvijā ir vai nav jāizmanto)</w:t>
            </w:r>
          </w:p>
          <w:p w14:paraId="4AE535D7" w14:textId="77777777" w:rsidR="00C23BE8" w:rsidRPr="00C23BE8" w:rsidRDefault="00C23BE8" w:rsidP="00486455">
            <w:pPr>
              <w:spacing w:after="160"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66" w:type="dxa"/>
          </w:tcPr>
          <w:p w14:paraId="564F64A0" w14:textId="71BF53B9" w:rsidR="00C23BE8" w:rsidRPr="00C23BE8" w:rsidRDefault="00C23BE8" w:rsidP="00486455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Vai A ailē minētais Eiropas Savienības tiesību akts paredz dalībvalsts paziņošanas pienākumu Eiropas Savienības institūcijām</w:t>
            </w:r>
          </w:p>
          <w:p w14:paraId="3ED44111" w14:textId="7DDD7058" w:rsidR="00C23BE8" w:rsidRPr="00C23BE8" w:rsidRDefault="00C23BE8" w:rsidP="00486455">
            <w:pPr>
              <w:spacing w:after="160"/>
              <w:jc w:val="center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(</w:t>
            </w:r>
            <w:r w:rsidR="007377A5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j</w:t>
            </w:r>
            <w:r w:rsidRPr="00C23BE8"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a paredz, norāda, kas un kādā termiņā šo paziņošanas pienākumu izpildīs)</w:t>
            </w:r>
          </w:p>
        </w:tc>
      </w:tr>
      <w:tr w:rsidR="006F258C" w:rsidRPr="00C23BE8" w14:paraId="22A0050A" w14:textId="77777777" w:rsidTr="00486455">
        <w:tc>
          <w:tcPr>
            <w:tcW w:w="2590" w:type="dxa"/>
          </w:tcPr>
          <w:p w14:paraId="3E56DA2E" w14:textId="77777777" w:rsidR="00C23BE8" w:rsidRPr="00C23BE8" w:rsidRDefault="00C23BE8" w:rsidP="00486455">
            <w:pPr>
              <w:spacing w:after="160"/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A</w:t>
            </w:r>
          </w:p>
        </w:tc>
        <w:tc>
          <w:tcPr>
            <w:tcW w:w="2358" w:type="dxa"/>
          </w:tcPr>
          <w:p w14:paraId="24FCEF5A" w14:textId="77777777" w:rsidR="00C23BE8" w:rsidRPr="00C23BE8" w:rsidRDefault="00C23BE8" w:rsidP="00486455">
            <w:pPr>
              <w:spacing w:after="160"/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B</w:t>
            </w:r>
          </w:p>
        </w:tc>
        <w:tc>
          <w:tcPr>
            <w:tcW w:w="2661" w:type="dxa"/>
          </w:tcPr>
          <w:p w14:paraId="167724F7" w14:textId="77777777" w:rsidR="00C23BE8" w:rsidRPr="00C23BE8" w:rsidRDefault="00C23BE8" w:rsidP="00486455">
            <w:pPr>
              <w:spacing w:after="160"/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C</w:t>
            </w:r>
          </w:p>
        </w:tc>
        <w:tc>
          <w:tcPr>
            <w:tcW w:w="2604" w:type="dxa"/>
          </w:tcPr>
          <w:p w14:paraId="73D1E654" w14:textId="77777777" w:rsidR="00C23BE8" w:rsidRPr="00C23BE8" w:rsidRDefault="00C23BE8" w:rsidP="00486455">
            <w:pPr>
              <w:spacing w:after="160"/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D</w:t>
            </w:r>
          </w:p>
        </w:tc>
        <w:tc>
          <w:tcPr>
            <w:tcW w:w="2185" w:type="dxa"/>
          </w:tcPr>
          <w:p w14:paraId="567E131C" w14:textId="77777777" w:rsidR="00C23BE8" w:rsidRPr="00C23BE8" w:rsidRDefault="00C23BE8" w:rsidP="00486455">
            <w:pPr>
              <w:spacing w:after="160"/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E</w:t>
            </w:r>
          </w:p>
        </w:tc>
        <w:tc>
          <w:tcPr>
            <w:tcW w:w="2466" w:type="dxa"/>
          </w:tcPr>
          <w:p w14:paraId="3DAFF6E8" w14:textId="77777777" w:rsidR="00C23BE8" w:rsidRPr="00F10BD5" w:rsidRDefault="00C23BE8" w:rsidP="00486455">
            <w:pPr>
              <w:spacing w:after="160"/>
              <w:jc w:val="center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F10BD5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F</w:t>
            </w:r>
          </w:p>
        </w:tc>
      </w:tr>
      <w:tr w:rsidR="000A0440" w:rsidRPr="00C23BE8" w14:paraId="12B2C456" w14:textId="77777777" w:rsidTr="00486455">
        <w:tc>
          <w:tcPr>
            <w:tcW w:w="2590" w:type="dxa"/>
          </w:tcPr>
          <w:p w14:paraId="6FEE138B" w14:textId="74E849D7" w:rsidR="00C23BE8" w:rsidRDefault="00006B2C" w:rsidP="00486455">
            <w:pPr>
              <w:jc w:val="left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Direktīvas 2014/92</w:t>
            </w:r>
            <w:r w:rsidR="006E68D0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/ES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14:paraId="601EA775" w14:textId="054443BF" w:rsidR="00877B19" w:rsidRPr="00C23BE8" w:rsidRDefault="00445DE8" w:rsidP="00486455">
            <w:pPr>
              <w:spacing w:after="160"/>
              <w:jc w:val="left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10</w:t>
            </w:r>
            <w:r w:rsidR="00877B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F10BD5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 </w:t>
            </w:r>
            <w:r w:rsidR="00877B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panta 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1</w:t>
            </w:r>
            <w:r w:rsidR="00877B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F10BD5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 </w:t>
            </w:r>
            <w:r w:rsidR="00877B19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punkts</w:t>
            </w:r>
          </w:p>
          <w:p w14:paraId="4A4BA856" w14:textId="5696823A" w:rsidR="00C23BE8" w:rsidRPr="00C23BE8" w:rsidRDefault="00C23BE8" w:rsidP="00486455">
            <w:pPr>
              <w:spacing w:after="160"/>
              <w:contextualSpacing/>
              <w:jc w:val="left"/>
              <w:rPr>
                <w:rFonts w:eastAsiaTheme="minorHAnsi"/>
                <w:color w:val="000000" w:themeColor="text1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2358" w:type="dxa"/>
          </w:tcPr>
          <w:p w14:paraId="5385B9EB" w14:textId="72005544" w:rsidR="00C23BE8" w:rsidRPr="00C23BE8" w:rsidRDefault="00C23BE8" w:rsidP="00486455">
            <w:pPr>
              <w:spacing w:after="160"/>
              <w:jc w:val="left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Projekta </w:t>
            </w:r>
            <w:r w:rsidR="004C3875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3</w:t>
            </w:r>
            <w:r w:rsidR="002E2194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F10BD5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 </w:t>
            </w:r>
            <w:r w:rsidR="002E2194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punkts</w:t>
            </w:r>
          </w:p>
        </w:tc>
        <w:tc>
          <w:tcPr>
            <w:tcW w:w="2661" w:type="dxa"/>
          </w:tcPr>
          <w:p w14:paraId="4C3A3B92" w14:textId="77777777" w:rsidR="00C23BE8" w:rsidRPr="00C23BE8" w:rsidRDefault="00C23BE8" w:rsidP="00486455">
            <w:pPr>
              <w:spacing w:after="160"/>
              <w:jc w:val="left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Izpilda pilnībā</w:t>
            </w:r>
          </w:p>
        </w:tc>
        <w:tc>
          <w:tcPr>
            <w:tcW w:w="2604" w:type="dxa"/>
          </w:tcPr>
          <w:p w14:paraId="710C29A7" w14:textId="77777777" w:rsidR="00C23BE8" w:rsidRPr="00C23BE8" w:rsidRDefault="00C23BE8" w:rsidP="00486455">
            <w:pPr>
              <w:spacing w:after="160"/>
              <w:jc w:val="left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Nē</w:t>
            </w:r>
          </w:p>
        </w:tc>
        <w:tc>
          <w:tcPr>
            <w:tcW w:w="2185" w:type="dxa"/>
          </w:tcPr>
          <w:p w14:paraId="27139CE8" w14:textId="77777777" w:rsidR="00C23BE8" w:rsidRDefault="00C23BE8" w:rsidP="00486455">
            <w:pPr>
              <w:spacing w:after="160"/>
              <w:jc w:val="left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C23B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Jā</w:t>
            </w:r>
          </w:p>
          <w:p w14:paraId="7AA6CECB" w14:textId="77777777" w:rsidR="000A0440" w:rsidRPr="00C23BE8" w:rsidRDefault="000A0440" w:rsidP="00486455">
            <w:pPr>
              <w:spacing w:after="160"/>
              <w:jc w:val="left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2466" w:type="dxa"/>
          </w:tcPr>
          <w:p w14:paraId="52319CF3" w14:textId="526D119E" w:rsidR="002D1ED8" w:rsidRDefault="0035254C" w:rsidP="00486455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35254C">
              <w:rPr>
                <w:color w:val="000000" w:themeColor="text1"/>
                <w:sz w:val="24"/>
                <w:szCs w:val="24"/>
              </w:rPr>
              <w:t>Direktīvas 2014/92</w:t>
            </w:r>
            <w:r w:rsidR="00F10BD5">
              <w:rPr>
                <w:color w:val="000000" w:themeColor="text1"/>
                <w:sz w:val="24"/>
                <w:szCs w:val="24"/>
              </w:rPr>
              <w:t>/ES</w:t>
            </w:r>
            <w:r w:rsidRPr="0035254C">
              <w:rPr>
                <w:color w:val="000000" w:themeColor="text1"/>
                <w:sz w:val="24"/>
                <w:szCs w:val="24"/>
              </w:rPr>
              <w:t xml:space="preserve"> 29.</w:t>
            </w:r>
            <w:r w:rsidR="00F10BD5">
              <w:rPr>
                <w:color w:val="000000" w:themeColor="text1"/>
                <w:sz w:val="24"/>
                <w:szCs w:val="24"/>
              </w:rPr>
              <w:t> </w:t>
            </w:r>
            <w:r w:rsidRPr="0035254C">
              <w:rPr>
                <w:color w:val="000000" w:themeColor="text1"/>
                <w:sz w:val="24"/>
                <w:szCs w:val="24"/>
              </w:rPr>
              <w:t>panta 4.</w:t>
            </w:r>
            <w:r w:rsidR="00F10BD5">
              <w:rPr>
                <w:color w:val="000000" w:themeColor="text1"/>
                <w:sz w:val="24"/>
                <w:szCs w:val="24"/>
              </w:rPr>
              <w:t> </w:t>
            </w:r>
            <w:r w:rsidRPr="0035254C">
              <w:rPr>
                <w:color w:val="000000" w:themeColor="text1"/>
                <w:sz w:val="24"/>
                <w:szCs w:val="24"/>
              </w:rPr>
              <w:t>punkts paredz, ka dalībvalstis paziņo Eiropas</w:t>
            </w:r>
          </w:p>
          <w:p w14:paraId="77E1F4FF" w14:textId="79E68831" w:rsidR="0035254C" w:rsidRDefault="0035254C" w:rsidP="00486455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35254C">
              <w:rPr>
                <w:color w:val="000000" w:themeColor="text1"/>
                <w:sz w:val="24"/>
                <w:szCs w:val="24"/>
              </w:rPr>
              <w:t>Komisijai par šīs direktīvas prasību pārņemšanu.</w:t>
            </w:r>
          </w:p>
          <w:p w14:paraId="6C584DEF" w14:textId="3498214E" w:rsidR="00C23BE8" w:rsidRPr="00C23BE8" w:rsidRDefault="0035254C" w:rsidP="00486455">
            <w:pPr>
              <w:spacing w:after="160"/>
              <w:jc w:val="left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35254C">
              <w:rPr>
                <w:color w:val="000000" w:themeColor="text1"/>
                <w:sz w:val="24"/>
                <w:szCs w:val="24"/>
              </w:rPr>
              <w:t xml:space="preserve">Minēto paziņošanas pienākumu izpildīs </w:t>
            </w:r>
            <w:r w:rsidRPr="0035254C">
              <w:rPr>
                <w:color w:val="000000" w:themeColor="text1"/>
                <w:sz w:val="24"/>
                <w:szCs w:val="24"/>
              </w:rPr>
              <w:lastRenderedPageBreak/>
              <w:t>Finanšu ministrija, sniedzot paziņojumu Eiropas Komisijai pēc projekta apstiprināšanas Latvijas Bankas padomē.</w:t>
            </w:r>
          </w:p>
        </w:tc>
      </w:tr>
      <w:tr w:rsidR="006F258C" w:rsidRPr="00C23BE8" w14:paraId="5B5A71C8" w14:textId="77777777" w:rsidTr="00486455">
        <w:trPr>
          <w:trHeight w:val="728"/>
        </w:trPr>
        <w:tc>
          <w:tcPr>
            <w:tcW w:w="2590" w:type="dxa"/>
          </w:tcPr>
          <w:p w14:paraId="3E450F62" w14:textId="0C2DD9BC" w:rsidR="00877B19" w:rsidRPr="00877B19" w:rsidRDefault="00877B19" w:rsidP="00486455">
            <w:pPr>
              <w:rPr>
                <w:color w:val="000000" w:themeColor="text1"/>
                <w:sz w:val="24"/>
                <w:szCs w:val="24"/>
              </w:rPr>
            </w:pPr>
            <w:r w:rsidRPr="00877B19">
              <w:rPr>
                <w:color w:val="000000" w:themeColor="text1"/>
                <w:sz w:val="24"/>
                <w:szCs w:val="24"/>
              </w:rPr>
              <w:lastRenderedPageBreak/>
              <w:t>Direktīvas 2014/92</w:t>
            </w:r>
            <w:r w:rsidR="006E68D0">
              <w:rPr>
                <w:color w:val="000000" w:themeColor="text1"/>
                <w:sz w:val="24"/>
                <w:szCs w:val="24"/>
              </w:rPr>
              <w:t>/ES</w:t>
            </w:r>
            <w:r w:rsidRPr="00877B1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02F0EBBD" w14:textId="1840CBAD" w:rsidR="00877B19" w:rsidRDefault="00445DE8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  <w:r w:rsidR="00877B19" w:rsidRPr="00877B19">
              <w:rPr>
                <w:color w:val="000000" w:themeColor="text1"/>
                <w:sz w:val="24"/>
                <w:szCs w:val="24"/>
              </w:rPr>
              <w:t>.</w:t>
            </w:r>
            <w:r w:rsidR="00F10BD5">
              <w:rPr>
                <w:color w:val="000000" w:themeColor="text1"/>
                <w:sz w:val="24"/>
                <w:szCs w:val="24"/>
              </w:rPr>
              <w:t> </w:t>
            </w:r>
            <w:r w:rsidR="00877B19" w:rsidRPr="00877B19">
              <w:rPr>
                <w:color w:val="000000" w:themeColor="text1"/>
                <w:sz w:val="24"/>
                <w:szCs w:val="24"/>
              </w:rPr>
              <w:t xml:space="preserve">panta 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  <w:r w:rsidR="00877B19" w:rsidRPr="00877B19">
              <w:rPr>
                <w:color w:val="000000" w:themeColor="text1"/>
                <w:sz w:val="24"/>
                <w:szCs w:val="24"/>
              </w:rPr>
              <w:t>.</w:t>
            </w:r>
            <w:r w:rsidR="00F10BD5">
              <w:rPr>
                <w:color w:val="000000" w:themeColor="text1"/>
                <w:sz w:val="24"/>
                <w:szCs w:val="24"/>
              </w:rPr>
              <w:t> </w:t>
            </w:r>
            <w:r w:rsidR="00877B19" w:rsidRPr="00877B19">
              <w:rPr>
                <w:color w:val="000000" w:themeColor="text1"/>
                <w:sz w:val="24"/>
                <w:szCs w:val="24"/>
              </w:rPr>
              <w:t>punkts</w:t>
            </w:r>
          </w:p>
        </w:tc>
        <w:tc>
          <w:tcPr>
            <w:tcW w:w="2358" w:type="dxa"/>
          </w:tcPr>
          <w:p w14:paraId="6F905F97" w14:textId="08F62C75" w:rsidR="00877B19" w:rsidRPr="00C23BE8" w:rsidRDefault="0085657C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4C3875">
              <w:rPr>
                <w:color w:val="000000" w:themeColor="text1"/>
                <w:sz w:val="24"/>
                <w:szCs w:val="24"/>
              </w:rPr>
              <w:t>4</w:t>
            </w:r>
            <w:r w:rsidR="002B31CD">
              <w:rPr>
                <w:color w:val="000000" w:themeColor="text1"/>
                <w:sz w:val="24"/>
                <w:szCs w:val="24"/>
              </w:rPr>
              <w:t>.</w:t>
            </w:r>
            <w:r w:rsidR="00E72FC6">
              <w:rPr>
                <w:color w:val="000000" w:themeColor="text1"/>
                <w:sz w:val="24"/>
                <w:szCs w:val="24"/>
              </w:rPr>
              <w:t xml:space="preserve">, </w:t>
            </w:r>
            <w:r w:rsidR="004C3875">
              <w:rPr>
                <w:color w:val="000000" w:themeColor="text1"/>
                <w:sz w:val="24"/>
                <w:szCs w:val="24"/>
              </w:rPr>
              <w:t>5</w:t>
            </w:r>
            <w:r w:rsidR="00E72FC6">
              <w:rPr>
                <w:color w:val="000000" w:themeColor="text1"/>
                <w:sz w:val="24"/>
                <w:szCs w:val="24"/>
              </w:rPr>
              <w:t xml:space="preserve">., </w:t>
            </w:r>
            <w:r w:rsidR="004C3875">
              <w:rPr>
                <w:color w:val="000000" w:themeColor="text1"/>
                <w:sz w:val="24"/>
                <w:szCs w:val="24"/>
              </w:rPr>
              <w:t>6</w:t>
            </w:r>
            <w:r w:rsidR="00E72FC6">
              <w:rPr>
                <w:color w:val="000000" w:themeColor="text1"/>
                <w:sz w:val="24"/>
                <w:szCs w:val="24"/>
              </w:rPr>
              <w:t xml:space="preserve">. un </w:t>
            </w:r>
            <w:r w:rsidR="004C3875">
              <w:rPr>
                <w:color w:val="000000" w:themeColor="text1"/>
                <w:sz w:val="24"/>
                <w:szCs w:val="24"/>
              </w:rPr>
              <w:t>12</w:t>
            </w:r>
            <w:r w:rsidR="00E72FC6">
              <w:rPr>
                <w:color w:val="000000" w:themeColor="text1"/>
                <w:sz w:val="24"/>
                <w:szCs w:val="24"/>
              </w:rPr>
              <w:t>.</w:t>
            </w:r>
            <w:r w:rsidR="00F10BD5">
              <w:rPr>
                <w:color w:val="000000" w:themeColor="text1"/>
                <w:sz w:val="24"/>
                <w:szCs w:val="24"/>
              </w:rPr>
              <w:t> </w:t>
            </w:r>
            <w:r w:rsidR="00E72FC6">
              <w:rPr>
                <w:color w:val="000000" w:themeColor="text1"/>
                <w:sz w:val="24"/>
                <w:szCs w:val="24"/>
              </w:rPr>
              <w:t>punkts</w:t>
            </w:r>
          </w:p>
        </w:tc>
        <w:tc>
          <w:tcPr>
            <w:tcW w:w="2661" w:type="dxa"/>
          </w:tcPr>
          <w:p w14:paraId="10B00AF6" w14:textId="5A0E2E3D" w:rsidR="00877B19" w:rsidRPr="00C23BE8" w:rsidRDefault="007768C1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604" w:type="dxa"/>
          </w:tcPr>
          <w:p w14:paraId="4CA14786" w14:textId="24E06BB1" w:rsidR="00877B19" w:rsidRPr="00C23BE8" w:rsidRDefault="007768C1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185" w:type="dxa"/>
          </w:tcPr>
          <w:p w14:paraId="6241B672" w14:textId="39FD46BE" w:rsidR="00877B19" w:rsidRPr="00C23BE8" w:rsidRDefault="007768C1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66" w:type="dxa"/>
          </w:tcPr>
          <w:p w14:paraId="0E011A4B" w14:textId="534E2F40" w:rsidR="00877B19" w:rsidRPr="00C23BE8" w:rsidRDefault="00877B19" w:rsidP="004864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258C" w:rsidRPr="00C23BE8" w14:paraId="3BACE381" w14:textId="77777777" w:rsidTr="00486455">
        <w:trPr>
          <w:trHeight w:val="696"/>
        </w:trPr>
        <w:tc>
          <w:tcPr>
            <w:tcW w:w="2590" w:type="dxa"/>
          </w:tcPr>
          <w:p w14:paraId="44D7689B" w14:textId="2A526984" w:rsidR="002E2194" w:rsidRPr="00445DE8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 w:rsidRPr="00445DE8">
              <w:rPr>
                <w:color w:val="000000" w:themeColor="text1"/>
                <w:sz w:val="24"/>
                <w:szCs w:val="24"/>
              </w:rPr>
              <w:t>Direktīvas 2014/92</w:t>
            </w:r>
            <w:r w:rsidR="006E68D0">
              <w:rPr>
                <w:color w:val="000000" w:themeColor="text1"/>
                <w:sz w:val="24"/>
                <w:szCs w:val="24"/>
              </w:rPr>
              <w:t>/ES</w:t>
            </w:r>
            <w:r w:rsidRPr="00445DE8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628F678A" w14:textId="33F7BD5E" w:rsidR="002E2194" w:rsidRPr="00877B19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 w:rsidRPr="00445DE8">
              <w:rPr>
                <w:color w:val="000000" w:themeColor="text1"/>
                <w:sz w:val="24"/>
                <w:szCs w:val="24"/>
              </w:rPr>
              <w:t>10.</w:t>
            </w:r>
            <w:r w:rsidR="00F10BD5">
              <w:rPr>
                <w:color w:val="000000" w:themeColor="text1"/>
                <w:sz w:val="24"/>
                <w:szCs w:val="24"/>
              </w:rPr>
              <w:t> </w:t>
            </w:r>
            <w:r w:rsidRPr="00445DE8">
              <w:rPr>
                <w:color w:val="000000" w:themeColor="text1"/>
                <w:sz w:val="24"/>
                <w:szCs w:val="24"/>
              </w:rPr>
              <w:t xml:space="preserve">panta 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445DE8">
              <w:rPr>
                <w:color w:val="000000" w:themeColor="text1"/>
                <w:sz w:val="24"/>
                <w:szCs w:val="24"/>
              </w:rPr>
              <w:t>.</w:t>
            </w:r>
            <w:r w:rsidR="00F10BD5">
              <w:rPr>
                <w:color w:val="000000" w:themeColor="text1"/>
                <w:sz w:val="24"/>
                <w:szCs w:val="24"/>
              </w:rPr>
              <w:t> </w:t>
            </w:r>
            <w:r w:rsidRPr="00445DE8">
              <w:rPr>
                <w:color w:val="000000" w:themeColor="text1"/>
                <w:sz w:val="24"/>
                <w:szCs w:val="24"/>
              </w:rPr>
              <w:t>punkts</w:t>
            </w:r>
          </w:p>
        </w:tc>
        <w:tc>
          <w:tcPr>
            <w:tcW w:w="2358" w:type="dxa"/>
          </w:tcPr>
          <w:p w14:paraId="32840601" w14:textId="267FC1C1" w:rsidR="002E2194" w:rsidRDefault="0085657C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4C3875">
              <w:rPr>
                <w:color w:val="000000" w:themeColor="text1"/>
                <w:sz w:val="24"/>
                <w:szCs w:val="24"/>
              </w:rPr>
              <w:t>7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F10BD5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punkts</w:t>
            </w:r>
          </w:p>
        </w:tc>
        <w:tc>
          <w:tcPr>
            <w:tcW w:w="2661" w:type="dxa"/>
          </w:tcPr>
          <w:p w14:paraId="0DE72B49" w14:textId="357EB65F" w:rsidR="002E2194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 w:rsidRPr="00C23B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Izpilda pilnībā</w:t>
            </w:r>
          </w:p>
        </w:tc>
        <w:tc>
          <w:tcPr>
            <w:tcW w:w="2604" w:type="dxa"/>
          </w:tcPr>
          <w:p w14:paraId="7874379A" w14:textId="59271CE6" w:rsidR="002E2194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 w:rsidRPr="00C23B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Nē</w:t>
            </w:r>
          </w:p>
        </w:tc>
        <w:tc>
          <w:tcPr>
            <w:tcW w:w="2185" w:type="dxa"/>
          </w:tcPr>
          <w:p w14:paraId="1D8615F8" w14:textId="4C8C864F" w:rsidR="002E2194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 w:rsidRPr="00C23B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Jā</w:t>
            </w:r>
          </w:p>
        </w:tc>
        <w:tc>
          <w:tcPr>
            <w:tcW w:w="2466" w:type="dxa"/>
          </w:tcPr>
          <w:p w14:paraId="3C058ADC" w14:textId="79778C41" w:rsidR="002E2194" w:rsidRPr="007768C1" w:rsidRDefault="002E2194" w:rsidP="004864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258C" w:rsidRPr="00C23BE8" w14:paraId="57F07EE0" w14:textId="77777777" w:rsidTr="00486455">
        <w:trPr>
          <w:trHeight w:val="706"/>
        </w:trPr>
        <w:tc>
          <w:tcPr>
            <w:tcW w:w="2590" w:type="dxa"/>
          </w:tcPr>
          <w:p w14:paraId="2671267D" w14:textId="778E3F06" w:rsidR="002E2194" w:rsidRPr="00445DE8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 w:rsidRPr="00445DE8">
              <w:rPr>
                <w:color w:val="000000" w:themeColor="text1"/>
                <w:sz w:val="24"/>
                <w:szCs w:val="24"/>
              </w:rPr>
              <w:t>Direktīvas 2014/92</w:t>
            </w:r>
            <w:r w:rsidR="006E68D0">
              <w:rPr>
                <w:color w:val="000000" w:themeColor="text1"/>
                <w:sz w:val="24"/>
                <w:szCs w:val="24"/>
              </w:rPr>
              <w:t>/ES</w:t>
            </w:r>
            <w:r w:rsidRPr="00445DE8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1A92A509" w14:textId="2FA615A1" w:rsidR="002E2194" w:rsidRPr="00877B19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 w:rsidRPr="00445DE8">
              <w:rPr>
                <w:color w:val="000000" w:themeColor="text1"/>
                <w:sz w:val="24"/>
                <w:szCs w:val="24"/>
              </w:rPr>
              <w:t>10.</w:t>
            </w:r>
            <w:r w:rsidR="00F10BD5">
              <w:rPr>
                <w:color w:val="000000" w:themeColor="text1"/>
                <w:sz w:val="24"/>
                <w:szCs w:val="24"/>
              </w:rPr>
              <w:t> </w:t>
            </w:r>
            <w:r w:rsidRPr="00445DE8">
              <w:rPr>
                <w:color w:val="000000" w:themeColor="text1"/>
                <w:sz w:val="24"/>
                <w:szCs w:val="24"/>
              </w:rPr>
              <w:t xml:space="preserve">panta 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  <w:r w:rsidRPr="00445DE8">
              <w:rPr>
                <w:color w:val="000000" w:themeColor="text1"/>
                <w:sz w:val="24"/>
                <w:szCs w:val="24"/>
              </w:rPr>
              <w:t>.</w:t>
            </w:r>
            <w:r w:rsidR="00F10BD5">
              <w:rPr>
                <w:color w:val="000000" w:themeColor="text1"/>
                <w:sz w:val="24"/>
                <w:szCs w:val="24"/>
              </w:rPr>
              <w:t> </w:t>
            </w:r>
            <w:r w:rsidRPr="00445DE8">
              <w:rPr>
                <w:color w:val="000000" w:themeColor="text1"/>
                <w:sz w:val="24"/>
                <w:szCs w:val="24"/>
              </w:rPr>
              <w:t>punkts</w:t>
            </w:r>
          </w:p>
        </w:tc>
        <w:tc>
          <w:tcPr>
            <w:tcW w:w="2358" w:type="dxa"/>
          </w:tcPr>
          <w:p w14:paraId="06D219B3" w14:textId="35E98F48" w:rsidR="002E2194" w:rsidRDefault="0085657C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Projekta </w:t>
            </w:r>
            <w:r w:rsidR="004C3875">
              <w:rPr>
                <w:color w:val="000000" w:themeColor="text1"/>
                <w:sz w:val="24"/>
                <w:szCs w:val="24"/>
              </w:rPr>
              <w:t>8</w:t>
            </w:r>
            <w:r>
              <w:rPr>
                <w:color w:val="000000" w:themeColor="text1"/>
                <w:sz w:val="24"/>
                <w:szCs w:val="24"/>
              </w:rPr>
              <w:t xml:space="preserve">., </w:t>
            </w:r>
            <w:r w:rsidR="004C3875">
              <w:rPr>
                <w:color w:val="000000" w:themeColor="text1"/>
                <w:sz w:val="24"/>
                <w:szCs w:val="24"/>
              </w:rPr>
              <w:t>9</w:t>
            </w:r>
            <w:r>
              <w:rPr>
                <w:color w:val="000000" w:themeColor="text1"/>
                <w:sz w:val="24"/>
                <w:szCs w:val="24"/>
              </w:rPr>
              <w:t>. un 1</w:t>
            </w:r>
            <w:r w:rsidR="004C3875">
              <w:rPr>
                <w:color w:val="000000" w:themeColor="text1"/>
                <w:sz w:val="24"/>
                <w:szCs w:val="24"/>
              </w:rPr>
              <w:t>0</w:t>
            </w:r>
            <w:r w:rsidR="002B31CD">
              <w:rPr>
                <w:color w:val="000000" w:themeColor="text1"/>
                <w:sz w:val="24"/>
                <w:szCs w:val="24"/>
              </w:rPr>
              <w:t>. </w:t>
            </w:r>
            <w:r>
              <w:rPr>
                <w:color w:val="000000" w:themeColor="text1"/>
                <w:sz w:val="24"/>
                <w:szCs w:val="24"/>
              </w:rPr>
              <w:t>punkts</w:t>
            </w:r>
          </w:p>
        </w:tc>
        <w:tc>
          <w:tcPr>
            <w:tcW w:w="2661" w:type="dxa"/>
          </w:tcPr>
          <w:p w14:paraId="453089D2" w14:textId="72CCCB29" w:rsidR="002E2194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604" w:type="dxa"/>
          </w:tcPr>
          <w:p w14:paraId="7224140E" w14:textId="359ADEB4" w:rsidR="002E2194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185" w:type="dxa"/>
          </w:tcPr>
          <w:p w14:paraId="6D2243F6" w14:textId="115E6E25" w:rsidR="002E2194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66" w:type="dxa"/>
          </w:tcPr>
          <w:p w14:paraId="56961D57" w14:textId="65545416" w:rsidR="002E2194" w:rsidRPr="007768C1" w:rsidRDefault="002E2194" w:rsidP="0048645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F258C" w:rsidRPr="00C23BE8" w14:paraId="7BFAC444" w14:textId="77777777" w:rsidTr="00486455">
        <w:trPr>
          <w:trHeight w:val="702"/>
        </w:trPr>
        <w:tc>
          <w:tcPr>
            <w:tcW w:w="2590" w:type="dxa"/>
          </w:tcPr>
          <w:p w14:paraId="0CED7E87" w14:textId="2ED88E1D" w:rsidR="002E2194" w:rsidRPr="00445DE8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 w:rsidRPr="00445DE8">
              <w:rPr>
                <w:color w:val="000000" w:themeColor="text1"/>
                <w:sz w:val="24"/>
                <w:szCs w:val="24"/>
              </w:rPr>
              <w:t>Direktīvas 2014/92</w:t>
            </w:r>
            <w:r w:rsidR="006E68D0">
              <w:rPr>
                <w:color w:val="000000" w:themeColor="text1"/>
                <w:sz w:val="24"/>
                <w:szCs w:val="24"/>
              </w:rPr>
              <w:t>/ES</w:t>
            </w:r>
            <w:r w:rsidRPr="00445DE8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64CECBFC" w14:textId="361240A7" w:rsidR="002E2194" w:rsidRPr="00877B19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 w:rsidRPr="00445DE8">
              <w:rPr>
                <w:color w:val="000000" w:themeColor="text1"/>
                <w:sz w:val="24"/>
                <w:szCs w:val="24"/>
              </w:rPr>
              <w:t>10.</w:t>
            </w:r>
            <w:r w:rsidR="00F10BD5">
              <w:rPr>
                <w:color w:val="000000" w:themeColor="text1"/>
                <w:sz w:val="24"/>
                <w:szCs w:val="24"/>
              </w:rPr>
              <w:t> </w:t>
            </w:r>
            <w:r w:rsidRPr="00445DE8">
              <w:rPr>
                <w:color w:val="000000" w:themeColor="text1"/>
                <w:sz w:val="24"/>
                <w:szCs w:val="24"/>
              </w:rPr>
              <w:t xml:space="preserve">panta 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  <w:r w:rsidRPr="00445DE8">
              <w:rPr>
                <w:color w:val="000000" w:themeColor="text1"/>
                <w:sz w:val="24"/>
                <w:szCs w:val="24"/>
              </w:rPr>
              <w:t>.</w:t>
            </w:r>
            <w:r w:rsidR="00F10BD5">
              <w:rPr>
                <w:color w:val="000000" w:themeColor="text1"/>
                <w:sz w:val="24"/>
                <w:szCs w:val="24"/>
              </w:rPr>
              <w:t> </w:t>
            </w:r>
            <w:r w:rsidRPr="00445DE8">
              <w:rPr>
                <w:color w:val="000000" w:themeColor="text1"/>
                <w:sz w:val="24"/>
                <w:szCs w:val="24"/>
              </w:rPr>
              <w:t>punkts</w:t>
            </w:r>
          </w:p>
        </w:tc>
        <w:tc>
          <w:tcPr>
            <w:tcW w:w="2358" w:type="dxa"/>
          </w:tcPr>
          <w:p w14:paraId="6C747D0D" w14:textId="251EA79D" w:rsidR="002E2194" w:rsidRDefault="0085657C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Projekta 1</w:t>
            </w:r>
            <w:r w:rsidR="004C3875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F10BD5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punkts</w:t>
            </w:r>
          </w:p>
        </w:tc>
        <w:tc>
          <w:tcPr>
            <w:tcW w:w="2661" w:type="dxa"/>
          </w:tcPr>
          <w:p w14:paraId="4BEE5B40" w14:textId="11B474F8" w:rsidR="002E2194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Izpilda pilnībā</w:t>
            </w:r>
          </w:p>
        </w:tc>
        <w:tc>
          <w:tcPr>
            <w:tcW w:w="2604" w:type="dxa"/>
          </w:tcPr>
          <w:p w14:paraId="122F8616" w14:textId="101067D3" w:rsidR="002E2194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Nē</w:t>
            </w:r>
          </w:p>
        </w:tc>
        <w:tc>
          <w:tcPr>
            <w:tcW w:w="2185" w:type="dxa"/>
          </w:tcPr>
          <w:p w14:paraId="4437B9AE" w14:textId="22C46FD3" w:rsidR="002E2194" w:rsidRDefault="002E2194" w:rsidP="0048645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Jā</w:t>
            </w:r>
          </w:p>
        </w:tc>
        <w:tc>
          <w:tcPr>
            <w:tcW w:w="2466" w:type="dxa"/>
          </w:tcPr>
          <w:p w14:paraId="28DB3130" w14:textId="58316375" w:rsidR="002E2194" w:rsidRPr="007768C1" w:rsidRDefault="002E2194" w:rsidP="00486455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42D2C8D8" w14:textId="717CE78F" w:rsidR="00357118" w:rsidRDefault="00357118" w:rsidP="00454D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57118" w:rsidSect="00D1147D">
      <w:pgSz w:w="16838" w:h="11906" w:orient="landscape"/>
      <w:pgMar w:top="993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A8994" w14:textId="77777777" w:rsidR="008743B4" w:rsidRDefault="008743B4" w:rsidP="009B27BE">
      <w:pPr>
        <w:spacing w:after="0" w:line="240" w:lineRule="auto"/>
      </w:pPr>
      <w:r>
        <w:separator/>
      </w:r>
    </w:p>
  </w:endnote>
  <w:endnote w:type="continuationSeparator" w:id="0">
    <w:p w14:paraId="446B5EED" w14:textId="77777777" w:rsidR="008743B4" w:rsidRDefault="008743B4" w:rsidP="009B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DF335" w14:textId="77777777" w:rsidR="008743B4" w:rsidRDefault="008743B4" w:rsidP="009B27BE">
      <w:pPr>
        <w:spacing w:after="0" w:line="240" w:lineRule="auto"/>
      </w:pPr>
      <w:r>
        <w:separator/>
      </w:r>
    </w:p>
  </w:footnote>
  <w:footnote w:type="continuationSeparator" w:id="0">
    <w:p w14:paraId="611D02C3" w14:textId="77777777" w:rsidR="008743B4" w:rsidRDefault="008743B4" w:rsidP="009B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310C9F9" w14:textId="77777777" w:rsidR="007E313B" w:rsidRPr="007E313B" w:rsidRDefault="007E313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313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313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7E313B">
          <w:rPr>
            <w:rFonts w:ascii="Times New Roman" w:hAnsi="Times New Roman" w:cs="Times New Roman"/>
            <w:sz w:val="20"/>
            <w:szCs w:val="20"/>
          </w:rPr>
          <w:t>2</w: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40B71"/>
    <w:multiLevelType w:val="multilevel"/>
    <w:tmpl w:val="7E807FA8"/>
    <w:lvl w:ilvl="0">
      <w:start w:val="1"/>
      <w:numFmt w:val="decimal"/>
      <w:suff w:val="space"/>
      <w:lvlText w:val="%1."/>
      <w:lvlJc w:val="left"/>
      <w:pPr>
        <w:ind w:left="2313" w:hanging="360"/>
      </w:pPr>
    </w:lvl>
    <w:lvl w:ilvl="1">
      <w:start w:val="1"/>
      <w:numFmt w:val="decimal"/>
      <w:suff w:val="space"/>
      <w:lvlText w:val="%1.%2."/>
      <w:lvlJc w:val="left"/>
      <w:pPr>
        <w:ind w:left="3513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-32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-32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88" w:hanging="1440"/>
      </w:pPr>
      <w:rPr>
        <w:rFonts w:hint="default"/>
      </w:rPr>
    </w:lvl>
  </w:abstractNum>
  <w:abstractNum w:abstractNumId="1" w15:restartNumberingAfterBreak="0">
    <w:nsid w:val="1DF028DB"/>
    <w:multiLevelType w:val="hybridMultilevel"/>
    <w:tmpl w:val="A712CB9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5184F"/>
    <w:multiLevelType w:val="hybridMultilevel"/>
    <w:tmpl w:val="6018EF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B6C9B"/>
    <w:multiLevelType w:val="hybridMultilevel"/>
    <w:tmpl w:val="5A247852"/>
    <w:lvl w:ilvl="0" w:tplc="E786BFF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41D4E"/>
    <w:multiLevelType w:val="hybridMultilevel"/>
    <w:tmpl w:val="051EA71A"/>
    <w:lvl w:ilvl="0" w:tplc="04260011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5" w15:restartNumberingAfterBreak="0">
    <w:nsid w:val="43DA382F"/>
    <w:multiLevelType w:val="multilevel"/>
    <w:tmpl w:val="41A606DE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6" w15:restartNumberingAfterBreak="0">
    <w:nsid w:val="53BB7D32"/>
    <w:multiLevelType w:val="multilevel"/>
    <w:tmpl w:val="7FF69424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NApunkts2"/>
      <w:suff w:val="space"/>
      <w:lvlText w:val="%2."/>
      <w:lvlJc w:val="left"/>
      <w:pPr>
        <w:ind w:left="141" w:firstLine="0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23300E2"/>
    <w:multiLevelType w:val="hybridMultilevel"/>
    <w:tmpl w:val="6B78591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403EF1"/>
    <w:multiLevelType w:val="hybridMultilevel"/>
    <w:tmpl w:val="A728247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2486D"/>
    <w:multiLevelType w:val="hybridMultilevel"/>
    <w:tmpl w:val="16E811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7474D"/>
    <w:multiLevelType w:val="hybridMultilevel"/>
    <w:tmpl w:val="2A4E3614"/>
    <w:lvl w:ilvl="0" w:tplc="B1FECD4A">
      <w:start w:val="1"/>
      <w:numFmt w:val="bullet"/>
      <w:lvlText w:val="-"/>
      <w:lvlJc w:val="left"/>
      <w:pPr>
        <w:ind w:left="392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11" w15:restartNumberingAfterBreak="0">
    <w:nsid w:val="71232427"/>
    <w:multiLevelType w:val="hybridMultilevel"/>
    <w:tmpl w:val="F998F286"/>
    <w:lvl w:ilvl="0" w:tplc="B8E26A9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E11E4"/>
    <w:multiLevelType w:val="hybridMultilevel"/>
    <w:tmpl w:val="2D70A8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435339">
    <w:abstractNumId w:val="2"/>
  </w:num>
  <w:num w:numId="2" w16cid:durableId="340552041">
    <w:abstractNumId w:val="6"/>
  </w:num>
  <w:num w:numId="3" w16cid:durableId="16414207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8892696">
    <w:abstractNumId w:val="10"/>
  </w:num>
  <w:num w:numId="5" w16cid:durableId="547911365">
    <w:abstractNumId w:val="1"/>
  </w:num>
  <w:num w:numId="6" w16cid:durableId="2097939137">
    <w:abstractNumId w:val="6"/>
  </w:num>
  <w:num w:numId="7" w16cid:durableId="894973746">
    <w:abstractNumId w:val="6"/>
  </w:num>
  <w:num w:numId="8" w16cid:durableId="1412266980">
    <w:abstractNumId w:val="6"/>
  </w:num>
  <w:num w:numId="9" w16cid:durableId="619805593">
    <w:abstractNumId w:val="6"/>
  </w:num>
  <w:num w:numId="10" w16cid:durableId="2023699298">
    <w:abstractNumId w:val="4"/>
  </w:num>
  <w:num w:numId="11" w16cid:durableId="1567491629">
    <w:abstractNumId w:val="6"/>
  </w:num>
  <w:num w:numId="12" w16cid:durableId="574124535">
    <w:abstractNumId w:val="6"/>
  </w:num>
  <w:num w:numId="13" w16cid:durableId="2096902704">
    <w:abstractNumId w:val="6"/>
  </w:num>
  <w:num w:numId="14" w16cid:durableId="2066248062">
    <w:abstractNumId w:val="6"/>
  </w:num>
  <w:num w:numId="15" w16cid:durableId="846797863">
    <w:abstractNumId w:val="6"/>
  </w:num>
  <w:num w:numId="16" w16cid:durableId="1602571117">
    <w:abstractNumId w:val="6"/>
  </w:num>
  <w:num w:numId="17" w16cid:durableId="191579667">
    <w:abstractNumId w:val="6"/>
  </w:num>
  <w:num w:numId="18" w16cid:durableId="2102800079">
    <w:abstractNumId w:val="6"/>
  </w:num>
  <w:num w:numId="19" w16cid:durableId="684483201">
    <w:abstractNumId w:val="6"/>
  </w:num>
  <w:num w:numId="20" w16cid:durableId="1276521248">
    <w:abstractNumId w:val="6"/>
  </w:num>
  <w:num w:numId="21" w16cid:durableId="1474105298">
    <w:abstractNumId w:val="6"/>
  </w:num>
  <w:num w:numId="22" w16cid:durableId="351033322">
    <w:abstractNumId w:val="8"/>
  </w:num>
  <w:num w:numId="23" w16cid:durableId="1747679238">
    <w:abstractNumId w:val="11"/>
  </w:num>
  <w:num w:numId="24" w16cid:durableId="2004814341">
    <w:abstractNumId w:val="6"/>
  </w:num>
  <w:num w:numId="25" w16cid:durableId="1687436816">
    <w:abstractNumId w:val="6"/>
  </w:num>
  <w:num w:numId="26" w16cid:durableId="470097439">
    <w:abstractNumId w:val="7"/>
  </w:num>
  <w:num w:numId="27" w16cid:durableId="170146099">
    <w:abstractNumId w:val="0"/>
  </w:num>
  <w:num w:numId="28" w16cid:durableId="1958638948">
    <w:abstractNumId w:val="5"/>
  </w:num>
  <w:num w:numId="29" w16cid:durableId="14876262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77549298">
    <w:abstractNumId w:val="9"/>
  </w:num>
  <w:num w:numId="31" w16cid:durableId="2028678497">
    <w:abstractNumId w:val="12"/>
  </w:num>
  <w:num w:numId="32" w16cid:durableId="1394541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BF1"/>
    <w:rsid w:val="00003CB0"/>
    <w:rsid w:val="00004B4C"/>
    <w:rsid w:val="00006B2C"/>
    <w:rsid w:val="00007431"/>
    <w:rsid w:val="00014BCF"/>
    <w:rsid w:val="000155B3"/>
    <w:rsid w:val="00016DEA"/>
    <w:rsid w:val="00017427"/>
    <w:rsid w:val="000203D7"/>
    <w:rsid w:val="00022340"/>
    <w:rsid w:val="000234B0"/>
    <w:rsid w:val="0002466B"/>
    <w:rsid w:val="00025D18"/>
    <w:rsid w:val="000263F5"/>
    <w:rsid w:val="00027CAC"/>
    <w:rsid w:val="00041DDA"/>
    <w:rsid w:val="00042B2C"/>
    <w:rsid w:val="000444DE"/>
    <w:rsid w:val="00054EF8"/>
    <w:rsid w:val="000563BF"/>
    <w:rsid w:val="00057AFF"/>
    <w:rsid w:val="00061F14"/>
    <w:rsid w:val="00070FE3"/>
    <w:rsid w:val="000716D9"/>
    <w:rsid w:val="000727B1"/>
    <w:rsid w:val="00074425"/>
    <w:rsid w:val="000771CC"/>
    <w:rsid w:val="000813DA"/>
    <w:rsid w:val="0008510E"/>
    <w:rsid w:val="00085B5D"/>
    <w:rsid w:val="000915E7"/>
    <w:rsid w:val="00091C50"/>
    <w:rsid w:val="00092E2F"/>
    <w:rsid w:val="000946D6"/>
    <w:rsid w:val="00095C8A"/>
    <w:rsid w:val="0009616F"/>
    <w:rsid w:val="00097C29"/>
    <w:rsid w:val="000A0440"/>
    <w:rsid w:val="000A2A30"/>
    <w:rsid w:val="000A32AC"/>
    <w:rsid w:val="000A6FB3"/>
    <w:rsid w:val="000A7460"/>
    <w:rsid w:val="000A75B3"/>
    <w:rsid w:val="000B21B5"/>
    <w:rsid w:val="000B4E0A"/>
    <w:rsid w:val="000B7221"/>
    <w:rsid w:val="000C1E52"/>
    <w:rsid w:val="000C43AB"/>
    <w:rsid w:val="000C5944"/>
    <w:rsid w:val="000C60FF"/>
    <w:rsid w:val="000D1541"/>
    <w:rsid w:val="000D18BD"/>
    <w:rsid w:val="000D1EBD"/>
    <w:rsid w:val="000D601F"/>
    <w:rsid w:val="000E2C35"/>
    <w:rsid w:val="000E502E"/>
    <w:rsid w:val="000E6283"/>
    <w:rsid w:val="000F1D72"/>
    <w:rsid w:val="000F20B9"/>
    <w:rsid w:val="00102FD5"/>
    <w:rsid w:val="00103278"/>
    <w:rsid w:val="00104D13"/>
    <w:rsid w:val="0011032F"/>
    <w:rsid w:val="0012135F"/>
    <w:rsid w:val="00122504"/>
    <w:rsid w:val="001228D2"/>
    <w:rsid w:val="00124986"/>
    <w:rsid w:val="00125026"/>
    <w:rsid w:val="00131765"/>
    <w:rsid w:val="00132070"/>
    <w:rsid w:val="00132948"/>
    <w:rsid w:val="00133F6A"/>
    <w:rsid w:val="001366B1"/>
    <w:rsid w:val="00141B3C"/>
    <w:rsid w:val="0014295D"/>
    <w:rsid w:val="00143A48"/>
    <w:rsid w:val="00146585"/>
    <w:rsid w:val="00162248"/>
    <w:rsid w:val="0016709D"/>
    <w:rsid w:val="001705C8"/>
    <w:rsid w:val="00171A75"/>
    <w:rsid w:val="00191EF1"/>
    <w:rsid w:val="001A1A7C"/>
    <w:rsid w:val="001A44ED"/>
    <w:rsid w:val="001A5171"/>
    <w:rsid w:val="001A5DF1"/>
    <w:rsid w:val="001A5FF2"/>
    <w:rsid w:val="001B0617"/>
    <w:rsid w:val="001B1B3A"/>
    <w:rsid w:val="001B1FC2"/>
    <w:rsid w:val="001C1078"/>
    <w:rsid w:val="001C3D35"/>
    <w:rsid w:val="001C690B"/>
    <w:rsid w:val="001D4D5D"/>
    <w:rsid w:val="001D7793"/>
    <w:rsid w:val="001E3429"/>
    <w:rsid w:val="001E41F2"/>
    <w:rsid w:val="001E5E30"/>
    <w:rsid w:val="001E7C07"/>
    <w:rsid w:val="001F1E1F"/>
    <w:rsid w:val="002003FD"/>
    <w:rsid w:val="00204581"/>
    <w:rsid w:val="00205A08"/>
    <w:rsid w:val="00207422"/>
    <w:rsid w:val="002115ED"/>
    <w:rsid w:val="00211DB8"/>
    <w:rsid w:val="00212325"/>
    <w:rsid w:val="00213BA2"/>
    <w:rsid w:val="00215FD7"/>
    <w:rsid w:val="002278DB"/>
    <w:rsid w:val="00236A95"/>
    <w:rsid w:val="00242B91"/>
    <w:rsid w:val="002431A0"/>
    <w:rsid w:val="00244175"/>
    <w:rsid w:val="002451FF"/>
    <w:rsid w:val="00253A3D"/>
    <w:rsid w:val="00256FBE"/>
    <w:rsid w:val="00257152"/>
    <w:rsid w:val="00260E61"/>
    <w:rsid w:val="00266849"/>
    <w:rsid w:val="00266F01"/>
    <w:rsid w:val="002676FE"/>
    <w:rsid w:val="0027565E"/>
    <w:rsid w:val="002838A2"/>
    <w:rsid w:val="00284FDF"/>
    <w:rsid w:val="00290125"/>
    <w:rsid w:val="00290656"/>
    <w:rsid w:val="002924B7"/>
    <w:rsid w:val="002969AD"/>
    <w:rsid w:val="002A3EAB"/>
    <w:rsid w:val="002B14F9"/>
    <w:rsid w:val="002B31CD"/>
    <w:rsid w:val="002B4180"/>
    <w:rsid w:val="002C2EDC"/>
    <w:rsid w:val="002C3179"/>
    <w:rsid w:val="002C576C"/>
    <w:rsid w:val="002D1ED8"/>
    <w:rsid w:val="002D37A4"/>
    <w:rsid w:val="002D64E3"/>
    <w:rsid w:val="002E2194"/>
    <w:rsid w:val="002E2AFA"/>
    <w:rsid w:val="002E638F"/>
    <w:rsid w:val="002E77A9"/>
    <w:rsid w:val="002E7B20"/>
    <w:rsid w:val="002F6625"/>
    <w:rsid w:val="003026B3"/>
    <w:rsid w:val="003042CB"/>
    <w:rsid w:val="00312E54"/>
    <w:rsid w:val="00314059"/>
    <w:rsid w:val="0032003F"/>
    <w:rsid w:val="00322874"/>
    <w:rsid w:val="00334258"/>
    <w:rsid w:val="003344C2"/>
    <w:rsid w:val="0033570B"/>
    <w:rsid w:val="00337C41"/>
    <w:rsid w:val="00343FA7"/>
    <w:rsid w:val="00344AF1"/>
    <w:rsid w:val="003470BB"/>
    <w:rsid w:val="0035254C"/>
    <w:rsid w:val="00354C71"/>
    <w:rsid w:val="00357118"/>
    <w:rsid w:val="00357AFB"/>
    <w:rsid w:val="00360437"/>
    <w:rsid w:val="00363E40"/>
    <w:rsid w:val="00366618"/>
    <w:rsid w:val="00366C74"/>
    <w:rsid w:val="0036748D"/>
    <w:rsid w:val="00371BEA"/>
    <w:rsid w:val="0037465F"/>
    <w:rsid w:val="003778A3"/>
    <w:rsid w:val="003822E6"/>
    <w:rsid w:val="00384FFD"/>
    <w:rsid w:val="00386CDB"/>
    <w:rsid w:val="00394DA8"/>
    <w:rsid w:val="00395801"/>
    <w:rsid w:val="003A0FEE"/>
    <w:rsid w:val="003A1C6E"/>
    <w:rsid w:val="003A4638"/>
    <w:rsid w:val="003A5CC7"/>
    <w:rsid w:val="003B1A26"/>
    <w:rsid w:val="003B481B"/>
    <w:rsid w:val="003B5143"/>
    <w:rsid w:val="003C1B18"/>
    <w:rsid w:val="003C1F35"/>
    <w:rsid w:val="003C278B"/>
    <w:rsid w:val="003C540A"/>
    <w:rsid w:val="003C6E30"/>
    <w:rsid w:val="003D1F15"/>
    <w:rsid w:val="003D274B"/>
    <w:rsid w:val="003D3640"/>
    <w:rsid w:val="003D5869"/>
    <w:rsid w:val="003D7901"/>
    <w:rsid w:val="003E1F41"/>
    <w:rsid w:val="003E32CD"/>
    <w:rsid w:val="003E418D"/>
    <w:rsid w:val="003E535C"/>
    <w:rsid w:val="003E62F3"/>
    <w:rsid w:val="003F07A5"/>
    <w:rsid w:val="003F3859"/>
    <w:rsid w:val="003F6EBB"/>
    <w:rsid w:val="0040253F"/>
    <w:rsid w:val="00407DD5"/>
    <w:rsid w:val="00407E18"/>
    <w:rsid w:val="004136ED"/>
    <w:rsid w:val="004245FD"/>
    <w:rsid w:val="00424EF3"/>
    <w:rsid w:val="0042517C"/>
    <w:rsid w:val="00426AB9"/>
    <w:rsid w:val="004331DA"/>
    <w:rsid w:val="004423FF"/>
    <w:rsid w:val="00443EB6"/>
    <w:rsid w:val="004442A7"/>
    <w:rsid w:val="00445DE8"/>
    <w:rsid w:val="00454D75"/>
    <w:rsid w:val="0045533F"/>
    <w:rsid w:val="004574ED"/>
    <w:rsid w:val="004661C9"/>
    <w:rsid w:val="0047764F"/>
    <w:rsid w:val="004813DF"/>
    <w:rsid w:val="004820E8"/>
    <w:rsid w:val="00484546"/>
    <w:rsid w:val="00486455"/>
    <w:rsid w:val="004864B6"/>
    <w:rsid w:val="00490375"/>
    <w:rsid w:val="0049189C"/>
    <w:rsid w:val="0049248A"/>
    <w:rsid w:val="00492810"/>
    <w:rsid w:val="00493B9B"/>
    <w:rsid w:val="00496C59"/>
    <w:rsid w:val="004A0163"/>
    <w:rsid w:val="004C36FE"/>
    <w:rsid w:val="004C3875"/>
    <w:rsid w:val="004C3B7F"/>
    <w:rsid w:val="004C3D67"/>
    <w:rsid w:val="004D00C8"/>
    <w:rsid w:val="004D05D8"/>
    <w:rsid w:val="004D731D"/>
    <w:rsid w:val="004E3F4A"/>
    <w:rsid w:val="004E4CEE"/>
    <w:rsid w:val="004F3A83"/>
    <w:rsid w:val="00515473"/>
    <w:rsid w:val="00521F90"/>
    <w:rsid w:val="005239D1"/>
    <w:rsid w:val="00530927"/>
    <w:rsid w:val="0054050B"/>
    <w:rsid w:val="0054151F"/>
    <w:rsid w:val="00545D6A"/>
    <w:rsid w:val="0055000C"/>
    <w:rsid w:val="0055210B"/>
    <w:rsid w:val="00554D5F"/>
    <w:rsid w:val="00556871"/>
    <w:rsid w:val="00563E2C"/>
    <w:rsid w:val="00564637"/>
    <w:rsid w:val="00564F93"/>
    <w:rsid w:val="0056764A"/>
    <w:rsid w:val="00570919"/>
    <w:rsid w:val="0057790E"/>
    <w:rsid w:val="00582ADB"/>
    <w:rsid w:val="00582F70"/>
    <w:rsid w:val="00584131"/>
    <w:rsid w:val="005943DC"/>
    <w:rsid w:val="005A4367"/>
    <w:rsid w:val="005B3E28"/>
    <w:rsid w:val="005B6648"/>
    <w:rsid w:val="005C43AC"/>
    <w:rsid w:val="005D19D0"/>
    <w:rsid w:val="005D4549"/>
    <w:rsid w:val="005D6BF1"/>
    <w:rsid w:val="005E047F"/>
    <w:rsid w:val="005E0AD5"/>
    <w:rsid w:val="005E368F"/>
    <w:rsid w:val="005E5D9C"/>
    <w:rsid w:val="005F1BB0"/>
    <w:rsid w:val="005F78C9"/>
    <w:rsid w:val="0060016E"/>
    <w:rsid w:val="00601691"/>
    <w:rsid w:val="006115DC"/>
    <w:rsid w:val="0061665D"/>
    <w:rsid w:val="00616BDD"/>
    <w:rsid w:val="00627122"/>
    <w:rsid w:val="0062751E"/>
    <w:rsid w:val="00630855"/>
    <w:rsid w:val="00631E63"/>
    <w:rsid w:val="00632880"/>
    <w:rsid w:val="00632A06"/>
    <w:rsid w:val="00642172"/>
    <w:rsid w:val="006437ED"/>
    <w:rsid w:val="00643813"/>
    <w:rsid w:val="006472F6"/>
    <w:rsid w:val="00660679"/>
    <w:rsid w:val="00663CD1"/>
    <w:rsid w:val="006650A1"/>
    <w:rsid w:val="00674B05"/>
    <w:rsid w:val="006760E3"/>
    <w:rsid w:val="00676CAD"/>
    <w:rsid w:val="00681876"/>
    <w:rsid w:val="00683A81"/>
    <w:rsid w:val="00685BFC"/>
    <w:rsid w:val="00694C2D"/>
    <w:rsid w:val="006A0EF2"/>
    <w:rsid w:val="006A17BC"/>
    <w:rsid w:val="006A27C0"/>
    <w:rsid w:val="006A2B6E"/>
    <w:rsid w:val="006A5228"/>
    <w:rsid w:val="006B3F01"/>
    <w:rsid w:val="006B48CB"/>
    <w:rsid w:val="006C24BD"/>
    <w:rsid w:val="006C26FB"/>
    <w:rsid w:val="006C281E"/>
    <w:rsid w:val="006C46DD"/>
    <w:rsid w:val="006C69BE"/>
    <w:rsid w:val="006C6EF7"/>
    <w:rsid w:val="006C79A9"/>
    <w:rsid w:val="006D3448"/>
    <w:rsid w:val="006D348E"/>
    <w:rsid w:val="006E14FF"/>
    <w:rsid w:val="006E2CBC"/>
    <w:rsid w:val="006E50B5"/>
    <w:rsid w:val="006E68D0"/>
    <w:rsid w:val="006F258C"/>
    <w:rsid w:val="006F418D"/>
    <w:rsid w:val="00700816"/>
    <w:rsid w:val="00701AFD"/>
    <w:rsid w:val="00701BC6"/>
    <w:rsid w:val="00704F54"/>
    <w:rsid w:val="00706093"/>
    <w:rsid w:val="00711AEA"/>
    <w:rsid w:val="0071260C"/>
    <w:rsid w:val="00716EC8"/>
    <w:rsid w:val="0072092D"/>
    <w:rsid w:val="00721B83"/>
    <w:rsid w:val="007301D7"/>
    <w:rsid w:val="007337AB"/>
    <w:rsid w:val="007377A5"/>
    <w:rsid w:val="00742454"/>
    <w:rsid w:val="007430D0"/>
    <w:rsid w:val="0074376A"/>
    <w:rsid w:val="0075605E"/>
    <w:rsid w:val="00756820"/>
    <w:rsid w:val="00761B33"/>
    <w:rsid w:val="00762371"/>
    <w:rsid w:val="00774A60"/>
    <w:rsid w:val="007768C1"/>
    <w:rsid w:val="00782D68"/>
    <w:rsid w:val="007835C9"/>
    <w:rsid w:val="00790CDB"/>
    <w:rsid w:val="00792D9F"/>
    <w:rsid w:val="0079381C"/>
    <w:rsid w:val="00794669"/>
    <w:rsid w:val="0079679B"/>
    <w:rsid w:val="0079759C"/>
    <w:rsid w:val="007A4C49"/>
    <w:rsid w:val="007A5AF4"/>
    <w:rsid w:val="007B232D"/>
    <w:rsid w:val="007B3350"/>
    <w:rsid w:val="007B448F"/>
    <w:rsid w:val="007D1B62"/>
    <w:rsid w:val="007D2C5E"/>
    <w:rsid w:val="007D5307"/>
    <w:rsid w:val="007E313B"/>
    <w:rsid w:val="007E37A8"/>
    <w:rsid w:val="007F033F"/>
    <w:rsid w:val="007F047A"/>
    <w:rsid w:val="007F48B8"/>
    <w:rsid w:val="007F4C88"/>
    <w:rsid w:val="007F77C8"/>
    <w:rsid w:val="007F79B3"/>
    <w:rsid w:val="00800CF2"/>
    <w:rsid w:val="00801DA2"/>
    <w:rsid w:val="0080244A"/>
    <w:rsid w:val="008162BF"/>
    <w:rsid w:val="0082017C"/>
    <w:rsid w:val="00822A04"/>
    <w:rsid w:val="008268D7"/>
    <w:rsid w:val="008343BE"/>
    <w:rsid w:val="008373CD"/>
    <w:rsid w:val="00844993"/>
    <w:rsid w:val="008469F1"/>
    <w:rsid w:val="00850BA2"/>
    <w:rsid w:val="0085657C"/>
    <w:rsid w:val="00856918"/>
    <w:rsid w:val="00863805"/>
    <w:rsid w:val="00864F1D"/>
    <w:rsid w:val="00867B2F"/>
    <w:rsid w:val="00872FEA"/>
    <w:rsid w:val="00873146"/>
    <w:rsid w:val="008743B4"/>
    <w:rsid w:val="00877B19"/>
    <w:rsid w:val="00880ADF"/>
    <w:rsid w:val="00884C64"/>
    <w:rsid w:val="00887C29"/>
    <w:rsid w:val="00890315"/>
    <w:rsid w:val="00892C0E"/>
    <w:rsid w:val="008A123C"/>
    <w:rsid w:val="008A1BE8"/>
    <w:rsid w:val="008A5653"/>
    <w:rsid w:val="008A7128"/>
    <w:rsid w:val="008B03C4"/>
    <w:rsid w:val="008B48CB"/>
    <w:rsid w:val="008B651D"/>
    <w:rsid w:val="008C1421"/>
    <w:rsid w:val="008C611E"/>
    <w:rsid w:val="008C7C24"/>
    <w:rsid w:val="008D0D2F"/>
    <w:rsid w:val="008D12B8"/>
    <w:rsid w:val="008D2CE8"/>
    <w:rsid w:val="008D5368"/>
    <w:rsid w:val="008D5720"/>
    <w:rsid w:val="008E1679"/>
    <w:rsid w:val="008E19B9"/>
    <w:rsid w:val="008E1BE9"/>
    <w:rsid w:val="008E3FF1"/>
    <w:rsid w:val="008E5507"/>
    <w:rsid w:val="008E5BE8"/>
    <w:rsid w:val="008E703B"/>
    <w:rsid w:val="008F5B32"/>
    <w:rsid w:val="008F6091"/>
    <w:rsid w:val="008F6F80"/>
    <w:rsid w:val="009031C4"/>
    <w:rsid w:val="0090417E"/>
    <w:rsid w:val="00911AA5"/>
    <w:rsid w:val="00920831"/>
    <w:rsid w:val="00922E1B"/>
    <w:rsid w:val="00924534"/>
    <w:rsid w:val="00925B4D"/>
    <w:rsid w:val="009261A2"/>
    <w:rsid w:val="00931769"/>
    <w:rsid w:val="00934A44"/>
    <w:rsid w:val="00935BB5"/>
    <w:rsid w:val="00944E4C"/>
    <w:rsid w:val="00957304"/>
    <w:rsid w:val="009579B0"/>
    <w:rsid w:val="00960636"/>
    <w:rsid w:val="0096222B"/>
    <w:rsid w:val="009659C6"/>
    <w:rsid w:val="00967E52"/>
    <w:rsid w:val="00971317"/>
    <w:rsid w:val="009740E3"/>
    <w:rsid w:val="009748E1"/>
    <w:rsid w:val="00975294"/>
    <w:rsid w:val="00975D9D"/>
    <w:rsid w:val="009803D3"/>
    <w:rsid w:val="00982BAA"/>
    <w:rsid w:val="00995932"/>
    <w:rsid w:val="009A72ED"/>
    <w:rsid w:val="009B1022"/>
    <w:rsid w:val="009B27BE"/>
    <w:rsid w:val="009B3DB4"/>
    <w:rsid w:val="009B4D6C"/>
    <w:rsid w:val="009B705C"/>
    <w:rsid w:val="009C17B2"/>
    <w:rsid w:val="009D1FE6"/>
    <w:rsid w:val="009D3455"/>
    <w:rsid w:val="009D69BC"/>
    <w:rsid w:val="009E1A3B"/>
    <w:rsid w:val="009E5751"/>
    <w:rsid w:val="009E58D3"/>
    <w:rsid w:val="009E7470"/>
    <w:rsid w:val="009F2E42"/>
    <w:rsid w:val="009F2F3C"/>
    <w:rsid w:val="009F3E0C"/>
    <w:rsid w:val="009F48C9"/>
    <w:rsid w:val="009F70FC"/>
    <w:rsid w:val="00A03BA5"/>
    <w:rsid w:val="00A03F74"/>
    <w:rsid w:val="00A0418B"/>
    <w:rsid w:val="00A04FA5"/>
    <w:rsid w:val="00A27009"/>
    <w:rsid w:val="00A27394"/>
    <w:rsid w:val="00A335E1"/>
    <w:rsid w:val="00A34928"/>
    <w:rsid w:val="00A35569"/>
    <w:rsid w:val="00A3638A"/>
    <w:rsid w:val="00A376F7"/>
    <w:rsid w:val="00A413D4"/>
    <w:rsid w:val="00A41DB7"/>
    <w:rsid w:val="00A42788"/>
    <w:rsid w:val="00A449B6"/>
    <w:rsid w:val="00A44F46"/>
    <w:rsid w:val="00A468D9"/>
    <w:rsid w:val="00A57BBA"/>
    <w:rsid w:val="00A621D0"/>
    <w:rsid w:val="00A637E1"/>
    <w:rsid w:val="00A63EE7"/>
    <w:rsid w:val="00A70D9D"/>
    <w:rsid w:val="00A72A24"/>
    <w:rsid w:val="00A72F81"/>
    <w:rsid w:val="00A75824"/>
    <w:rsid w:val="00A7669C"/>
    <w:rsid w:val="00A7727A"/>
    <w:rsid w:val="00A81648"/>
    <w:rsid w:val="00A836A0"/>
    <w:rsid w:val="00A85BC6"/>
    <w:rsid w:val="00A9235C"/>
    <w:rsid w:val="00AA220B"/>
    <w:rsid w:val="00AA61BB"/>
    <w:rsid w:val="00AB423A"/>
    <w:rsid w:val="00AB5CF1"/>
    <w:rsid w:val="00AE1B80"/>
    <w:rsid w:val="00AE78DD"/>
    <w:rsid w:val="00AF46F1"/>
    <w:rsid w:val="00AF7DBA"/>
    <w:rsid w:val="00B031A3"/>
    <w:rsid w:val="00B06EF1"/>
    <w:rsid w:val="00B06FA5"/>
    <w:rsid w:val="00B07F0C"/>
    <w:rsid w:val="00B11D09"/>
    <w:rsid w:val="00B13BF9"/>
    <w:rsid w:val="00B17FA3"/>
    <w:rsid w:val="00B236D2"/>
    <w:rsid w:val="00B239A5"/>
    <w:rsid w:val="00B24472"/>
    <w:rsid w:val="00B34458"/>
    <w:rsid w:val="00B40642"/>
    <w:rsid w:val="00B4164F"/>
    <w:rsid w:val="00B41939"/>
    <w:rsid w:val="00B449DA"/>
    <w:rsid w:val="00B47848"/>
    <w:rsid w:val="00B47E9E"/>
    <w:rsid w:val="00B51D1E"/>
    <w:rsid w:val="00B62244"/>
    <w:rsid w:val="00B64303"/>
    <w:rsid w:val="00B65921"/>
    <w:rsid w:val="00B75C51"/>
    <w:rsid w:val="00B82E74"/>
    <w:rsid w:val="00B82EDE"/>
    <w:rsid w:val="00B930D1"/>
    <w:rsid w:val="00B931AA"/>
    <w:rsid w:val="00B94543"/>
    <w:rsid w:val="00B94A3F"/>
    <w:rsid w:val="00B95DAB"/>
    <w:rsid w:val="00BA1AEE"/>
    <w:rsid w:val="00BA3446"/>
    <w:rsid w:val="00BA6A89"/>
    <w:rsid w:val="00BB11EB"/>
    <w:rsid w:val="00BB232B"/>
    <w:rsid w:val="00BB3D16"/>
    <w:rsid w:val="00BB44F5"/>
    <w:rsid w:val="00BB71E7"/>
    <w:rsid w:val="00BB747B"/>
    <w:rsid w:val="00BC43FC"/>
    <w:rsid w:val="00BC4C14"/>
    <w:rsid w:val="00BD0273"/>
    <w:rsid w:val="00BD0E99"/>
    <w:rsid w:val="00BD0FB2"/>
    <w:rsid w:val="00BD2CD6"/>
    <w:rsid w:val="00BD314B"/>
    <w:rsid w:val="00BD5EF1"/>
    <w:rsid w:val="00BE63B7"/>
    <w:rsid w:val="00BF1344"/>
    <w:rsid w:val="00BF1839"/>
    <w:rsid w:val="00BF1E01"/>
    <w:rsid w:val="00BF245F"/>
    <w:rsid w:val="00C02E5E"/>
    <w:rsid w:val="00C05CFB"/>
    <w:rsid w:val="00C07D89"/>
    <w:rsid w:val="00C12C49"/>
    <w:rsid w:val="00C14820"/>
    <w:rsid w:val="00C14A12"/>
    <w:rsid w:val="00C2003F"/>
    <w:rsid w:val="00C23BE8"/>
    <w:rsid w:val="00C31269"/>
    <w:rsid w:val="00C320B7"/>
    <w:rsid w:val="00C358AA"/>
    <w:rsid w:val="00C43333"/>
    <w:rsid w:val="00C468C8"/>
    <w:rsid w:val="00C52089"/>
    <w:rsid w:val="00C56387"/>
    <w:rsid w:val="00C66460"/>
    <w:rsid w:val="00C664DC"/>
    <w:rsid w:val="00C72AE2"/>
    <w:rsid w:val="00C72F36"/>
    <w:rsid w:val="00C762C2"/>
    <w:rsid w:val="00C77E8C"/>
    <w:rsid w:val="00C827AA"/>
    <w:rsid w:val="00C85C34"/>
    <w:rsid w:val="00C85DDC"/>
    <w:rsid w:val="00C87E33"/>
    <w:rsid w:val="00C9237F"/>
    <w:rsid w:val="00C92CBE"/>
    <w:rsid w:val="00C95952"/>
    <w:rsid w:val="00CA05B8"/>
    <w:rsid w:val="00CA221C"/>
    <w:rsid w:val="00CA28AB"/>
    <w:rsid w:val="00CA71DE"/>
    <w:rsid w:val="00CB12C0"/>
    <w:rsid w:val="00CB2332"/>
    <w:rsid w:val="00CB23A1"/>
    <w:rsid w:val="00CB25F2"/>
    <w:rsid w:val="00CB6CBE"/>
    <w:rsid w:val="00CC1E37"/>
    <w:rsid w:val="00CC4AF5"/>
    <w:rsid w:val="00CD025D"/>
    <w:rsid w:val="00CD1A54"/>
    <w:rsid w:val="00CD36A1"/>
    <w:rsid w:val="00CD5EEE"/>
    <w:rsid w:val="00CD6BC3"/>
    <w:rsid w:val="00CE05F3"/>
    <w:rsid w:val="00CE0DD5"/>
    <w:rsid w:val="00CE1742"/>
    <w:rsid w:val="00CE4E6A"/>
    <w:rsid w:val="00CE50F6"/>
    <w:rsid w:val="00CE58D5"/>
    <w:rsid w:val="00CE71D8"/>
    <w:rsid w:val="00CF1FF7"/>
    <w:rsid w:val="00CF36BA"/>
    <w:rsid w:val="00D00D6E"/>
    <w:rsid w:val="00D11139"/>
    <w:rsid w:val="00D1147D"/>
    <w:rsid w:val="00D15ACA"/>
    <w:rsid w:val="00D16889"/>
    <w:rsid w:val="00D17D5D"/>
    <w:rsid w:val="00D214EC"/>
    <w:rsid w:val="00D26EA4"/>
    <w:rsid w:val="00D27A72"/>
    <w:rsid w:val="00D304A4"/>
    <w:rsid w:val="00D429AA"/>
    <w:rsid w:val="00D44A41"/>
    <w:rsid w:val="00D508D3"/>
    <w:rsid w:val="00D55296"/>
    <w:rsid w:val="00D56676"/>
    <w:rsid w:val="00D6321D"/>
    <w:rsid w:val="00D63861"/>
    <w:rsid w:val="00D65C4C"/>
    <w:rsid w:val="00D70387"/>
    <w:rsid w:val="00D70BE3"/>
    <w:rsid w:val="00D7237D"/>
    <w:rsid w:val="00D85FA5"/>
    <w:rsid w:val="00D8605C"/>
    <w:rsid w:val="00D8623C"/>
    <w:rsid w:val="00D86A06"/>
    <w:rsid w:val="00D902D5"/>
    <w:rsid w:val="00D947EA"/>
    <w:rsid w:val="00D95D7F"/>
    <w:rsid w:val="00DA3792"/>
    <w:rsid w:val="00DA3E7A"/>
    <w:rsid w:val="00DA3FFB"/>
    <w:rsid w:val="00DA4F60"/>
    <w:rsid w:val="00DB2F6A"/>
    <w:rsid w:val="00DB5FA1"/>
    <w:rsid w:val="00DB7197"/>
    <w:rsid w:val="00DB7F7B"/>
    <w:rsid w:val="00DB7F9B"/>
    <w:rsid w:val="00DC417D"/>
    <w:rsid w:val="00DC4F79"/>
    <w:rsid w:val="00DD0664"/>
    <w:rsid w:val="00DD2B58"/>
    <w:rsid w:val="00DE0273"/>
    <w:rsid w:val="00DE1055"/>
    <w:rsid w:val="00DE3790"/>
    <w:rsid w:val="00DE7B54"/>
    <w:rsid w:val="00DF0E6F"/>
    <w:rsid w:val="00DF62B8"/>
    <w:rsid w:val="00DF759D"/>
    <w:rsid w:val="00DF784F"/>
    <w:rsid w:val="00DF7DCF"/>
    <w:rsid w:val="00E04474"/>
    <w:rsid w:val="00E05222"/>
    <w:rsid w:val="00E05B9A"/>
    <w:rsid w:val="00E079C0"/>
    <w:rsid w:val="00E14A0A"/>
    <w:rsid w:val="00E153A6"/>
    <w:rsid w:val="00E16D14"/>
    <w:rsid w:val="00E22667"/>
    <w:rsid w:val="00E233AE"/>
    <w:rsid w:val="00E253DA"/>
    <w:rsid w:val="00E3222F"/>
    <w:rsid w:val="00E32A21"/>
    <w:rsid w:val="00E34677"/>
    <w:rsid w:val="00E35CA8"/>
    <w:rsid w:val="00E37D1E"/>
    <w:rsid w:val="00E37EE9"/>
    <w:rsid w:val="00E430C0"/>
    <w:rsid w:val="00E470B2"/>
    <w:rsid w:val="00E5049D"/>
    <w:rsid w:val="00E511E6"/>
    <w:rsid w:val="00E51F71"/>
    <w:rsid w:val="00E53DE9"/>
    <w:rsid w:val="00E553B0"/>
    <w:rsid w:val="00E60064"/>
    <w:rsid w:val="00E630FA"/>
    <w:rsid w:val="00E63174"/>
    <w:rsid w:val="00E63BCA"/>
    <w:rsid w:val="00E64287"/>
    <w:rsid w:val="00E66BE4"/>
    <w:rsid w:val="00E675ED"/>
    <w:rsid w:val="00E72FC6"/>
    <w:rsid w:val="00E761C7"/>
    <w:rsid w:val="00E877AD"/>
    <w:rsid w:val="00E970F6"/>
    <w:rsid w:val="00EA52D1"/>
    <w:rsid w:val="00EA75E1"/>
    <w:rsid w:val="00EA7848"/>
    <w:rsid w:val="00EA7F4A"/>
    <w:rsid w:val="00EB261C"/>
    <w:rsid w:val="00EB417B"/>
    <w:rsid w:val="00EB5E49"/>
    <w:rsid w:val="00EB7433"/>
    <w:rsid w:val="00EC1D2A"/>
    <w:rsid w:val="00EC3923"/>
    <w:rsid w:val="00EC64DD"/>
    <w:rsid w:val="00ED184E"/>
    <w:rsid w:val="00ED6E7A"/>
    <w:rsid w:val="00ED7075"/>
    <w:rsid w:val="00ED73AC"/>
    <w:rsid w:val="00ED75F0"/>
    <w:rsid w:val="00EE18EC"/>
    <w:rsid w:val="00EE5441"/>
    <w:rsid w:val="00EE7558"/>
    <w:rsid w:val="00EF330D"/>
    <w:rsid w:val="00EF46FD"/>
    <w:rsid w:val="00EF62A7"/>
    <w:rsid w:val="00F00B86"/>
    <w:rsid w:val="00F03B3C"/>
    <w:rsid w:val="00F066FD"/>
    <w:rsid w:val="00F108FF"/>
    <w:rsid w:val="00F10BD5"/>
    <w:rsid w:val="00F11CFF"/>
    <w:rsid w:val="00F14016"/>
    <w:rsid w:val="00F228B9"/>
    <w:rsid w:val="00F361AF"/>
    <w:rsid w:val="00F44E68"/>
    <w:rsid w:val="00F50936"/>
    <w:rsid w:val="00F53F44"/>
    <w:rsid w:val="00F54EF3"/>
    <w:rsid w:val="00F57BC8"/>
    <w:rsid w:val="00F61BC1"/>
    <w:rsid w:val="00F620F4"/>
    <w:rsid w:val="00F626A0"/>
    <w:rsid w:val="00F62DE2"/>
    <w:rsid w:val="00F715E2"/>
    <w:rsid w:val="00F72469"/>
    <w:rsid w:val="00F724E3"/>
    <w:rsid w:val="00F74AFD"/>
    <w:rsid w:val="00F765EE"/>
    <w:rsid w:val="00F86B39"/>
    <w:rsid w:val="00F9041E"/>
    <w:rsid w:val="00F91DDE"/>
    <w:rsid w:val="00F91FD7"/>
    <w:rsid w:val="00F92BD2"/>
    <w:rsid w:val="00F94C41"/>
    <w:rsid w:val="00F9770A"/>
    <w:rsid w:val="00FA155C"/>
    <w:rsid w:val="00FA4B91"/>
    <w:rsid w:val="00FB3B81"/>
    <w:rsid w:val="00FB585A"/>
    <w:rsid w:val="00FB6D54"/>
    <w:rsid w:val="00FC3A16"/>
    <w:rsid w:val="00FD01E9"/>
    <w:rsid w:val="00FD1B49"/>
    <w:rsid w:val="00FD2BC5"/>
    <w:rsid w:val="00FD7A38"/>
    <w:rsid w:val="00FE0A4D"/>
    <w:rsid w:val="00FE3014"/>
    <w:rsid w:val="00FF59AC"/>
    <w:rsid w:val="00FF6584"/>
    <w:rsid w:val="00FF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997EE6"/>
  <w15:docId w15:val="{832FF7FD-5967-4FA7-8197-F3BA44DB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24472"/>
    <w:pPr>
      <w:keepNext/>
      <w:spacing w:after="0" w:line="240" w:lineRule="auto"/>
      <w:ind w:left="-709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9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9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13B"/>
  </w:style>
  <w:style w:type="paragraph" w:styleId="Footer">
    <w:name w:val="footer"/>
    <w:basedOn w:val="Normal"/>
    <w:link w:val="Foot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13B"/>
  </w:style>
  <w:style w:type="paragraph" w:customStyle="1" w:styleId="tv213">
    <w:name w:val="tv213"/>
    <w:basedOn w:val="Normal"/>
    <w:rsid w:val="00A81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074425"/>
    <w:pPr>
      <w:spacing w:after="0" w:line="240" w:lineRule="auto"/>
    </w:pPr>
  </w:style>
  <w:style w:type="paragraph" w:styleId="NormalWeb">
    <w:name w:val="Normal (Web)"/>
    <w:basedOn w:val="Normal"/>
    <w:semiHidden/>
    <w:rsid w:val="00484546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F1E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1E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E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E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E0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836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36A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1839"/>
    <w:pPr>
      <w:ind w:left="720"/>
      <w:contextualSpacing/>
    </w:pPr>
  </w:style>
  <w:style w:type="character" w:customStyle="1" w:styleId="cf01">
    <w:name w:val="cf01"/>
    <w:basedOn w:val="DefaultParagraphFont"/>
    <w:rsid w:val="00FB3B8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FB3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1">
    <w:name w:val="NA punkts 1"/>
    <w:basedOn w:val="Normal"/>
    <w:link w:val="NApunkts1Rakstz"/>
    <w:qFormat/>
    <w:rsid w:val="00554D5F"/>
    <w:pPr>
      <w:numPr>
        <w:numId w:val="2"/>
      </w:numPr>
      <w:spacing w:before="240"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2">
    <w:name w:val="NA punkts 2"/>
    <w:basedOn w:val="Normal"/>
    <w:qFormat/>
    <w:rsid w:val="00554D5F"/>
    <w:pPr>
      <w:keepLines/>
      <w:numPr>
        <w:ilvl w:val="1"/>
        <w:numId w:val="2"/>
      </w:numPr>
      <w:spacing w:after="0" w:line="240" w:lineRule="auto"/>
      <w:ind w:left="0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3">
    <w:name w:val="NA punkts 3"/>
    <w:basedOn w:val="Normal"/>
    <w:qFormat/>
    <w:rsid w:val="00554D5F"/>
    <w:pPr>
      <w:keepLines/>
      <w:numPr>
        <w:ilvl w:val="2"/>
        <w:numId w:val="2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punkts4">
    <w:name w:val="NA punkts 4"/>
    <w:basedOn w:val="Normal"/>
    <w:qFormat/>
    <w:rsid w:val="00554D5F"/>
    <w:pPr>
      <w:keepLines/>
      <w:numPr>
        <w:ilvl w:val="3"/>
        <w:numId w:val="2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Apunkts1Rakstz">
    <w:name w:val="NA punkts 1 Rakstz."/>
    <w:basedOn w:val="DefaultParagraphFont"/>
    <w:link w:val="NApunkts1"/>
    <w:rsid w:val="000D18BD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oc-ti">
    <w:name w:val="doc-ti"/>
    <w:basedOn w:val="Normal"/>
    <w:rsid w:val="00822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62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62A7"/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y2iqfc">
    <w:name w:val="y2iqfc"/>
    <w:basedOn w:val="DefaultParagraphFont"/>
    <w:rsid w:val="00EF62A7"/>
  </w:style>
  <w:style w:type="paragraph" w:customStyle="1" w:styleId="title-doc-first">
    <w:name w:val="title-doc-first"/>
    <w:basedOn w:val="Normal"/>
    <w:rsid w:val="00844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">
    <w:name w:val="Table Grid"/>
    <w:basedOn w:val="TableNormal"/>
    <w:uiPriority w:val="39"/>
    <w:rsid w:val="0011032F"/>
    <w:pPr>
      <w:spacing w:after="0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11">
    <w:name w:val="cf11"/>
    <w:basedOn w:val="DefaultParagraphFont"/>
    <w:rsid w:val="0011032F"/>
    <w:rPr>
      <w:rFonts w:ascii="Segoe UI" w:hAnsi="Segoe UI" w:cs="Segoe UI" w:hint="default"/>
      <w:color w:val="333333"/>
      <w:sz w:val="18"/>
      <w:szCs w:val="18"/>
      <w:shd w:val="clear" w:color="auto" w:fill="FFFFFF"/>
    </w:rPr>
  </w:style>
  <w:style w:type="character" w:customStyle="1" w:styleId="ui-provider">
    <w:name w:val="ui-provider"/>
    <w:basedOn w:val="DefaultParagraphFont"/>
    <w:rsid w:val="006650A1"/>
  </w:style>
  <w:style w:type="paragraph" w:customStyle="1" w:styleId="NApielikums">
    <w:name w:val="NA pielikums"/>
    <w:basedOn w:val="Normal"/>
    <w:link w:val="NApielikumsCharChar"/>
    <w:rsid w:val="00061F1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ApielikumsCharChar">
    <w:name w:val="NA pielikums Char Char"/>
    <w:basedOn w:val="DefaultParagraphFont"/>
    <w:link w:val="NApielikums"/>
    <w:rsid w:val="00061F1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PlaceholderText">
    <w:name w:val="Placeholder Text"/>
    <w:basedOn w:val="DefaultParagraphFont"/>
    <w:uiPriority w:val="99"/>
    <w:semiHidden/>
    <w:rsid w:val="00061F14"/>
    <w:rPr>
      <w:color w:val="808080"/>
    </w:rPr>
  </w:style>
  <w:style w:type="paragraph" w:customStyle="1" w:styleId="Default">
    <w:name w:val="Default"/>
    <w:rsid w:val="00061F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B24472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7218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15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6FB9562532E48C79A9A7CAF997B9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E9F691-6C86-467D-B50B-97E2BA92191E}"/>
      </w:docPartPr>
      <w:docPartBody>
        <w:p w:rsidR="007624E4" w:rsidRDefault="005D75C8" w:rsidP="005D75C8">
          <w:pPr>
            <w:pStyle w:val="06FB9562532E48C79A9A7CAF997B965E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0DE2760AD93F4C379BADD32CC4AEB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973FF-2D37-4FF6-B190-F5395017DA9C}"/>
      </w:docPartPr>
      <w:docPartBody>
        <w:p w:rsidR="007E0AAA" w:rsidRDefault="00776766" w:rsidP="00776766">
          <w:pPr>
            <w:pStyle w:val="0DE2760AD93F4C379BADD32CC4AEBE9A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C8"/>
    <w:rsid w:val="000F59DE"/>
    <w:rsid w:val="00135089"/>
    <w:rsid w:val="00162737"/>
    <w:rsid w:val="001B5ECD"/>
    <w:rsid w:val="001D3730"/>
    <w:rsid w:val="00227EEE"/>
    <w:rsid w:val="0024471B"/>
    <w:rsid w:val="00253730"/>
    <w:rsid w:val="00291FA8"/>
    <w:rsid w:val="002A132F"/>
    <w:rsid w:val="002A5D67"/>
    <w:rsid w:val="002A6F5D"/>
    <w:rsid w:val="00317E24"/>
    <w:rsid w:val="00341D71"/>
    <w:rsid w:val="003A682F"/>
    <w:rsid w:val="003E108D"/>
    <w:rsid w:val="00431623"/>
    <w:rsid w:val="004B3386"/>
    <w:rsid w:val="004E1C04"/>
    <w:rsid w:val="004F5A24"/>
    <w:rsid w:val="00572F21"/>
    <w:rsid w:val="005B5A7D"/>
    <w:rsid w:val="005C2CA0"/>
    <w:rsid w:val="005D75C8"/>
    <w:rsid w:val="00606F09"/>
    <w:rsid w:val="006A61AC"/>
    <w:rsid w:val="006F4F95"/>
    <w:rsid w:val="007624E4"/>
    <w:rsid w:val="0076578A"/>
    <w:rsid w:val="00776766"/>
    <w:rsid w:val="007E0AAA"/>
    <w:rsid w:val="00814418"/>
    <w:rsid w:val="00834517"/>
    <w:rsid w:val="00837761"/>
    <w:rsid w:val="008B3080"/>
    <w:rsid w:val="008F4752"/>
    <w:rsid w:val="00A056E1"/>
    <w:rsid w:val="00A27A4D"/>
    <w:rsid w:val="00B308B3"/>
    <w:rsid w:val="00B75230"/>
    <w:rsid w:val="00BA1188"/>
    <w:rsid w:val="00C043CE"/>
    <w:rsid w:val="00C358AA"/>
    <w:rsid w:val="00D35F30"/>
    <w:rsid w:val="00D85A2F"/>
    <w:rsid w:val="00DD35D1"/>
    <w:rsid w:val="00EE6CA1"/>
    <w:rsid w:val="00F01EF8"/>
    <w:rsid w:val="00F43DC4"/>
    <w:rsid w:val="00FB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A132F"/>
    <w:rPr>
      <w:color w:val="808080"/>
    </w:rPr>
  </w:style>
  <w:style w:type="paragraph" w:customStyle="1" w:styleId="06FB9562532E48C79A9A7CAF997B965E">
    <w:name w:val="06FB9562532E48C79A9A7CAF997B965E"/>
    <w:rsid w:val="005D75C8"/>
  </w:style>
  <w:style w:type="paragraph" w:customStyle="1" w:styleId="0DE2760AD93F4C379BADD32CC4AEBE9A">
    <w:name w:val="0DE2760AD93F4C379BADD32CC4AEBE9A"/>
    <w:rsid w:val="007767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53541E1AFE9DF4983746D949E3FD634" ma:contentTypeVersion="1" ma:contentTypeDescription="Izveidot jaunu dokumentu." ma:contentTypeScope="" ma:versionID="be031df6de0d6d2bc3bcaab97a2398e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3dbecf5d7db408d19abbd440ff561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ākuma datuma plānošan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Beigu datuma plānošan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137E8C-5B59-4BC4-B7A2-F07207A0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979904-0F63-4506-91C9-580672D256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4F12AF-0498-425C-B57A-1096A614A4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5925</Words>
  <Characters>3378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Daiga Birīte</dc:creator>
  <cp:keywords/>
  <dc:description/>
  <cp:lastModifiedBy>Iveta Reķele-Apsīte</cp:lastModifiedBy>
  <cp:revision>3</cp:revision>
  <cp:lastPrinted>2023-07-25T07:30:00Z</cp:lastPrinted>
  <dcterms:created xsi:type="dcterms:W3CDTF">2024-07-31T08:57:00Z</dcterms:created>
  <dcterms:modified xsi:type="dcterms:W3CDTF">2024-07-31T09:02:00Z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0x010100053541E1AFE9DF4983746D949E3FD634</vt:lpwstr>
  </property>
</Properties>
</file>