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1EF3A" w14:textId="1F58C550" w:rsidR="00EA684C" w:rsidRPr="00EA684C" w:rsidRDefault="00CA28AB" w:rsidP="00392A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B87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r w:rsidR="00211300" w:rsidRPr="00824B87">
        <w:rPr>
          <w:rFonts w:ascii="Times New Roman" w:hAnsi="Times New Roman" w:cs="Times New Roman"/>
          <w:b/>
          <w:bCs/>
          <w:sz w:val="24"/>
          <w:szCs w:val="24"/>
        </w:rPr>
        <w:t>"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25447728"/>
          <w:placeholder>
            <w:docPart w:val="375DF702D17849D8BF7A69C11F61BF14"/>
          </w:placeholder>
        </w:sdtPr>
        <w:sdtEndPr/>
        <w:sdtContent>
          <w:bookmarkStart w:id="0" w:name="_Toc361660744"/>
          <w:r w:rsidR="00EA684C" w:rsidRPr="00EA684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Noteikumi par prasībām ieguldījumu fondu ieguldījumu objektiem, darījumiem </w:t>
          </w:r>
          <w:r w:rsidR="00EA684C" w:rsidRPr="00397033">
            <w:rPr>
              <w:rFonts w:ascii="Times New Roman" w:hAnsi="Times New Roman" w:cs="Times New Roman"/>
              <w:b/>
              <w:bCs/>
              <w:sz w:val="24"/>
              <w:szCs w:val="24"/>
            </w:rPr>
            <w:t>un noteikta</w:t>
          </w:r>
          <w:r w:rsidR="00EA684C" w:rsidRPr="00EA684C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 darbības veida fondiem</w:t>
          </w:r>
          <w:bookmarkEnd w:id="0"/>
          <w:r w:rsidR="00EA684C" w:rsidRPr="00824B87">
            <w:rPr>
              <w:rFonts w:ascii="Times New Roman" w:hAnsi="Times New Roman" w:cs="Times New Roman"/>
              <w:b/>
              <w:bCs/>
              <w:sz w:val="24"/>
              <w:szCs w:val="24"/>
            </w:rPr>
            <w:t>" anotācija</w:t>
          </w:r>
        </w:sdtContent>
      </w:sdt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5"/>
      </w:tblGrid>
      <w:tr w:rsidR="000B4E0A" w:rsidRPr="00824B87" w14:paraId="6F9A8E72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79DBFE20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07B11308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2F33C1B2" w14:textId="31C28B35" w:rsidR="00E53DE9" w:rsidRPr="00824B87" w:rsidRDefault="00EA684C" w:rsidP="008279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684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 par prasībām ieguldījumu fondu ieguldījumu objektiem, darījumiem un noteikta darbības veida fondiem</w:t>
            </w:r>
          </w:p>
        </w:tc>
      </w:tr>
      <w:tr w:rsidR="000B4E0A" w:rsidRPr="00824B87" w14:paraId="65B6B537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1757A1E1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17E9EEF6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04810C04" w14:textId="1AE7E4E0" w:rsidR="00E53DE9" w:rsidRPr="00824B87" w:rsidRDefault="00211300" w:rsidP="008279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noteikumi</w:t>
            </w:r>
          </w:p>
        </w:tc>
      </w:tr>
      <w:tr w:rsidR="000B4E0A" w:rsidRPr="00824B87" w14:paraId="4C35F384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2D52EEED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61A4BBCF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07C5D982" w14:textId="21A31AC7" w:rsidR="007B7084" w:rsidRPr="00D465C6" w:rsidRDefault="00211300" w:rsidP="0056472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Ieguldījumu pārvaldes sabiedrību likuma </w:t>
            </w:r>
            <w:r w:rsidR="00A949CB"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(turpmāk</w:t>
            </w:r>
            <w:r w:rsidR="009A14BA"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A949CB"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</w:t>
            </w:r>
            <w:r w:rsidR="004E5A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A949CB"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ikums) </w:t>
            </w:r>
            <w:r w:rsidR="00EA684C"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61. panta sestā daļa, 65.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EA684C"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ceturtā daļa un 78.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EA684C" w:rsidRP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septītā daļa</w:t>
            </w:r>
          </w:p>
        </w:tc>
      </w:tr>
      <w:tr w:rsidR="000B4E0A" w:rsidRPr="00824B87" w14:paraId="2CB508F3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4CCBFDFF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48DC00D2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63C025EC" w14:textId="0590103B" w:rsidR="00361CB6" w:rsidRDefault="009302CA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Ieguldījumu fondu darbību </w:t>
            </w:r>
            <w:r w:rsidR="00733E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Latvijā reglamentē </w:t>
            </w:r>
            <w:r w:rsidR="004E5A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733E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ikums, ar kuru pārņemtas </w:t>
            </w:r>
            <w:hyperlink r:id="rId11" w:history="1">
              <w:r w:rsidR="00733E95" w:rsidRPr="00F658D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Eiropas Parlamenta un Padomes 2009. gada 13. jūlija direktīvas</w:t>
              </w:r>
              <w:r w:rsidR="00392A0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 </w:t>
              </w:r>
              <w:r w:rsidR="00733E95" w:rsidRPr="00F658D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2009/65/EK par normatīvo un administratīvo aktu koordināciju attiecībā uz pārvedamu vērtspapīru kolektīvo ieguldījumu uzņēmumiem (PVKIU)</w:t>
              </w:r>
            </w:hyperlink>
            <w:r w:rsidR="00F658D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tiesību normas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Minētā direktīva atcēla </w:t>
            </w:r>
            <w:hyperlink r:id="rId12" w:history="1">
              <w:r w:rsidR="00CB6F44" w:rsidRPr="00F658D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Padomes 1985. gada 20. decembra direktīvu</w:t>
              </w:r>
              <w:r w:rsidR="00392A0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 </w:t>
              </w:r>
              <w:r w:rsidR="00CB6F44" w:rsidRPr="00F658D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85/611/EEK par normatīvo un administratīvo aktu koordināciju attiecībā uz pārvedamu vērtspapīru kolektīvo ieguldījumu uzņēmumiem (PVKIU)</w:t>
              </w:r>
            </w:hyperlink>
            <w:r w:rsidR="00CB6F44" w:rsidRP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6F44" w:rsidRP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B6F44" w:rsidRP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Direktīva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6F44" w:rsidRP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85/611/EEK)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="00C87832" w:rsidRPr="00C878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bet </w:t>
            </w:r>
            <w:r w:rsidR="00CB6F44" w:rsidRPr="00C878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vienlaikus </w:t>
            </w:r>
            <w:r w:rsidR="00C87832" w:rsidRPr="0056472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tika </w:t>
            </w:r>
            <w:r w:rsidR="00CB6F44" w:rsidRPr="00C878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noteikts, ka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B6F44" w:rsidRP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atsauces uz Direktīvu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6F44" w:rsidRP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85/611/EEK spēkā esošajos normatīvajos aktos uzskata par atsaucēm uz 2009.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6F44" w:rsidRP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13.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6F44" w:rsidRP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jūlija direktīv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B6F44" w:rsidRP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2009/65/EK</w:t>
            </w:r>
            <w:r w:rsidR="00CB6F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B1447F7" w14:textId="17A0E948" w:rsidR="00A10264" w:rsidRPr="00824B87" w:rsidRDefault="009302CA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Lai skaidrotu </w:t>
            </w:r>
            <w:r w:rsidR="000C1FF0" w:rsidRP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Direktīva</w:t>
            </w:r>
            <w:r w:rsid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0C1FF0" w:rsidRP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85/611/EEK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normu piemērošanu</w:t>
            </w:r>
            <w:r w:rsidR="009A14B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Komisija 20</w:t>
            </w:r>
            <w:r w:rsid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07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9A14B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</w:t>
            </w:r>
            <w:r w:rsid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9A14B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martā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apstiprināja </w:t>
            </w:r>
            <w:hyperlink r:id="rId13" w:history="1">
              <w:r w:rsidR="00431CB6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 xml:space="preserve">Komisijas </w:t>
              </w:r>
              <w:r w:rsidR="006275C2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d</w:t>
              </w:r>
              <w:r w:rsidR="0021130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irektīv</w:t>
              </w:r>
              <w:r w:rsidR="006275C2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u</w:t>
              </w:r>
              <w:r w:rsidR="00431CB6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 </w:t>
              </w:r>
              <w:r w:rsidR="0021130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20</w:t>
              </w:r>
              <w:r w:rsidR="000C1FF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07</w:t>
              </w:r>
              <w:r w:rsidR="0021130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/</w:t>
              </w:r>
              <w:r w:rsidR="000C1FF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16</w:t>
              </w:r>
              <w:r w:rsidR="0021130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/E</w:t>
              </w:r>
              <w:r w:rsidR="000C1FF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K</w:t>
              </w:r>
              <w:r w:rsidR="0021130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 xml:space="preserve">, </w:t>
              </w:r>
              <w:r w:rsidR="000C1FF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 xml:space="preserve">ar ko īsteno Padomes </w:t>
              </w:r>
              <w:r w:rsidR="00392A0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d</w:t>
              </w:r>
              <w:r w:rsidR="000C1FF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irektīvu</w:t>
              </w:r>
              <w:r w:rsidR="00392A0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 </w:t>
              </w:r>
              <w:r w:rsidR="000C1FF0" w:rsidRPr="00F93C5E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85/611/EEK par normatīvo un administratīvo aktu koordināciju attiecībā uz pārvedamu vērtspapīru kolektīvo ieguldījumu uzņēmumiem (PVKIU), paskaidrojot atsevišķas definīcijas</w:t>
              </w:r>
            </w:hyperlink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</w:t>
            </w:r>
            <w:r w:rsidR="00021AD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urpmāk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Direktīva</w:t>
            </w:r>
            <w:r w:rsidR="00431CB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0C1FF0" w:rsidRPr="000C1F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2007/16/EK</w:t>
            </w:r>
            <w:r w:rsidR="00A949CB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). Šajā normatīvajā aktā </w:t>
            </w:r>
            <w:r w:rsidR="00F93C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detalizētāk </w:t>
            </w:r>
            <w:r w:rsidR="00C01A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skaidrotas </w:t>
            </w:r>
            <w:r w:rsidR="00C01AA4" w:rsidRPr="00C01A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</w:t>
            </w:r>
            <w:r w:rsidR="00C01A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C01AA4" w:rsidRPr="00C01A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85/611/EEK</w:t>
            </w:r>
            <w:r w:rsidR="00211300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01A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lietotās definīcijas, lai</w:t>
            </w:r>
            <w:r w:rsidR="007F21F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01A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nodrošinātu 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vienotu</w:t>
            </w:r>
            <w:r w:rsidR="00C01A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32E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izpratni par </w:t>
            </w:r>
            <w:r w:rsidR="00B954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ieguldījumu </w:t>
            </w:r>
            <w:r w:rsidR="0084756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fonda </w:t>
            </w:r>
            <w:r w:rsidR="00475ED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(turpmāk</w:t>
            </w:r>
            <w:r w:rsidR="00431CB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475ED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</w:t>
            </w:r>
            <w:r w:rsidR="00A949CB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fonds</w:t>
            </w:r>
            <w:r w:rsidR="00475ED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  <w:r w:rsidR="00032E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ieguldījumu objektu</w:t>
            </w:r>
            <w:r w:rsidR="007644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darījumu</w:t>
            </w:r>
            <w:r w:rsidR="00032E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atbilstību 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Direktīvā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85/611/EEK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noteiktajām prasībām</w:t>
            </w:r>
            <w:r w:rsidR="0084756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</w:p>
          <w:p w14:paraId="5CA96573" w14:textId="1322234F" w:rsidR="00D2056C" w:rsidRPr="00824B87" w:rsidRDefault="00847563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2007/16/EK 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431CB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iedz pamatkritērijus, lai vērtētu fonda ieguldījum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objektu piemērotību 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as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85/611/EEK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prasībām, vienlaikus deleģējot</w:t>
            </w:r>
            <w:r w:rsidR="00CB4335">
              <w:t xml:space="preserve"> 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Vērtspapīru regulatoru komiteja</w:t>
            </w:r>
            <w:r w:rsid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</w:t>
            </w:r>
            <w:r w:rsidR="00741B52" w:rsidRP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turpmāk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741B52" w:rsidRP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B4335" w:rsidRP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CESR</w:t>
            </w:r>
            <w:r w:rsidR="00F93C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 tās</w:t>
            </w:r>
            <w:r w:rsidR="00F93C5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tiesību pēctecību nodrošina</w:t>
            </w:r>
            <w:r w:rsidR="00F93C5E" w:rsidRPr="00327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C5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Vērtspapīru un tirgu iestāde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 – EVTI)</w:t>
            </w:r>
            <w:r w:rsidR="00CB4335" w:rsidRPr="00CB433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  <w:r w:rsidR="0053672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tiesības pieņemt pamatnostādnes</w:t>
            </w:r>
            <w:r w:rsidR="00431CB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F505C8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 </w:t>
            </w:r>
            <w:r w:rsidR="000473F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nodrošinātu vienveidīgu normu </w:t>
            </w:r>
            <w:r w:rsidR="00002C22" w:rsidRPr="00002C2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praktisk</w:t>
            </w:r>
            <w:r w:rsidR="00002C2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002C22" w:rsidRPr="00002C2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473F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piemērošanu </w:t>
            </w:r>
            <w:r w:rsidR="00D43C59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fondiem </w:t>
            </w:r>
            <w:r w:rsidR="000473F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visās Eiropas Savienības dalībvalstīs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F93C5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741B52" w:rsidRP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CESR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07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431CB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martā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publiskoja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pamatnostādnes</w:t>
            </w:r>
            <w:r w:rsidR="009D4817">
              <w:t xml:space="preserve"> </w:t>
            </w:r>
            <w:hyperlink r:id="rId14" w:history="1">
              <w:r w:rsidR="009D4817" w:rsidRPr="009D481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Nr.</w:t>
              </w:r>
              <w:r w:rsidR="00392A09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 </w:t>
              </w:r>
              <w:r w:rsidR="009D4817" w:rsidRPr="009D4817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CESR/07-044b</w:t>
              </w:r>
            </w:hyperlink>
            <w:r w:rsidR="009D4817" w:rsidRPr="009D48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"Pamatnostādnes, kas attiecas uz PVKIU ieguldījumiem piemērotiem aktīviem"</w:t>
            </w:r>
            <w:r w:rsidR="00741B5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9552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955228" w:rsidRP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CESR</w:t>
            </w:r>
            <w:r w:rsidR="009552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</w:t>
            </w:r>
            <w:r w:rsidR="00955228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amatnostādnes </w:t>
            </w:r>
            <w:r w:rsidR="009552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papildus </w:t>
            </w:r>
            <w:r w:rsidR="00002C2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detalizētāk </w:t>
            </w:r>
            <w:r w:rsidR="009552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skaidro kritērijus, lai varētu atzīt fonda ieguldījumus un darījumus par </w:t>
            </w:r>
            <w:r w:rsidR="00955228" w:rsidRPr="00A734E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Direktīvas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955228" w:rsidRPr="00A734E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85/611/EEK prasībām </w:t>
            </w:r>
            <w:r w:rsidR="0095522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piemērotiem investīciju objektiem un darījumiem</w:t>
            </w:r>
            <w:r w:rsidR="00955228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27A2488B" w14:textId="5E466734" w:rsidR="008A3D75" w:rsidRPr="00824B87" w:rsidRDefault="00002C22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EVTI 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</w:t>
            </w:r>
            <w:r w:rsidR="00C573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431CB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gada </w:t>
            </w:r>
            <w:r w:rsidR="00C573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A949CB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573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augustā</w:t>
            </w:r>
            <w:r w:rsidR="00B80B9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publiskoja pamatnostādnes</w:t>
            </w:r>
            <w:r w:rsidR="0084756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</w:t>
            </w:r>
            <w:hyperlink r:id="rId15" w:history="1">
              <w:r w:rsidR="00C573D8" w:rsidRPr="00C573D8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lv-LV"/>
                </w:rPr>
                <w:t>ESMA/2014/937EN</w:t>
              </w:r>
            </w:hyperlink>
            <w:r w:rsidR="0084756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  <w:r w:rsidR="00C573D8" w:rsidRPr="00C573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kompetentajām iestādēm un PVKIU ieguldījumu pārvaldes sabiedrībām par</w:t>
            </w:r>
            <w:r w:rsidR="00065C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biržā tirgotiem fondiem</w:t>
            </w:r>
            <w:r w:rsidR="00C573D8" w:rsidRPr="00C573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65C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="00C573D8" w:rsidRPr="00C573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ETF</w:t>
            </w:r>
            <w:r w:rsidR="00065C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="00C573D8" w:rsidRPr="00C573D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citiem ar </w:t>
            </w:r>
            <w:r w:rsidR="00C573D8" w:rsidRPr="003970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PVKIU saistītiem jautājumiem</w:t>
            </w:r>
            <w:r w:rsidR="00B80B95" w:rsidRPr="003970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955228" w:rsidRPr="003970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3970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EVTI </w:t>
            </w:r>
            <w:r w:rsidR="00A734E3" w:rsidRPr="003970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pamatnostādnes </w:t>
            </w:r>
            <w:r w:rsidR="00764496" w:rsidRPr="003970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nosaka prasības noteikta darbības veida</w:t>
            </w:r>
            <w:r w:rsidR="00764496" w:rsidRPr="007644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fondiem, tai skaitā informācijas atklāšanai </w:t>
            </w:r>
            <w:r w:rsidRPr="007644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prospektā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par attiecīgā </w:t>
            </w:r>
            <w:r w:rsidR="00764496" w:rsidRPr="007644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fonda</w:t>
            </w:r>
            <w:r w:rsid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darbību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darījumiem</w:t>
            </w:r>
            <w:r w:rsidR="00764496" w:rsidRPr="007644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ieguldītājiem paredzētajā pamatinformācijā un citos reklāmas materiālos</w:t>
            </w:r>
            <w:r w:rsidR="007644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764496" w:rsidRPr="007644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Abas m</w:t>
            </w:r>
            <w:r w:rsid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inētās p</w:t>
            </w:r>
            <w:r w:rsidR="008A3D7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amatnostādnes </w:t>
            </w:r>
            <w:r w:rsidR="00A949CB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pieejamas angliski</w:t>
            </w:r>
            <w:r w:rsidR="008A3D7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A734E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4D0B6AE3" w14:textId="4CE75FC6" w:rsidR="00860632" w:rsidRDefault="008A3D75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Pamatojoties uz </w:t>
            </w:r>
            <w:r w:rsidR="004E5A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ikumā noteikto deleģējumu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tiesībām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Latvijas Banka ir izstrādājusi noteikumu projektu "Noteikumi par prasībām ieguldījumu fondu ieguldījumu objektiem, darījumiem un noteikta darbības veida fondiem" (turpmāk – noteikumu projekts)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lai pārņemtu Direktīv</w:t>
            </w:r>
            <w:r w:rsid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2007/16/EK </w:t>
            </w:r>
            <w:r w:rsid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noteikto 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(skat. </w:t>
            </w:r>
            <w:r w:rsidR="007B70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direktīvas pārņemšanas tabulu 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anotācijas pielikum</w:t>
            </w:r>
            <w:r w:rsidR="007B70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vienlaikus varētu piemērot pamatnostādnēs minētās normas</w:t>
            </w:r>
            <w:r w:rsid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sakot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prasības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14:paraId="4D9DC8DC" w14:textId="392F817B" w:rsidR="00860632" w:rsidRPr="00860632" w:rsidRDefault="0018500D" w:rsidP="0056472A">
            <w:pPr>
              <w:pStyle w:val="ListParagraph"/>
              <w:numPr>
                <w:ilvl w:val="0"/>
                <w:numId w:val="2"/>
              </w:numPr>
              <w:tabs>
                <w:tab w:val="left" w:pos="293"/>
              </w:tabs>
              <w:spacing w:after="120" w:line="240" w:lineRule="auto"/>
              <w:ind w:left="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fondu ieguldījumu objektiem un darījumiem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7A4F7B1B" w14:textId="77777777" w:rsidR="00860632" w:rsidRDefault="0018500D" w:rsidP="0056472A">
            <w:pPr>
              <w:pStyle w:val="ListParagraph"/>
              <w:numPr>
                <w:ilvl w:val="0"/>
                <w:numId w:val="2"/>
              </w:numPr>
              <w:tabs>
                <w:tab w:val="left" w:pos="293"/>
              </w:tabs>
              <w:spacing w:after="120" w:line="240" w:lineRule="auto"/>
              <w:ind w:left="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fondiem ar </w:t>
            </w:r>
            <w:r w:rsidRPr="0039703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noteiktu d</w:t>
            </w:r>
            <w:r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arbības veidu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72F54883" w14:textId="77777777" w:rsidR="00860632" w:rsidRDefault="0018500D" w:rsidP="0056472A">
            <w:pPr>
              <w:pStyle w:val="ListParagraph"/>
              <w:numPr>
                <w:ilvl w:val="0"/>
                <w:numId w:val="2"/>
              </w:numPr>
              <w:tabs>
                <w:tab w:val="left" w:pos="293"/>
              </w:tabs>
              <w:spacing w:after="120" w:line="240" w:lineRule="auto"/>
              <w:ind w:left="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atklāšanai fonda prospektā, ieguldītājiem paredzētajā pamatinformācijā un citos reklāmas materiālos par noteikum</w:t>
            </w:r>
            <w:r w:rsidR="00860632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projektā</w:t>
            </w:r>
            <w:r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minētajiem fondiem un darījumiem</w:t>
            </w:r>
            <w:r w:rsid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2053A0FB" w14:textId="50A9346D" w:rsidR="008A3D75" w:rsidRPr="00860632" w:rsidRDefault="0018500D" w:rsidP="0056472A">
            <w:pPr>
              <w:pStyle w:val="ListParagraph"/>
              <w:numPr>
                <w:ilvl w:val="0"/>
                <w:numId w:val="2"/>
              </w:numPr>
              <w:tabs>
                <w:tab w:val="left" w:pos="293"/>
              </w:tabs>
              <w:spacing w:after="120" w:line="240" w:lineRule="auto"/>
              <w:ind w:left="3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regulētā tirgū netirgotu atvasināto finanšu instrumentu novērtēšanai</w:t>
            </w:r>
            <w:r w:rsidR="008A3D75" w:rsidRPr="008606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32A112A" w14:textId="5A76482E" w:rsidR="005F0498" w:rsidRDefault="008A3D75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Līdz šim 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prasības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C054EC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attiecībā uz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fondu ieguldījumu objektiem un darījumiem,</w:t>
            </w:r>
            <w:r w:rsidR="00657F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kā arī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fondiem ar noteiktu darbības veidu</w:t>
            </w:r>
            <w:r w:rsidR="00657F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attiecībā uz 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atklāšan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fonda prospektā, ieguldītājiem paredzētajā pamatinformācijā un citos reklāmas materiālos par 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attiecīgajiem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fondiem un darījumiem, kā arī regulētā tirgū netirgotu atvasināto finanšu instrumentu novērtēšan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noteica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Finanšu un kapitāla tirgus komisijas (kuras </w:t>
            </w:r>
            <w:r w:rsidR="000B5B4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tiesību pārņēmēja ir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Latvijas Banka) 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2020.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4.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augusta normatīv</w:t>
            </w:r>
            <w:r w:rsidR="007B70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</w:t>
            </w:r>
            <w:r w:rsidR="007B70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 "Normatīvie noteikumi par prasībām ieguldījumu fondu ieguldījumu objektiem, darījumiem un noteiktas darbības veida fondiem"</w:t>
            </w:r>
            <w:r w:rsidR="00D908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 – Noteikumi Nr. 115)</w:t>
            </w:r>
            <w:r w:rsidR="005F0498" w:rsidRP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kuri ar noteikumu projekta stāšanos </w:t>
            </w:r>
            <w:r w:rsidR="00A409C4" w:rsidRP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spēkā </w:t>
            </w:r>
            <w:r w:rsidR="005F0498" w:rsidRP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zaudēs spēku</w:t>
            </w:r>
            <w:r w:rsidR="007B70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</w:p>
          <w:p w14:paraId="72B52E8D" w14:textId="4742BE29" w:rsidR="008A3D75" w:rsidRPr="00824B87" w:rsidRDefault="007B7084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Salīdzin</w:t>
            </w:r>
            <w:r w:rsid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ājumā 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Noteikumos Nr.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 ietverto regulējumu</w:t>
            </w:r>
            <w:r w:rsid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noteikumu projektā</w:t>
            </w:r>
            <w:r w:rsidR="008A3D7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veikti redakcionāli </w:t>
            </w:r>
            <w:r w:rsid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precizējumi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neparedzot jaunu</w:t>
            </w:r>
            <w:r w:rsidR="00D465C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papildu </w:t>
            </w:r>
            <w:r w:rsid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noteikšanu</w:t>
            </w:r>
            <w:r w:rsidR="008A3D7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D6FD6DB" w14:textId="073A2B44" w:rsidR="00E53DE9" w:rsidRPr="00824B87" w:rsidRDefault="00E60491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projekta prasības būs saistošas Latvijā </w:t>
            </w:r>
            <w:r w:rsid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licencētām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ieguldījumu pārvaldes sabiedrībām</w:t>
            </w:r>
            <w:r w:rsidR="00C61DE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="00C61DEA" w:rsidRPr="00482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00D" w:rsidRPr="001850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kuras pārvalda Latvijā reģistrētus fondus</w:t>
            </w:r>
            <w:r w:rsidR="0066677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6719E6C1" w14:textId="547F84F1" w:rsidR="0066677E" w:rsidRPr="00824B87" w:rsidRDefault="0066677E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</w:t>
            </w:r>
            <w:r w:rsidR="007F5031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</w:t>
            </w:r>
            <w:r w:rsid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noteic</w:t>
            </w:r>
            <w:r w:rsidR="00431CB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14:paraId="0943C04A" w14:textId="5FF8D5C7" w:rsidR="0066677E" w:rsidRPr="00824B87" w:rsidRDefault="0066677E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1) 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kritērij</w:t>
            </w:r>
            <w:r w:rsid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nosacījum</w:t>
            </w:r>
            <w:r w:rsid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pārvedamu vērtspapīru un naudas tirgus instrumentu atzīšanai par </w:t>
            </w:r>
            <w:r w:rsidR="004E5A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ikumam atbilstošiem ieguldījumu objektiem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7A8D8EED" w14:textId="2855FA6B" w:rsidR="0066677E" w:rsidRPr="00824B87" w:rsidRDefault="0066677E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2) 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prasība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</w:t>
            </w:r>
            <w:r w:rsidR="00A13711" w:rsidRP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arījumi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</w:t>
            </w:r>
            <w:r w:rsidR="00A13711" w:rsidRP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fonda ieguldījumu portfeļa efektīvas vadības nodrošināšanai 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šajos darījumos saņemtajam nodrošinājumam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770373F1" w14:textId="4E43EEC6" w:rsidR="004C0CCE" w:rsidRPr="00824B87" w:rsidRDefault="004C0CCE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3) 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kritērij</w:t>
            </w:r>
            <w:r w:rsidR="005F049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us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lai</w:t>
            </w:r>
            <w:r w:rsidR="00A1371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darījumus ar atvasinātajiem finanšu instrumentiem varētu atzīt par atbilstošiem </w:t>
            </w:r>
            <w:r w:rsidR="004E5A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ikuma prasībām; </w:t>
            </w:r>
          </w:p>
          <w:p w14:paraId="1580B58B" w14:textId="75F1D4ED" w:rsidR="00891482" w:rsidRPr="00824B87" w:rsidRDefault="00891482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4) 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2D4FF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rasības 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 w:rsidR="00D5590D" w:rsidRP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egulētā tirgū netirgotu atvasināto finanšu instrumentu novērtēšana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i;</w:t>
            </w:r>
          </w:p>
          <w:p w14:paraId="0FE6DB28" w14:textId="247AF885" w:rsidR="00772A37" w:rsidRPr="00824B87" w:rsidRDefault="00772A37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5) 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rasības 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ieguldījumiem </w:t>
            </w:r>
            <w:r w:rsidR="00D5590D" w:rsidRP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kapitāla vai parāda vērtspapīru indeksos un atvasinātajos finanšu instrumentos, kuru bāzes aktīvi ir finanšu indeksi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79A76A79" w14:textId="06BC0101" w:rsidR="00772A37" w:rsidRPr="00824B87" w:rsidRDefault="00772A37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6) 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2D4FF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rasības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darījumu koncentrācijas riska apmēr</w:t>
            </w:r>
            <w:r w:rsidR="00C1424D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vienu emitentu vai darījum</w:t>
            </w:r>
            <w:r w:rsidR="00657F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partneri aprēķin</w:t>
            </w:r>
            <w:r w:rsidR="00885F7B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āšanai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8CD9774" w14:textId="0A099B92" w:rsidR="00D5590D" w:rsidRDefault="00CF440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7) 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kritērijus</w:t>
            </w:r>
            <w:r w:rsidR="00D5590D">
              <w:t xml:space="preserve"> </w:t>
            </w:r>
            <w:r w:rsidR="00D5590D" w:rsidRPr="009D4817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5590D" w:rsidRP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ārvedam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os</w:t>
            </w:r>
            <w:r w:rsidR="00D5590D" w:rsidRP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vērtspapīr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os</w:t>
            </w:r>
            <w:r w:rsidR="00D5590D" w:rsidRP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ietvert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D5590D" w:rsidRP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atvasināt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D5590D" w:rsidRP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finanšu instrument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un strukturētu finanšu instrumentu noteikšanai un prasības</w:t>
            </w:r>
            <w:r w:rsidR="00F749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attiecībā uz šādu ieguldījumu veikšanu</w:t>
            </w:r>
            <w:r w:rsidR="00D559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; </w:t>
            </w:r>
          </w:p>
          <w:p w14:paraId="52255554" w14:textId="757F333D" w:rsidR="00584793" w:rsidRDefault="00F74905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8) prasības, kuras attiecināmas 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noteikta darbības veida fondiem</w:t>
            </w:r>
            <w:r w:rsid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B184252" w14:textId="72687C14" w:rsidR="004C0CCE" w:rsidRPr="00824B87" w:rsidRDefault="00584793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9) prasības</w:t>
            </w:r>
            <w:r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informācijas atklāšanai fonda prospektā, ieguldītājiem paredzētajā pamatinformācijā un citos reklāmas materiālos par noteikum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projektā</w:t>
            </w:r>
            <w:r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minētajiem fondiem un darījumiem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F7490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B4E0A" w:rsidRPr="00824B87" w14:paraId="7655144C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38251EDB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031D8377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473A93E7" w14:textId="78CA9F2E" w:rsidR="00252BA9" w:rsidRDefault="00252BA9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Nosakot tirgus dalībniekiem prasības un veicot prasību ievērošanas pārbaudes, Latvijas Banka nodrošina tai </w:t>
            </w:r>
            <w:r w:rsidR="003148F2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ar </w:t>
            </w:r>
            <w:r w:rsidR="004E5A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3148F2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ikumu un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Latvijas Bankas </w:t>
            </w:r>
            <w:r w:rsidR="003148F2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likumu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</w:t>
            </w:r>
            <w:r w:rsidR="00885F7B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pienākum</w:t>
            </w:r>
            <w:r w:rsidR="00885F7B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veicināt ieguldītāju interešu aizsardzību un finanšu tirgus ilgtspējīgu attīstību un stabilitāti izpildi</w:t>
            </w:r>
            <w:r w:rsidR="003148F2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kā arī izpilda likumdevēja </w:t>
            </w:r>
            <w:r w:rsidR="00BE6403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uzlikto </w:t>
            </w:r>
            <w:r w:rsidR="003148F2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pienākumu noteikt </w:t>
            </w:r>
            <w:r w:rsidR="00584793"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prasības 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attiecībā uz </w:t>
            </w:r>
            <w:r w:rsidR="00584793"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ieguldījumu fondu ieguldījumu objektiem, darījumiem, noteikta darbības veida fondiem</w:t>
            </w:r>
            <w:r w:rsid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="00584793"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atklāšan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</w:t>
            </w:r>
            <w:r w:rsidR="00584793"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regulētā </w:t>
            </w:r>
            <w:r w:rsidR="00584793"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tirgū netirgotu atvasināto finanšu instrumentu </w:t>
            </w:r>
            <w:r w:rsidR="00886970" w:rsidRPr="008869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precīz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886970" w:rsidRPr="008869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neatkarīg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886970" w:rsidRPr="0088697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584793" w:rsidRPr="005847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novērtēšan</w:t>
            </w:r>
            <w:r w:rsidR="00C054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 w:rsid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ar to</w:t>
            </w:r>
            <w:r w:rsidR="003414D1" w:rsidRPr="008279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27996" w:rsidRPr="0082799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projektā paredzēto prasību mērķis ir citu personu tiesību un sabiedrības labklājības aizsardzība.</w:t>
            </w:r>
          </w:p>
          <w:p w14:paraId="1E491FC9" w14:textId="3009F498" w:rsidR="00BE0F45" w:rsidRPr="00824B87" w:rsidRDefault="00252BA9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nepieciešams, lai panāktu vienotu tirgus dalībnieku izpratni un pieeju regulējošo prasību interpretācijai un piemērošanai</w:t>
            </w:r>
            <w:r w:rsid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824B87" w14:paraId="478E169E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38F893E2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334E0AB6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78E0C467" w14:textId="7220ABC1" w:rsidR="00886970" w:rsidRPr="003414D1" w:rsidRDefault="00BE0F45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Nosakot tirgus dalībniekiem vienotas prasības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attiecībā uz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655A2" w:rsidRP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fondu ieguldījumu objektiem un darījumiem, </w:t>
            </w:r>
            <w:r w:rsid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kā arī </w:t>
            </w:r>
            <w:r w:rsidR="003655A2" w:rsidRP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noteikta darbības veida fondiem</w:t>
            </w:r>
            <w:r w:rsid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attiecībā uz</w:t>
            </w:r>
            <w:r w:rsidR="003655A2" w:rsidRP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informācijas atklāšan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655A2" w:rsidRP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</w:t>
            </w:r>
            <w:r w:rsidR="003655A2" w:rsidRP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fondu</w:t>
            </w:r>
            <w:r w:rsidR="003655A2" w:rsidRPr="003655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darbību un darījumiem, kā arī regulētā tirgū netirgotu atvasināto finanšu instrumentu novērtēšan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tiek nodrošināta vienota tirgus dalībnieku izpratne un pieeja regulējošo prasību interpretācijai un piemērošanai. Ja </w:t>
            </w:r>
            <w:r w:rsidR="00886970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fondu ieguldījumu pārvaldes sabiedrības</w:t>
            </w:r>
            <w:r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86970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nerīkojas </w:t>
            </w:r>
            <w:r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atbilstoši vienotām prasībām, tas var </w:t>
            </w:r>
            <w:r w:rsidR="00CA778B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negatīvi </w:t>
            </w:r>
            <w:r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ietekmēt </w:t>
            </w:r>
            <w:r w:rsidR="00886970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fondu darbības atbilstību </w:t>
            </w:r>
            <w:r w:rsidR="004E5A8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886970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ikumā un citos normatīvajos aktos paredzētajām prasībām, radot darbības neatbilstības </w:t>
            </w:r>
            <w:r w:rsidR="00CA778B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un reputācijas risku.</w:t>
            </w:r>
          </w:p>
          <w:p w14:paraId="7AB677B8" w14:textId="559C0A81" w:rsidR="00BE0F45" w:rsidRPr="00824B87" w:rsidRDefault="00BE0F45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Lai nodrošinātu ieguldītāju interešu aizsardzību un finanšu tirgus stabilitāti, ir būtiski pēc iespējas mazināt un novērst minētos riskus. Līdz ar to atbilstošākais veids, kā noteikt </w:t>
            </w:r>
            <w:r w:rsidR="00827996"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fondu ieguldījumu pārvaldes sabiedrībām </w:t>
            </w:r>
            <w:r w:rsidRP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vienotas prasības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ir izdot t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 saistošus noteikumus. Citas alternatīvas jautājuma noregulēšanai un vienotu prasību noteikšanai nebūtu efektīvas un nesasniegtu izvirzīto mērķi</w:t>
            </w:r>
            <w:r w:rsidR="00D01B3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tādā pašā līmenī (kvalitātē)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jo nenodrošinātu </w:t>
            </w:r>
            <w:r w:rsidR="00D01B3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normu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vienveidīgu piemērošanu.</w:t>
            </w:r>
          </w:p>
          <w:p w14:paraId="531BFDCD" w14:textId="1E52F266" w:rsidR="00BE0F45" w:rsidRPr="00824B87" w:rsidRDefault="00BE0F45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Izraugoties piemērotāko līdzekli leģitīmā mērķa sasniegšanai, Latvijas Banka</w:t>
            </w:r>
            <w:r w:rsidR="00D01B3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vērtēj</w:t>
            </w:r>
            <w:r w:rsidR="00D01B3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umā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nebūtu atbilstoši izdot, piemēram, zemāka </w:t>
            </w:r>
            <w:r w:rsidR="00BC6682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līmeņa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normatīvos aktus, kuri nebūtu tirgus dalībniekam juridiski saistoši. Turklāt noteikumu projekta izstrādi pilnvarojošās normas skaidri norād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 </w:t>
            </w:r>
            <w:r w:rsidR="00BF17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saistošu dokumentu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F176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normatīvo aktu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–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izstrādi. Vienlaikus ar noteikumu projektu tiek noteiktas prasības, kur</w:t>
            </w:r>
            <w:r w:rsid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izpildi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Latvijas Banka</w:t>
            </w:r>
            <w:r w:rsidR="009A14B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uzraudzības ietvaros </w:t>
            </w:r>
            <w:r w:rsidR="003A7F1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tiesības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kontrolēt un nepieciešamības gadījumā par konkrētu prasību pārkāpumu piemērot tirgus dalībniekam korektīvos pasākumus vai sankcijas.</w:t>
            </w:r>
          </w:p>
          <w:p w14:paraId="5383AAC4" w14:textId="37124668" w:rsidR="00F732D5" w:rsidRDefault="00BC6682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teikumu projekts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kopumā un tajā ietvertās tiesību normas atbilst samērīguma principam, jo</w:t>
            </w:r>
            <w:r w:rsid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14:paraId="4996382D" w14:textId="1808A924" w:rsidR="00F732D5" w:rsidRDefault="005F049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1)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noteikumu projekta </w:t>
            </w:r>
            <w:r w:rsidR="00B85A1E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prasību 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ieviešanu tiek sasniegts leģitīmais mērķis (citu personu tiesību un sabiedrības labklājības aizsardzība)</w:t>
            </w:r>
            <w:r w:rsid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56417CB6" w14:textId="607488BD" w:rsidR="00F732D5" w:rsidRDefault="005F049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2)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732D5" w:rsidRP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nepastāv tādi alternatīvi līdzekļi, kas sasniegtu leģitīmo mērķi tādā pašā kvalitātē</w:t>
            </w:r>
            <w:r w:rsid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53FDB824" w14:textId="2C7A3D28" w:rsidR="00E53DE9" w:rsidRPr="00824B87" w:rsidRDefault="005F0498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3)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2799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ieguvums būs lielāks par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noteikumu</w:t>
            </w:r>
            <w:r w:rsidR="0082799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F732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projektā ietverto prasību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ierobežojošo raksturu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27996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(ņemot vērā jau esošās prasības), kas konkrētajam tirgus dalībniekam varētu rasties ar uzliktajiem pienākumiem</w:t>
            </w:r>
            <w:r w:rsidR="00BE0F45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824B87" w14:paraId="76EA3413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31068790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628B62D2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185B0562" w14:textId="0313AF4A" w:rsidR="00CA28AB" w:rsidRPr="00824B87" w:rsidRDefault="00BC6682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Nākamajā dienā pēc publicēšanas oficiālajā izdevumā "Latvijas Vēstnesis".</w:t>
            </w:r>
          </w:p>
        </w:tc>
      </w:tr>
      <w:tr w:rsidR="000B4E0A" w:rsidRPr="00824B87" w14:paraId="3989B2CF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11DCB4F1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5B1634BA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7DF19FBB" w14:textId="572F09D0" w:rsidR="00E53DE9" w:rsidRPr="00824B87" w:rsidRDefault="00BC6682" w:rsidP="008279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izdošana nerada ietekmi uz Latvijas Bankas budžetu.</w:t>
            </w:r>
          </w:p>
        </w:tc>
      </w:tr>
      <w:tr w:rsidR="000B4E0A" w:rsidRPr="00824B87" w14:paraId="53B03583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729D7BFF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1EAAECCF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1E4B8EC1" w14:textId="57EEBE3F" w:rsidR="00A42788" w:rsidRPr="00824B87" w:rsidRDefault="00BC6682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noteikumu projektu netiek ieviestas jaunas prasības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attiecībā uz 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fondu ieguldījumu objektiem un darījumiem, </w:t>
            </w:r>
            <w:r w:rsid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kā arī 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noteikta darbības veida fondiem</w:t>
            </w:r>
            <w:r w:rsidR="003414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attiecībā uz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informācijas atklāšan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fondu darbību un darījumiem, kā arī regulētā tirgū netirgotu atvasināto finanšu instrumentu novērtēšan</w:t>
            </w:r>
            <w:r w:rsidR="00A409C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3B41E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saglabājot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40AA7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šobrīd 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spēkā jau esošās prasības</w:t>
            </w:r>
            <w:r w:rsidR="00DB38C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kuras noteiktas </w:t>
            </w:r>
            <w:r w:rsidR="00D908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oteikum</w:t>
            </w:r>
            <w:r w:rsid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Nr.</w:t>
            </w:r>
            <w:r w:rsidR="00D908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CA778B" w:rsidRPr="00CA778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</w:t>
            </w: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DB38CA" w:rsidRPr="00482C42">
              <w:rPr>
                <w:rFonts w:ascii="Times New Roman" w:hAnsi="Times New Roman" w:cs="Times New Roman"/>
              </w:rPr>
              <w:t xml:space="preserve"> </w:t>
            </w:r>
            <w:r w:rsidR="003A7F1F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Līdz ar to </w:t>
            </w:r>
            <w:r w:rsidR="00DB38CA"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 administratīvo slogu un jaunas administratīvās izmaksas noteikumu projekts tirgus dalībniekiem nerada.</w:t>
            </w:r>
          </w:p>
        </w:tc>
      </w:tr>
      <w:tr w:rsidR="000B4E0A" w:rsidRPr="00824B87" w14:paraId="787EF89A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2A01D3A9" w14:textId="77777777" w:rsidR="00A42788" w:rsidRPr="007712DA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7712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2321B18B" w14:textId="77777777" w:rsidR="00CA28AB" w:rsidRPr="007712DA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053E06FB" w14:textId="75F0BA19" w:rsidR="00A409C4" w:rsidRPr="0056472A" w:rsidRDefault="00A409C4" w:rsidP="0056472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noteikumu projektu saistītie dokumenti:</w:t>
            </w:r>
          </w:p>
          <w:p w14:paraId="76EA879F" w14:textId="01C80E2C" w:rsidR="002F2A7D" w:rsidRDefault="004E5A84" w:rsidP="0056472A">
            <w:pPr>
              <w:pStyle w:val="ListParagraph"/>
              <w:numPr>
                <w:ilvl w:val="0"/>
                <w:numId w:val="3"/>
              </w:numPr>
              <w:tabs>
                <w:tab w:val="left" w:pos="261"/>
              </w:tabs>
              <w:spacing w:after="12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="002F2A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ikums;</w:t>
            </w:r>
          </w:p>
          <w:p w14:paraId="5EA4EF58" w14:textId="68DA2829" w:rsidR="002F2A7D" w:rsidRPr="002F2A7D" w:rsidRDefault="002F2A7D" w:rsidP="0056472A">
            <w:pPr>
              <w:pStyle w:val="ListParagraph"/>
              <w:numPr>
                <w:ilvl w:val="0"/>
                <w:numId w:val="3"/>
              </w:numPr>
              <w:tabs>
                <w:tab w:val="left" w:pos="261"/>
              </w:tabs>
              <w:spacing w:after="12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F2A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 Nr.</w:t>
            </w:r>
            <w:r w:rsidR="00392A0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2F2A7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824B87" w14:paraId="7D7C647B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3A1432E4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33F133EA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47615EBD" w14:textId="49748C49" w:rsidR="00A42788" w:rsidRPr="00824B87" w:rsidRDefault="003B41EF" w:rsidP="00827996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nav jāsaskaņo ar Eiropas Centrālo banku.</w:t>
            </w:r>
          </w:p>
        </w:tc>
      </w:tr>
      <w:tr w:rsidR="000B4E0A" w:rsidRPr="00824B87" w14:paraId="3B5BE58A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2827AB23" w14:textId="77777777" w:rsidR="00A42788" w:rsidRPr="00824B87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2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14DD1949" w14:textId="77777777" w:rsidR="00CA28AB" w:rsidRPr="00824B87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011FC882" w14:textId="22F8EC0D" w:rsidR="00437C1E" w:rsidRPr="00327536" w:rsidRDefault="002753E0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projekts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gada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februārī</w:t>
            </w: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tika publicēts Latvijas Bankas tīmekļvietnes www.bank.lv sadaļā "Sabiedrības līdzdalība", un par to bija iespējama sabiedrības līdzdalība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gada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februārim</w:t>
            </w: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</w:p>
        </w:tc>
      </w:tr>
      <w:tr w:rsidR="000B4E0A" w:rsidRPr="00824B87" w14:paraId="22ACDFFC" w14:textId="77777777" w:rsidTr="00211300">
        <w:trPr>
          <w:trHeight w:val="567"/>
        </w:trPr>
        <w:tc>
          <w:tcPr>
            <w:tcW w:w="1092" w:type="pct"/>
            <w:shd w:val="clear" w:color="auto" w:fill="auto"/>
            <w:hideMark/>
          </w:tcPr>
          <w:p w14:paraId="4F81AF75" w14:textId="77777777" w:rsidR="00A42788" w:rsidRPr="00327536" w:rsidRDefault="00A42788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27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3D34F605" w14:textId="77777777" w:rsidR="00CA28AB" w:rsidRPr="00327536" w:rsidRDefault="00CA28AB" w:rsidP="000B4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908" w:type="pct"/>
            <w:shd w:val="clear" w:color="auto" w:fill="auto"/>
          </w:tcPr>
          <w:p w14:paraId="33CEE17A" w14:textId="73D4C3F2" w:rsidR="008862D5" w:rsidRPr="00824B87" w:rsidRDefault="002753E0" w:rsidP="00827996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753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rezultātā par noteikumu projektu netika saņemti iebildumi vai priekšlikumi. Līdz ar to noteikumu projekts ir saskaņots bez priekšlikumiem vai iebildumiem.</w:t>
            </w:r>
          </w:p>
        </w:tc>
      </w:tr>
    </w:tbl>
    <w:p w14:paraId="3E088BEC" w14:textId="77777777" w:rsidR="008F5AC8" w:rsidRDefault="008F5AC8" w:rsidP="008F5AC8">
      <w:pPr>
        <w:jc w:val="right"/>
        <w:rPr>
          <w:color w:val="000000" w:themeColor="text1"/>
          <w:sz w:val="24"/>
          <w:szCs w:val="24"/>
        </w:rPr>
        <w:sectPr w:rsidR="008F5AC8" w:rsidSect="007E313B">
          <w:headerReference w:type="default" r:id="rId16"/>
          <w:pgSz w:w="11906" w:h="16838" w:code="9"/>
          <w:pgMar w:top="1134" w:right="1134" w:bottom="1134" w:left="1701" w:header="708" w:footer="708" w:gutter="0"/>
          <w:cols w:space="708"/>
          <w:titlePg/>
          <w:docGrid w:linePitch="360"/>
        </w:sectPr>
      </w:pPr>
    </w:p>
    <w:p w14:paraId="53EB2572" w14:textId="77777777" w:rsidR="008F5AC8" w:rsidRPr="00482C42" w:rsidRDefault="008F5AC8" w:rsidP="00482C4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2C4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Pielikums</w:t>
      </w:r>
    </w:p>
    <w:p w14:paraId="7F0856CF" w14:textId="51F66A39" w:rsidR="008F5AC8" w:rsidRPr="00482C42" w:rsidRDefault="008F5AC8" w:rsidP="00482C4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2C42">
        <w:rPr>
          <w:rFonts w:ascii="Times New Roman" w:hAnsi="Times New Roman" w:cs="Times New Roman"/>
          <w:color w:val="000000" w:themeColor="text1"/>
          <w:sz w:val="24"/>
          <w:szCs w:val="24"/>
        </w:rPr>
        <w:t>Latvijas Bankas noteikumu projekta</w:t>
      </w:r>
      <w:r w:rsidR="004B01D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B01D1" w:rsidRPr="004B01D1">
        <w:rPr>
          <w:rFonts w:ascii="Times New Roman" w:hAnsi="Times New Roman" w:cs="Times New Roman"/>
          <w:color w:val="000000" w:themeColor="text1"/>
          <w:sz w:val="24"/>
          <w:szCs w:val="24"/>
        </w:rPr>
        <w:t>"Noteikumi par prasībām ieguldījumu fondu ieguldījumu objektiem,</w:t>
      </w:r>
      <w:r w:rsidR="004B01D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4B01D1" w:rsidRPr="004B01D1">
        <w:rPr>
          <w:rFonts w:ascii="Times New Roman" w:hAnsi="Times New Roman" w:cs="Times New Roman"/>
          <w:color w:val="000000" w:themeColor="text1"/>
          <w:sz w:val="24"/>
          <w:szCs w:val="24"/>
        </w:rPr>
        <w:t>darījumiem un noteikta darbības veida fondiem"</w:t>
      </w:r>
      <w:r w:rsidRPr="00482C42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anotācijai</w:t>
      </w:r>
    </w:p>
    <w:p w14:paraId="114EFEB0" w14:textId="77777777" w:rsidR="008F5AC8" w:rsidRPr="00482C42" w:rsidRDefault="008F5AC8" w:rsidP="008F5AC8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D6B66" w14:textId="77777777" w:rsidR="008F5AC8" w:rsidRPr="00482C42" w:rsidRDefault="008F5AC8" w:rsidP="00482C42">
      <w:pPr>
        <w:spacing w:after="24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2C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Eiropas Savienības tiesību aktu pārņemšanas/ieviešanas tabula</w:t>
      </w:r>
    </w:p>
    <w:p w14:paraId="1EB3FB56" w14:textId="7555E173" w:rsidR="008F5AC8" w:rsidRPr="00482C42" w:rsidRDefault="008F5AC8" w:rsidP="00482C42">
      <w:pPr>
        <w:spacing w:after="24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2C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Latvijas Bankas noteikumu projekta nosaukums:</w:t>
      </w:r>
      <w:r w:rsidRPr="00482C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"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Noteikumi par prasībām ieguldījumu fondu ieguldījumu objektiem, darījumiem un noteikta darbības veida fondiem</w:t>
      </w:r>
      <w:r w:rsidRPr="00482C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" (turpmāk – projekts)</w:t>
      </w:r>
    </w:p>
    <w:p w14:paraId="03CC4DB0" w14:textId="7AB6E352" w:rsidR="008F5AC8" w:rsidRPr="00482C42" w:rsidRDefault="008F5AC8" w:rsidP="00482C42">
      <w:pPr>
        <w:spacing w:after="24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82C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Eiropas Savienības tiesību akta nosaukums:</w:t>
      </w:r>
      <w:r w:rsidRPr="00482C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Komisijas 2007.</w:t>
      </w:r>
      <w:r w:rsidR="00392A0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gada 19.</w:t>
      </w:r>
      <w:r w:rsidR="00392A0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marta direktīva</w:t>
      </w:r>
      <w:r w:rsidR="00392A0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2007/16/EK, ar ko īsteno Padomes </w:t>
      </w:r>
      <w:r w:rsidR="00392A0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irektīvu</w:t>
      </w:r>
      <w:r w:rsidR="00392A0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85/611/EEK par normatīvo un administratīvo aktu koordināciju attiecībā uz pārvedamu vērtspapīru kolektīvo ieguldījumu uzņēmumiem (PVKIU), paskaidrojot atsevišķas definīcijas </w:t>
      </w:r>
      <w:r w:rsidRPr="00482C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(turpmāk – Direktīva </w:t>
      </w:r>
      <w:r w:rsidR="00FC524E" w:rsidRPr="00FC52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2007/16/EK</w:t>
      </w:r>
      <w:r w:rsidRPr="00482C4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</w:p>
    <w:tbl>
      <w:tblPr>
        <w:tblStyle w:val="TableGrid"/>
        <w:tblW w:w="14628" w:type="dxa"/>
        <w:tblLook w:val="04A0" w:firstRow="1" w:lastRow="0" w:firstColumn="1" w:lastColumn="0" w:noHBand="0" w:noVBand="1"/>
      </w:tblPr>
      <w:tblGrid>
        <w:gridCol w:w="2451"/>
        <w:gridCol w:w="2434"/>
        <w:gridCol w:w="2431"/>
        <w:gridCol w:w="2433"/>
        <w:gridCol w:w="2429"/>
        <w:gridCol w:w="2450"/>
      </w:tblGrid>
      <w:tr w:rsidR="008F5AC8" w:rsidRPr="008F5AC8" w14:paraId="7FB3BAD4" w14:textId="77777777" w:rsidTr="00A51172">
        <w:tc>
          <w:tcPr>
            <w:tcW w:w="2451" w:type="dxa"/>
          </w:tcPr>
          <w:p w14:paraId="07D81664" w14:textId="77777777" w:rsidR="008F5AC8" w:rsidRPr="008F5AC8" w:rsidRDefault="008F5AC8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b/>
                <w:bCs/>
                <w:color w:val="000000" w:themeColor="text1"/>
                <w:sz w:val="24"/>
                <w:szCs w:val="24"/>
              </w:rPr>
              <w:t xml:space="preserve">Eiropas Savienības tiesību akta pants, punkts vai apakšpunkts, kurā paredzētās prasības Latvijā jāizpilda </w:t>
            </w:r>
            <w:r w:rsidRPr="008F5AC8">
              <w:rPr>
                <w:i/>
                <w:iCs/>
                <w:color w:val="000000" w:themeColor="text1"/>
                <w:sz w:val="24"/>
                <w:szCs w:val="24"/>
              </w:rPr>
              <w:t>(Norāda pēc iespējas konkrētāku teksta vienību)</w:t>
            </w:r>
          </w:p>
        </w:tc>
        <w:tc>
          <w:tcPr>
            <w:tcW w:w="2436" w:type="dxa"/>
          </w:tcPr>
          <w:p w14:paraId="07DFB35A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F5AC8">
              <w:rPr>
                <w:b/>
                <w:bCs/>
                <w:color w:val="000000" w:themeColor="text1"/>
                <w:sz w:val="24"/>
                <w:szCs w:val="24"/>
              </w:rPr>
              <w:t xml:space="preserve">Projekta punkts vai apakšpunkts, kas izpilda A ailē minēto prasību </w:t>
            </w:r>
          </w:p>
          <w:p w14:paraId="2BF03FF0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F5AC8">
              <w:rPr>
                <w:i/>
                <w:iCs/>
                <w:color w:val="000000" w:themeColor="text1"/>
                <w:sz w:val="24"/>
                <w:szCs w:val="24"/>
              </w:rPr>
              <w:t>(Norāda pēc iespējas konkrētāku teksta vienību)</w:t>
            </w:r>
          </w:p>
        </w:tc>
        <w:tc>
          <w:tcPr>
            <w:tcW w:w="2435" w:type="dxa"/>
          </w:tcPr>
          <w:p w14:paraId="3AD1B587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F5AC8">
              <w:rPr>
                <w:b/>
                <w:bCs/>
                <w:color w:val="000000" w:themeColor="text1"/>
                <w:sz w:val="24"/>
                <w:szCs w:val="24"/>
              </w:rPr>
              <w:t xml:space="preserve">Vai A ailē minētā prasība ar B ailē minēto projekta punktu vai apakšpunktu tiek izpildīta pilnībā vai daļēji? </w:t>
            </w:r>
          </w:p>
          <w:p w14:paraId="1A2DBFA2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F5AC8">
              <w:rPr>
                <w:i/>
                <w:iCs/>
                <w:color w:val="000000" w:themeColor="text1"/>
                <w:sz w:val="24"/>
                <w:szCs w:val="24"/>
              </w:rPr>
              <w:t>(Ja daļēji, norāda, kur un kā ir vai tiks nodrošināta prasības pilnīga izpilde)</w:t>
            </w:r>
          </w:p>
        </w:tc>
        <w:tc>
          <w:tcPr>
            <w:tcW w:w="2436" w:type="dxa"/>
          </w:tcPr>
          <w:p w14:paraId="681D572E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F5AC8">
              <w:rPr>
                <w:b/>
                <w:bCs/>
                <w:color w:val="000000" w:themeColor="text1"/>
                <w:sz w:val="24"/>
                <w:szCs w:val="24"/>
              </w:rPr>
              <w:t xml:space="preserve">Vai B ailē norādītais projekta punkts vai apakšpunkts paredz stingrākas prasības, nekā A ailē minētā prasība </w:t>
            </w:r>
          </w:p>
          <w:p w14:paraId="48A67BCB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F5AC8">
              <w:rPr>
                <w:i/>
                <w:iCs/>
                <w:color w:val="000000" w:themeColor="text1"/>
                <w:sz w:val="24"/>
                <w:szCs w:val="24"/>
              </w:rPr>
              <w:t>(Ja paredz stingrākas prasības, norāda pamatojumu šādu stingrāku prasību nepieciešamībai)</w:t>
            </w:r>
          </w:p>
        </w:tc>
        <w:tc>
          <w:tcPr>
            <w:tcW w:w="2434" w:type="dxa"/>
          </w:tcPr>
          <w:p w14:paraId="35E7ECCB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F5AC8">
              <w:rPr>
                <w:b/>
                <w:bCs/>
                <w:color w:val="000000" w:themeColor="text1"/>
                <w:sz w:val="24"/>
                <w:szCs w:val="24"/>
              </w:rPr>
              <w:t xml:space="preserve">Vai A ailē minētā prasība ir jāizpilda obligāti? </w:t>
            </w:r>
          </w:p>
          <w:p w14:paraId="1D73FD9E" w14:textId="77777777" w:rsidR="008F5AC8" w:rsidRPr="008F5AC8" w:rsidRDefault="008F5AC8" w:rsidP="0090625F">
            <w:pPr>
              <w:jc w:val="left"/>
              <w:rPr>
                <w:i/>
                <w:iCs/>
                <w:color w:val="000000" w:themeColor="text1"/>
                <w:sz w:val="24"/>
                <w:szCs w:val="24"/>
              </w:rPr>
            </w:pPr>
            <w:r w:rsidRPr="008F5AC8">
              <w:rPr>
                <w:i/>
                <w:iCs/>
                <w:color w:val="000000" w:themeColor="text1"/>
                <w:sz w:val="24"/>
                <w:szCs w:val="24"/>
              </w:rPr>
              <w:t>(Ja Eiropas Savienības tiesību akts paredz izvēles iespēju, norāda, vai un kādēļ šī rīcības brīvība Latvijā ir vai nav jāizmanto)</w:t>
            </w:r>
          </w:p>
          <w:p w14:paraId="05D55006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14:paraId="636B9D71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436" w:type="dxa"/>
          </w:tcPr>
          <w:p w14:paraId="3283D8C9" w14:textId="77777777" w:rsidR="008F5AC8" w:rsidRPr="00482C42" w:rsidRDefault="008F5AC8" w:rsidP="0090625F">
            <w:pPr>
              <w:jc w:val="left"/>
              <w:rPr>
                <w:rStyle w:val="cf0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82C42">
              <w:rPr>
                <w:rStyle w:val="cf01"/>
                <w:rFonts w:ascii="Times New Roman" w:hAnsi="Times New Roman" w:cs="Times New Roman"/>
                <w:b/>
                <w:bCs/>
                <w:sz w:val="22"/>
                <w:szCs w:val="22"/>
              </w:rPr>
              <w:t>Vai A ailē minētais Eiropas Savienības tiesību akts paredz dalībvalsts paziņošanas pienākumu Eiropas Savienības institūcijām?</w:t>
            </w:r>
          </w:p>
          <w:p w14:paraId="07205D9B" w14:textId="77777777" w:rsidR="008F5AC8" w:rsidRPr="008F5AC8" w:rsidRDefault="008F5AC8" w:rsidP="0090625F">
            <w:pPr>
              <w:jc w:val="lef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82C42">
              <w:rPr>
                <w:rStyle w:val="cf01"/>
                <w:rFonts w:ascii="Times New Roman" w:hAnsi="Times New Roman" w:cs="Times New Roman"/>
                <w:i/>
                <w:iCs/>
                <w:sz w:val="22"/>
                <w:szCs w:val="22"/>
              </w:rPr>
              <w:t>(Ja paredz, norāda, kas un kādā termiņā šo paziņošanas pienākumu izpildīs)</w:t>
            </w:r>
          </w:p>
        </w:tc>
      </w:tr>
      <w:tr w:rsidR="008F5AC8" w:rsidRPr="008F5AC8" w14:paraId="359DE8E4" w14:textId="77777777" w:rsidTr="00A51172">
        <w:tc>
          <w:tcPr>
            <w:tcW w:w="2451" w:type="dxa"/>
          </w:tcPr>
          <w:p w14:paraId="2D1347B6" w14:textId="77777777" w:rsidR="008F5AC8" w:rsidRPr="008F5AC8" w:rsidRDefault="008F5AC8" w:rsidP="009062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436" w:type="dxa"/>
          </w:tcPr>
          <w:p w14:paraId="57B2CBC9" w14:textId="77777777" w:rsidR="008F5AC8" w:rsidRPr="008F5AC8" w:rsidRDefault="008F5AC8" w:rsidP="009062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2435" w:type="dxa"/>
          </w:tcPr>
          <w:p w14:paraId="0140C07B" w14:textId="77777777" w:rsidR="008F5AC8" w:rsidRPr="008F5AC8" w:rsidRDefault="008F5AC8" w:rsidP="009062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2436" w:type="dxa"/>
          </w:tcPr>
          <w:p w14:paraId="2C24D5B9" w14:textId="77777777" w:rsidR="008F5AC8" w:rsidRPr="008F5AC8" w:rsidRDefault="008F5AC8" w:rsidP="009062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2434" w:type="dxa"/>
          </w:tcPr>
          <w:p w14:paraId="1C27E60A" w14:textId="77777777" w:rsidR="008F5AC8" w:rsidRPr="008F5AC8" w:rsidRDefault="008F5AC8" w:rsidP="009062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2436" w:type="dxa"/>
          </w:tcPr>
          <w:p w14:paraId="41B0C5B8" w14:textId="77777777" w:rsidR="008F5AC8" w:rsidRPr="008F5AC8" w:rsidRDefault="008F5AC8" w:rsidP="009062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F</w:t>
            </w:r>
          </w:p>
        </w:tc>
      </w:tr>
      <w:tr w:rsidR="00CC7CE2" w:rsidRPr="008F5AC8" w14:paraId="659BDC0E" w14:textId="77777777" w:rsidTr="00A51172">
        <w:tc>
          <w:tcPr>
            <w:tcW w:w="2451" w:type="dxa"/>
          </w:tcPr>
          <w:p w14:paraId="05FC481A" w14:textId="3EE4C9F0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Direktīvas</w:t>
            </w:r>
            <w:r w:rsidR="00392A09">
              <w:rPr>
                <w:color w:val="000000" w:themeColor="text1"/>
                <w:sz w:val="24"/>
                <w:szCs w:val="24"/>
              </w:rPr>
              <w:t> </w:t>
            </w:r>
            <w:r w:rsidRPr="00FC524E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8F5AC8">
              <w:rPr>
                <w:color w:val="000000" w:themeColor="text1"/>
                <w:sz w:val="24"/>
                <w:szCs w:val="24"/>
              </w:rPr>
              <w:t>. panta 1. punkts</w:t>
            </w:r>
          </w:p>
        </w:tc>
        <w:tc>
          <w:tcPr>
            <w:tcW w:w="2436" w:type="dxa"/>
          </w:tcPr>
          <w:p w14:paraId="3A66B5AF" w14:textId="1EF5ED22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3</w:t>
            </w:r>
            <w:r w:rsidRPr="008F5AC8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un </w:t>
            </w:r>
            <w:r w:rsidR="00065C03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Pr="008F5AC8">
              <w:rPr>
                <w:color w:val="000000" w:themeColor="text1"/>
                <w:sz w:val="24"/>
                <w:szCs w:val="24"/>
              </w:rPr>
              <w:t> punkts</w:t>
            </w:r>
          </w:p>
        </w:tc>
        <w:tc>
          <w:tcPr>
            <w:tcW w:w="2435" w:type="dxa"/>
          </w:tcPr>
          <w:p w14:paraId="1154C2CF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7BC23691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64B461CB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 w:val="restart"/>
          </w:tcPr>
          <w:p w14:paraId="7718922B" w14:textId="44ACCB0A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Pēc noteikumu apstiprināšanas un publicēšanas oficiālajā izdevumā "Latvijas </w:t>
            </w:r>
            <w:r w:rsidRPr="008F5AC8">
              <w:rPr>
                <w:color w:val="000000" w:themeColor="text1"/>
                <w:sz w:val="24"/>
                <w:szCs w:val="24"/>
              </w:rPr>
              <w:lastRenderedPageBreak/>
              <w:t xml:space="preserve">Vēstnesis" Finanšu ministrijai tiks nosūtīts paziņojums par </w:t>
            </w:r>
            <w:r w:rsidR="00D465C6">
              <w:rPr>
                <w:color w:val="000000" w:themeColor="text1"/>
                <w:sz w:val="24"/>
                <w:szCs w:val="24"/>
              </w:rPr>
              <w:t>Direktīvas</w:t>
            </w:r>
            <w:r w:rsidR="00392A09">
              <w:rPr>
                <w:color w:val="000000" w:themeColor="text1"/>
                <w:sz w:val="24"/>
                <w:szCs w:val="24"/>
              </w:rPr>
              <w:t> </w:t>
            </w:r>
            <w:r w:rsidRPr="00FC524E">
              <w:rPr>
                <w:color w:val="000000" w:themeColor="text1"/>
                <w:sz w:val="24"/>
                <w:szCs w:val="24"/>
              </w:rPr>
              <w:t xml:space="preserve">2007/16/EK </w:t>
            </w:r>
            <w:r w:rsidRPr="008F5AC8">
              <w:rPr>
                <w:color w:val="000000" w:themeColor="text1"/>
                <w:sz w:val="24"/>
                <w:szCs w:val="24"/>
              </w:rPr>
              <w:t>attiecīgo pantu ieviešanu.</w:t>
            </w:r>
          </w:p>
          <w:p w14:paraId="04AC6B45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0E46A4A7" w14:textId="77777777" w:rsidTr="00A51172">
        <w:tc>
          <w:tcPr>
            <w:tcW w:w="2451" w:type="dxa"/>
          </w:tcPr>
          <w:p w14:paraId="2755E273" w14:textId="0A79317B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bookmarkStart w:id="1" w:name="_Hlk140564097"/>
            <w:r w:rsidRPr="008F5AC8">
              <w:rPr>
                <w:color w:val="000000" w:themeColor="text1"/>
                <w:sz w:val="24"/>
                <w:szCs w:val="24"/>
              </w:rPr>
              <w:t>Direktīvas</w:t>
            </w:r>
            <w:r w:rsidR="00392A09">
              <w:rPr>
                <w:color w:val="000000" w:themeColor="text1"/>
                <w:sz w:val="24"/>
                <w:szCs w:val="24"/>
              </w:rPr>
              <w:t> </w:t>
            </w:r>
            <w:r w:rsidRPr="00FC524E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8F5AC8">
              <w:rPr>
                <w:color w:val="000000" w:themeColor="text1"/>
                <w:sz w:val="24"/>
                <w:szCs w:val="24"/>
              </w:rPr>
              <w:t>. panta 2. punkts</w:t>
            </w:r>
          </w:p>
        </w:tc>
        <w:tc>
          <w:tcPr>
            <w:tcW w:w="2436" w:type="dxa"/>
          </w:tcPr>
          <w:p w14:paraId="24DD15B1" w14:textId="01844163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8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5095FED1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255D77C3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0DC83388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546DAB04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bookmarkEnd w:id="1"/>
      <w:tr w:rsidR="00CC7CE2" w:rsidRPr="008F5AC8" w14:paraId="4B62B097" w14:textId="77777777" w:rsidTr="00A51172">
        <w:tc>
          <w:tcPr>
            <w:tcW w:w="2451" w:type="dxa"/>
          </w:tcPr>
          <w:p w14:paraId="4727593C" w14:textId="565FE5E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lastRenderedPageBreak/>
              <w:t>Direktīvas </w:t>
            </w:r>
            <w:r w:rsidRPr="00FC524E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4B971FF9" w14:textId="0AB648B5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11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7FB270BD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7B9C0854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2BF88085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7767277C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10BB060A" w14:textId="77777777" w:rsidTr="00A51172">
        <w:tc>
          <w:tcPr>
            <w:tcW w:w="2451" w:type="dxa"/>
          </w:tcPr>
          <w:p w14:paraId="241D641A" w14:textId="5FCD548E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FC524E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16960BB8" w14:textId="1C2EAD0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12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154C5642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2C95CF3C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0A3BFF8D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3AC77407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598FEF46" w14:textId="77777777" w:rsidTr="00A51172">
        <w:tc>
          <w:tcPr>
            <w:tcW w:w="2451" w:type="dxa"/>
          </w:tcPr>
          <w:p w14:paraId="71E36AC6" w14:textId="316C0F73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FC524E">
              <w:rPr>
                <w:color w:val="000000" w:themeColor="text1"/>
                <w:sz w:val="24"/>
                <w:szCs w:val="24"/>
              </w:rPr>
              <w:t xml:space="preserve">2007/16/EK </w:t>
            </w:r>
            <w:r w:rsidRPr="008F5AC8">
              <w:rPr>
                <w:color w:val="000000" w:themeColor="text1"/>
                <w:sz w:val="24"/>
                <w:szCs w:val="24"/>
              </w:rPr>
              <w:t>4. panta 1. punkts</w:t>
            </w:r>
          </w:p>
        </w:tc>
        <w:tc>
          <w:tcPr>
            <w:tcW w:w="2436" w:type="dxa"/>
          </w:tcPr>
          <w:p w14:paraId="3C841029" w14:textId="512D3DC2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 w:rsidRPr="008F5AC8">
              <w:rPr>
                <w:color w:val="000000" w:themeColor="text1"/>
                <w:sz w:val="24"/>
                <w:szCs w:val="24"/>
              </w:rPr>
              <w:t>1</w:t>
            </w:r>
            <w:r w:rsidR="00065C03">
              <w:rPr>
                <w:color w:val="000000" w:themeColor="text1"/>
                <w:sz w:val="24"/>
                <w:szCs w:val="24"/>
              </w:rPr>
              <w:t>4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316CD3D4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37074B2D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2DDBCB0D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6409730F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30BA9038" w14:textId="77777777" w:rsidTr="00A51172">
        <w:tc>
          <w:tcPr>
            <w:tcW w:w="2451" w:type="dxa"/>
          </w:tcPr>
          <w:p w14:paraId="01DB2EB2" w14:textId="565D19E3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4E034E">
              <w:rPr>
                <w:color w:val="000000" w:themeColor="text1"/>
                <w:sz w:val="24"/>
                <w:szCs w:val="24"/>
              </w:rPr>
              <w:t xml:space="preserve">2007/16/EK </w:t>
            </w:r>
            <w:r w:rsidRPr="008F5AC8">
              <w:rPr>
                <w:color w:val="000000" w:themeColor="text1"/>
                <w:sz w:val="24"/>
                <w:szCs w:val="24"/>
              </w:rPr>
              <w:t>4. panta 2. punkts</w:t>
            </w:r>
          </w:p>
        </w:tc>
        <w:tc>
          <w:tcPr>
            <w:tcW w:w="2436" w:type="dxa"/>
          </w:tcPr>
          <w:p w14:paraId="509B031B" w14:textId="7331A083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 w:rsidRPr="008F5AC8">
              <w:rPr>
                <w:color w:val="000000" w:themeColor="text1"/>
                <w:sz w:val="24"/>
                <w:szCs w:val="24"/>
              </w:rPr>
              <w:t>1</w:t>
            </w:r>
            <w:r w:rsidR="00065C03">
              <w:rPr>
                <w:color w:val="000000" w:themeColor="text1"/>
                <w:sz w:val="24"/>
                <w:szCs w:val="24"/>
              </w:rPr>
              <w:t>9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65D31599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6DF089E9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3FE7AF19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36352ADF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45A502CA" w14:textId="77777777" w:rsidTr="00A51172">
        <w:tc>
          <w:tcPr>
            <w:tcW w:w="2451" w:type="dxa"/>
          </w:tcPr>
          <w:p w14:paraId="003B7AB5" w14:textId="51989D31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4E034E">
              <w:rPr>
                <w:color w:val="000000" w:themeColor="text1"/>
                <w:sz w:val="24"/>
                <w:szCs w:val="24"/>
              </w:rPr>
              <w:t xml:space="preserve">2007/16/EK </w:t>
            </w:r>
            <w:r w:rsidRPr="008F5AC8">
              <w:rPr>
                <w:color w:val="000000" w:themeColor="text1"/>
                <w:sz w:val="24"/>
                <w:szCs w:val="24"/>
              </w:rPr>
              <w:t>4. panta 3. punkts</w:t>
            </w:r>
          </w:p>
        </w:tc>
        <w:tc>
          <w:tcPr>
            <w:tcW w:w="2436" w:type="dxa"/>
          </w:tcPr>
          <w:p w14:paraId="04DF1460" w14:textId="0A9C9E60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13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7D1D5734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69A7542B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5354ED6E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7C257FCE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04CBEF9E" w14:textId="77777777" w:rsidTr="00A51172">
        <w:tc>
          <w:tcPr>
            <w:tcW w:w="2451" w:type="dxa"/>
          </w:tcPr>
          <w:p w14:paraId="6668CA16" w14:textId="49C1C185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4E034E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5D1D8B80" w14:textId="67A76E8A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20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392A09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435" w:type="dxa"/>
          </w:tcPr>
          <w:p w14:paraId="517DA1B7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5BB1B8C1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4C09A4B2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29001FAD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345B37AE" w14:textId="77777777" w:rsidTr="00A51172">
        <w:tc>
          <w:tcPr>
            <w:tcW w:w="2451" w:type="dxa"/>
          </w:tcPr>
          <w:p w14:paraId="1EB4239E" w14:textId="6C9046D6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4E034E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7FC7261B" w14:textId="536F0748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21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160DE57A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2E2942FA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7FFB397F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63D9C4AE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6C9AE552" w14:textId="77777777" w:rsidTr="00A51172">
        <w:tc>
          <w:tcPr>
            <w:tcW w:w="2451" w:type="dxa"/>
          </w:tcPr>
          <w:p w14:paraId="2A73DA57" w14:textId="73FCFCDA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bookmarkStart w:id="2" w:name="_Hlk140568225"/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4E034E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398C0410" w14:textId="7618E7DC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22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4B84A617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3AE496C0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6E7807C8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0DCF812A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2288AC3F" w14:textId="77777777" w:rsidTr="00A51172">
        <w:tc>
          <w:tcPr>
            <w:tcW w:w="2451" w:type="dxa"/>
          </w:tcPr>
          <w:p w14:paraId="0D5C7C6B" w14:textId="745DC669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bookmarkStart w:id="3" w:name="_Hlk150243042"/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8F5AC8">
              <w:rPr>
                <w:color w:val="000000" w:themeColor="text1"/>
                <w:sz w:val="24"/>
                <w:szCs w:val="24"/>
              </w:rPr>
              <w:t>. panta 2. punkts</w:t>
            </w:r>
          </w:p>
        </w:tc>
        <w:tc>
          <w:tcPr>
            <w:tcW w:w="2436" w:type="dxa"/>
          </w:tcPr>
          <w:p w14:paraId="301DD1A4" w14:textId="1014BAEC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31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03003FF9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3BA2DA32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7199867B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29C9171E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217CC56A" w14:textId="77777777" w:rsidTr="00A51172">
        <w:tc>
          <w:tcPr>
            <w:tcW w:w="2451" w:type="dxa"/>
          </w:tcPr>
          <w:p w14:paraId="7044B843" w14:textId="102D6C9F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8F5AC8">
              <w:rPr>
                <w:color w:val="000000" w:themeColor="text1"/>
                <w:sz w:val="24"/>
                <w:szCs w:val="24"/>
              </w:rPr>
              <w:t>. panta 3. punkts</w:t>
            </w:r>
          </w:p>
        </w:tc>
        <w:tc>
          <w:tcPr>
            <w:tcW w:w="2436" w:type="dxa"/>
          </w:tcPr>
          <w:p w14:paraId="175DD834" w14:textId="1E15AD6F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36.</w:t>
            </w:r>
            <w:r w:rsidR="00392A09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435" w:type="dxa"/>
          </w:tcPr>
          <w:p w14:paraId="063C1218" w14:textId="0DE0C36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498ED5F8" w14:textId="71CA100B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09986677" w14:textId="0F18E0B4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369F89F8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11D08A93" w14:textId="77777777" w:rsidTr="00A51172">
        <w:tc>
          <w:tcPr>
            <w:tcW w:w="2451" w:type="dxa"/>
          </w:tcPr>
          <w:p w14:paraId="4AAE3093" w14:textId="7B2C715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8F5AC8">
              <w:rPr>
                <w:color w:val="000000" w:themeColor="text1"/>
                <w:sz w:val="24"/>
                <w:szCs w:val="24"/>
              </w:rPr>
              <w:t>. panta 4. punkts</w:t>
            </w:r>
          </w:p>
        </w:tc>
        <w:tc>
          <w:tcPr>
            <w:tcW w:w="2436" w:type="dxa"/>
          </w:tcPr>
          <w:p w14:paraId="178A52AB" w14:textId="6C3D5EF8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37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309226BD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71E4F879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781D35A9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13A09067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6A5D78A1" w14:textId="77777777" w:rsidTr="00A51172">
        <w:tc>
          <w:tcPr>
            <w:tcW w:w="2451" w:type="dxa"/>
          </w:tcPr>
          <w:p w14:paraId="0860E400" w14:textId="4FAC2732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bookmarkStart w:id="4" w:name="_Hlk140571689"/>
            <w:bookmarkEnd w:id="2"/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  <w:r w:rsidRPr="008F5AC8">
              <w:rPr>
                <w:color w:val="000000" w:themeColor="text1"/>
                <w:sz w:val="24"/>
                <w:szCs w:val="24"/>
              </w:rPr>
              <w:t>. panta 5. punkts</w:t>
            </w:r>
          </w:p>
        </w:tc>
        <w:tc>
          <w:tcPr>
            <w:tcW w:w="2436" w:type="dxa"/>
          </w:tcPr>
          <w:p w14:paraId="08178921" w14:textId="61FB8522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065C03">
              <w:rPr>
                <w:color w:val="000000" w:themeColor="text1"/>
                <w:sz w:val="24"/>
                <w:szCs w:val="24"/>
              </w:rPr>
              <w:t>31</w:t>
            </w:r>
            <w:r>
              <w:rPr>
                <w:color w:val="000000" w:themeColor="text1"/>
                <w:sz w:val="24"/>
                <w:szCs w:val="24"/>
              </w:rPr>
              <w:t>.5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apakšpunkts </w:t>
            </w:r>
          </w:p>
        </w:tc>
        <w:tc>
          <w:tcPr>
            <w:tcW w:w="2435" w:type="dxa"/>
          </w:tcPr>
          <w:p w14:paraId="09F46227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7F661741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0A971573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611E8191" w14:textId="77777777" w:rsidR="00CC7CE2" w:rsidRPr="008F5AC8" w:rsidRDefault="00CC7CE2" w:rsidP="0090625F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bookmarkEnd w:id="4"/>
      <w:bookmarkEnd w:id="3"/>
      <w:tr w:rsidR="00CC7CE2" w:rsidRPr="008F5AC8" w14:paraId="07A07B27" w14:textId="77777777" w:rsidTr="00A51172">
        <w:tc>
          <w:tcPr>
            <w:tcW w:w="2451" w:type="dxa"/>
          </w:tcPr>
          <w:p w14:paraId="0147E045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3D735E2E" w14:textId="0F95B81A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FD1B55" w:rsidRPr="008F5AC8">
              <w:rPr>
                <w:color w:val="000000" w:themeColor="text1"/>
                <w:sz w:val="24"/>
                <w:szCs w:val="24"/>
              </w:rPr>
              <w:t>4</w:t>
            </w:r>
            <w:r w:rsidR="00FD1B55">
              <w:rPr>
                <w:color w:val="000000" w:themeColor="text1"/>
                <w:sz w:val="24"/>
                <w:szCs w:val="24"/>
              </w:rPr>
              <w:t>7</w:t>
            </w:r>
            <w:r w:rsidRPr="008F5AC8">
              <w:rPr>
                <w:color w:val="000000" w:themeColor="text1"/>
                <w:sz w:val="24"/>
                <w:szCs w:val="24"/>
              </w:rPr>
              <w:t>. </w:t>
            </w:r>
            <w:r>
              <w:rPr>
                <w:color w:val="000000" w:themeColor="text1"/>
                <w:sz w:val="24"/>
                <w:szCs w:val="24"/>
              </w:rPr>
              <w:t>p</w:t>
            </w:r>
            <w:r w:rsidRPr="008F5AC8">
              <w:rPr>
                <w:color w:val="000000" w:themeColor="text1"/>
                <w:sz w:val="24"/>
                <w:szCs w:val="24"/>
              </w:rPr>
              <w:t>unkts</w:t>
            </w:r>
          </w:p>
        </w:tc>
        <w:tc>
          <w:tcPr>
            <w:tcW w:w="2435" w:type="dxa"/>
          </w:tcPr>
          <w:p w14:paraId="0DF0DD83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6C6E9E83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6AC40312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7CB6B090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463E8E35" w14:textId="77777777" w:rsidTr="00A51172">
        <w:tc>
          <w:tcPr>
            <w:tcW w:w="2451" w:type="dxa"/>
          </w:tcPr>
          <w:p w14:paraId="6AD86C8D" w14:textId="563CE378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  <w:r w:rsidRPr="008F5AC8">
              <w:rPr>
                <w:color w:val="000000" w:themeColor="text1"/>
                <w:sz w:val="24"/>
                <w:szCs w:val="24"/>
              </w:rPr>
              <w:t>. panta 2. punkts</w:t>
            </w:r>
          </w:p>
        </w:tc>
        <w:tc>
          <w:tcPr>
            <w:tcW w:w="2436" w:type="dxa"/>
          </w:tcPr>
          <w:p w14:paraId="0BC94DC5" w14:textId="3DC09AF3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FD1B55">
              <w:rPr>
                <w:color w:val="000000" w:themeColor="text1"/>
                <w:sz w:val="24"/>
                <w:szCs w:val="24"/>
              </w:rPr>
              <w:t>49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44B92B73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0EC4AD0D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2A2F9022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7DB93BF8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5665FC2D" w14:textId="77777777" w:rsidTr="00A51172">
        <w:tc>
          <w:tcPr>
            <w:tcW w:w="2451" w:type="dxa"/>
          </w:tcPr>
          <w:p w14:paraId="68E25D7F" w14:textId="63C56D8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4F29AD99" w14:textId="784D2BA6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FD1B55">
              <w:rPr>
                <w:color w:val="000000" w:themeColor="text1"/>
                <w:sz w:val="24"/>
                <w:szCs w:val="24"/>
              </w:rPr>
              <w:t>55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392A09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435" w:type="dxa"/>
          </w:tcPr>
          <w:p w14:paraId="0CF5A5F8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46ECD756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070DD995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3960ECB7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1FDF52E3" w14:textId="77777777" w:rsidTr="00A51172">
        <w:tc>
          <w:tcPr>
            <w:tcW w:w="2451" w:type="dxa"/>
          </w:tcPr>
          <w:p w14:paraId="21882011" w14:textId="37093638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7E42FE38" w14:textId="5BB10393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Projekta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FD1B55">
              <w:rPr>
                <w:color w:val="000000" w:themeColor="text1"/>
                <w:sz w:val="24"/>
                <w:szCs w:val="24"/>
              </w:rPr>
              <w:t>56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6B1FA693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38463589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7880A467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7A30093D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0449F077" w14:textId="77777777" w:rsidTr="00A51172">
        <w:tc>
          <w:tcPr>
            <w:tcW w:w="2451" w:type="dxa"/>
          </w:tcPr>
          <w:p w14:paraId="557B8D54" w14:textId="4BDC8D0B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lastRenderedPageBreak/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7FE9B890" w14:textId="0BEE090A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FD1B55">
              <w:rPr>
                <w:color w:val="000000" w:themeColor="text1"/>
                <w:sz w:val="24"/>
                <w:szCs w:val="24"/>
              </w:rPr>
              <w:t>57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392A09">
              <w:rPr>
                <w:color w:val="000000" w:themeColor="text1"/>
                <w:sz w:val="24"/>
                <w:szCs w:val="24"/>
              </w:rPr>
              <w:t> 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punkts </w:t>
            </w:r>
          </w:p>
        </w:tc>
        <w:tc>
          <w:tcPr>
            <w:tcW w:w="2435" w:type="dxa"/>
          </w:tcPr>
          <w:p w14:paraId="445A5F7A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5A0DAC34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59941B69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21EC60CA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42A59EAA" w14:textId="77777777" w:rsidTr="00A51172">
        <w:tc>
          <w:tcPr>
            <w:tcW w:w="2451" w:type="dxa"/>
          </w:tcPr>
          <w:p w14:paraId="239AB8DC" w14:textId="56507AF1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12</w:t>
            </w:r>
            <w:r w:rsidRPr="008F5AC8">
              <w:rPr>
                <w:color w:val="000000" w:themeColor="text1"/>
                <w:sz w:val="24"/>
                <w:szCs w:val="24"/>
              </w:rPr>
              <w:t xml:space="preserve">. panta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6" w:type="dxa"/>
          </w:tcPr>
          <w:p w14:paraId="01B2892C" w14:textId="677727D6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FD1B55">
              <w:rPr>
                <w:color w:val="000000" w:themeColor="text1"/>
                <w:sz w:val="24"/>
                <w:szCs w:val="24"/>
              </w:rPr>
              <w:t>65</w:t>
            </w:r>
            <w:r w:rsidRPr="008F5AC8">
              <w:rPr>
                <w:color w:val="000000" w:themeColor="text1"/>
                <w:sz w:val="24"/>
                <w:szCs w:val="24"/>
              </w:rPr>
              <w:t>. </w:t>
            </w:r>
            <w:r>
              <w:rPr>
                <w:color w:val="000000" w:themeColor="text1"/>
                <w:sz w:val="24"/>
                <w:szCs w:val="24"/>
              </w:rPr>
              <w:t>p</w:t>
            </w:r>
            <w:r w:rsidRPr="008F5AC8">
              <w:rPr>
                <w:color w:val="000000" w:themeColor="text1"/>
                <w:sz w:val="24"/>
                <w:szCs w:val="24"/>
              </w:rPr>
              <w:t>unkts</w:t>
            </w:r>
          </w:p>
        </w:tc>
        <w:tc>
          <w:tcPr>
            <w:tcW w:w="2435" w:type="dxa"/>
          </w:tcPr>
          <w:p w14:paraId="394507C5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2847DF8C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6857B335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0782DEAF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CC7CE2" w:rsidRPr="008F5AC8" w14:paraId="596B4F2B" w14:textId="77777777" w:rsidTr="00A51172">
        <w:tc>
          <w:tcPr>
            <w:tcW w:w="2451" w:type="dxa"/>
          </w:tcPr>
          <w:p w14:paraId="1FDE9D0B" w14:textId="5E8FD98F" w:rsidR="00CC7CE2" w:rsidRPr="008F5AC8" w:rsidRDefault="00CC7CE2" w:rsidP="00A51172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Direktīvas </w:t>
            </w:r>
            <w:r w:rsidRPr="00A51172">
              <w:rPr>
                <w:color w:val="000000" w:themeColor="text1"/>
                <w:sz w:val="24"/>
                <w:szCs w:val="24"/>
              </w:rPr>
              <w:t xml:space="preserve">2007/16/EK </w:t>
            </w:r>
            <w:r>
              <w:rPr>
                <w:color w:val="000000" w:themeColor="text1"/>
                <w:sz w:val="24"/>
                <w:szCs w:val="24"/>
              </w:rPr>
              <w:t>12</w:t>
            </w:r>
            <w:r w:rsidRPr="008F5AC8">
              <w:rPr>
                <w:color w:val="000000" w:themeColor="text1"/>
                <w:sz w:val="24"/>
                <w:szCs w:val="24"/>
              </w:rPr>
              <w:t>. panta 2.</w:t>
            </w:r>
            <w:r>
              <w:rPr>
                <w:color w:val="000000" w:themeColor="text1"/>
                <w:sz w:val="24"/>
                <w:szCs w:val="24"/>
              </w:rPr>
              <w:t>, 3. un 4. </w:t>
            </w:r>
            <w:r w:rsidRPr="008F5AC8"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436" w:type="dxa"/>
          </w:tcPr>
          <w:p w14:paraId="3A3B6CE3" w14:textId="76B8D312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FD1B55">
              <w:rPr>
                <w:color w:val="000000" w:themeColor="text1"/>
                <w:sz w:val="24"/>
                <w:szCs w:val="24"/>
              </w:rPr>
              <w:t>66</w:t>
            </w:r>
            <w:r w:rsidRPr="008F5AC8">
              <w:rPr>
                <w:color w:val="000000" w:themeColor="text1"/>
                <w:sz w:val="24"/>
                <w:szCs w:val="24"/>
              </w:rPr>
              <w:t>. punkts</w:t>
            </w:r>
          </w:p>
        </w:tc>
        <w:tc>
          <w:tcPr>
            <w:tcW w:w="2435" w:type="dxa"/>
          </w:tcPr>
          <w:p w14:paraId="14CD1BA8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436" w:type="dxa"/>
          </w:tcPr>
          <w:p w14:paraId="1BAAB1AF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434" w:type="dxa"/>
          </w:tcPr>
          <w:p w14:paraId="7E6F3C25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8F5AC8"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36" w:type="dxa"/>
            <w:vMerge/>
          </w:tcPr>
          <w:p w14:paraId="0C6352C7" w14:textId="77777777" w:rsidR="00CC7CE2" w:rsidRPr="008F5AC8" w:rsidRDefault="00CC7CE2" w:rsidP="00A23489">
            <w:pPr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6919EF0E" w14:textId="77777777" w:rsidR="008F5AC8" w:rsidRPr="00824B87" w:rsidRDefault="008F5AC8" w:rsidP="008F5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F5AC8" w:rsidRPr="00824B87" w:rsidSect="00482C42">
      <w:pgSz w:w="16838" w:h="11906" w:orient="landscape" w:code="9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D1ED" w14:textId="77777777" w:rsidR="007D3B93" w:rsidRDefault="007D3B93" w:rsidP="009B27BE">
      <w:pPr>
        <w:spacing w:after="0" w:line="240" w:lineRule="auto"/>
      </w:pPr>
      <w:r>
        <w:separator/>
      </w:r>
    </w:p>
  </w:endnote>
  <w:endnote w:type="continuationSeparator" w:id="0">
    <w:p w14:paraId="6FAA7D47" w14:textId="77777777" w:rsidR="007D3B93" w:rsidRDefault="007D3B93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E5916" w14:textId="77777777" w:rsidR="007D3B93" w:rsidRDefault="007D3B93" w:rsidP="009B27BE">
      <w:pPr>
        <w:spacing w:after="0" w:line="240" w:lineRule="auto"/>
      </w:pPr>
      <w:r>
        <w:separator/>
      </w:r>
    </w:p>
  </w:footnote>
  <w:footnote w:type="continuationSeparator" w:id="0">
    <w:p w14:paraId="570D4B3A" w14:textId="77777777" w:rsidR="007D3B93" w:rsidRDefault="007D3B93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71BCDC5" w14:textId="77777777" w:rsidR="007E313B" w:rsidRPr="00482C42" w:rsidRDefault="007E313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2C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2C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2C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82C42">
          <w:rPr>
            <w:rFonts w:ascii="Times New Roman" w:hAnsi="Times New Roman" w:cs="Times New Roman"/>
            <w:sz w:val="24"/>
            <w:szCs w:val="24"/>
          </w:rPr>
          <w:t>2</w:t>
        </w:r>
        <w:r w:rsidRPr="00482C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0B1B9C2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E1B9A"/>
    <w:multiLevelType w:val="hybridMultilevel"/>
    <w:tmpl w:val="ACA4C3A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F2644"/>
    <w:multiLevelType w:val="hybridMultilevel"/>
    <w:tmpl w:val="26F4ACB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776A9"/>
    <w:multiLevelType w:val="hybridMultilevel"/>
    <w:tmpl w:val="67E8C19A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61758"/>
    <w:multiLevelType w:val="hybridMultilevel"/>
    <w:tmpl w:val="6186B97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425899">
    <w:abstractNumId w:val="3"/>
  </w:num>
  <w:num w:numId="2" w16cid:durableId="20521236">
    <w:abstractNumId w:val="2"/>
  </w:num>
  <w:num w:numId="3" w16cid:durableId="1031496480">
    <w:abstractNumId w:val="1"/>
  </w:num>
  <w:num w:numId="4" w16cid:durableId="193422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300"/>
    <w:rsid w:val="00002C22"/>
    <w:rsid w:val="00021ADF"/>
    <w:rsid w:val="000263F5"/>
    <w:rsid w:val="00032ED6"/>
    <w:rsid w:val="00042469"/>
    <w:rsid w:val="000473FE"/>
    <w:rsid w:val="000657BC"/>
    <w:rsid w:val="00065C03"/>
    <w:rsid w:val="0008510E"/>
    <w:rsid w:val="0009616F"/>
    <w:rsid w:val="000A054F"/>
    <w:rsid w:val="000A2355"/>
    <w:rsid w:val="000B2E8D"/>
    <w:rsid w:val="000B4E0A"/>
    <w:rsid w:val="000B5B46"/>
    <w:rsid w:val="000C1FF0"/>
    <w:rsid w:val="000D6412"/>
    <w:rsid w:val="000D7792"/>
    <w:rsid w:val="000F1D37"/>
    <w:rsid w:val="000F3BFB"/>
    <w:rsid w:val="00132070"/>
    <w:rsid w:val="00133F6A"/>
    <w:rsid w:val="001372CC"/>
    <w:rsid w:val="00143A48"/>
    <w:rsid w:val="00144270"/>
    <w:rsid w:val="0018500D"/>
    <w:rsid w:val="001A5171"/>
    <w:rsid w:val="002073F0"/>
    <w:rsid w:val="00211300"/>
    <w:rsid w:val="00221584"/>
    <w:rsid w:val="00252BA9"/>
    <w:rsid w:val="00266BB0"/>
    <w:rsid w:val="002753E0"/>
    <w:rsid w:val="002916CC"/>
    <w:rsid w:val="002C576C"/>
    <w:rsid w:val="002D4FFA"/>
    <w:rsid w:val="002F2A7D"/>
    <w:rsid w:val="002F4F61"/>
    <w:rsid w:val="002F54DF"/>
    <w:rsid w:val="003148F2"/>
    <w:rsid w:val="00327536"/>
    <w:rsid w:val="003344C2"/>
    <w:rsid w:val="003414D1"/>
    <w:rsid w:val="00361CB6"/>
    <w:rsid w:val="003655A2"/>
    <w:rsid w:val="00365838"/>
    <w:rsid w:val="003840CF"/>
    <w:rsid w:val="00392A09"/>
    <w:rsid w:val="00396277"/>
    <w:rsid w:val="00397033"/>
    <w:rsid w:val="003A7F1F"/>
    <w:rsid w:val="003B41EF"/>
    <w:rsid w:val="003B481B"/>
    <w:rsid w:val="003C5C8E"/>
    <w:rsid w:val="003C625B"/>
    <w:rsid w:val="003C652E"/>
    <w:rsid w:val="00431CB6"/>
    <w:rsid w:val="00437C1E"/>
    <w:rsid w:val="00475ED3"/>
    <w:rsid w:val="00482C42"/>
    <w:rsid w:val="004852C3"/>
    <w:rsid w:val="0049248A"/>
    <w:rsid w:val="004940DF"/>
    <w:rsid w:val="004B01D1"/>
    <w:rsid w:val="004B5692"/>
    <w:rsid w:val="004C0CCE"/>
    <w:rsid w:val="004E034E"/>
    <w:rsid w:val="004E5A84"/>
    <w:rsid w:val="004F327F"/>
    <w:rsid w:val="00527411"/>
    <w:rsid w:val="00536724"/>
    <w:rsid w:val="0056472A"/>
    <w:rsid w:val="00570C5E"/>
    <w:rsid w:val="00584793"/>
    <w:rsid w:val="00591C07"/>
    <w:rsid w:val="005B3E28"/>
    <w:rsid w:val="005C1BEB"/>
    <w:rsid w:val="005F0498"/>
    <w:rsid w:val="0060016E"/>
    <w:rsid w:val="006275C2"/>
    <w:rsid w:val="00632774"/>
    <w:rsid w:val="00633E91"/>
    <w:rsid w:val="00635A01"/>
    <w:rsid w:val="00642172"/>
    <w:rsid w:val="00657F1C"/>
    <w:rsid w:val="0066677E"/>
    <w:rsid w:val="0068293B"/>
    <w:rsid w:val="00684460"/>
    <w:rsid w:val="00733E95"/>
    <w:rsid w:val="00741B52"/>
    <w:rsid w:val="00744B4C"/>
    <w:rsid w:val="007533A7"/>
    <w:rsid w:val="00756820"/>
    <w:rsid w:val="007615C9"/>
    <w:rsid w:val="00762371"/>
    <w:rsid w:val="00763A73"/>
    <w:rsid w:val="00764496"/>
    <w:rsid w:val="00771281"/>
    <w:rsid w:val="007712DA"/>
    <w:rsid w:val="00772A37"/>
    <w:rsid w:val="00790CDB"/>
    <w:rsid w:val="007B4CE2"/>
    <w:rsid w:val="007B6A26"/>
    <w:rsid w:val="007B7084"/>
    <w:rsid w:val="007D3B93"/>
    <w:rsid w:val="007E313B"/>
    <w:rsid w:val="007F21F6"/>
    <w:rsid w:val="007F5031"/>
    <w:rsid w:val="00824B87"/>
    <w:rsid w:val="00827996"/>
    <w:rsid w:val="00840AA7"/>
    <w:rsid w:val="008448FA"/>
    <w:rsid w:val="00847563"/>
    <w:rsid w:val="00860632"/>
    <w:rsid w:val="00885F7B"/>
    <w:rsid w:val="008862D5"/>
    <w:rsid w:val="00886970"/>
    <w:rsid w:val="00890CC1"/>
    <w:rsid w:val="00891482"/>
    <w:rsid w:val="008A3D75"/>
    <w:rsid w:val="008C1FDB"/>
    <w:rsid w:val="008F5AC8"/>
    <w:rsid w:val="00920831"/>
    <w:rsid w:val="009302CA"/>
    <w:rsid w:val="00941B06"/>
    <w:rsid w:val="00942D75"/>
    <w:rsid w:val="00954401"/>
    <w:rsid w:val="00955228"/>
    <w:rsid w:val="00966A4C"/>
    <w:rsid w:val="009A14BA"/>
    <w:rsid w:val="009B27BE"/>
    <w:rsid w:val="009D4817"/>
    <w:rsid w:val="009D69BC"/>
    <w:rsid w:val="00A0418B"/>
    <w:rsid w:val="00A07CCB"/>
    <w:rsid w:val="00A10264"/>
    <w:rsid w:val="00A13711"/>
    <w:rsid w:val="00A229E4"/>
    <w:rsid w:val="00A409C4"/>
    <w:rsid w:val="00A42788"/>
    <w:rsid w:val="00A51172"/>
    <w:rsid w:val="00A734E3"/>
    <w:rsid w:val="00A73953"/>
    <w:rsid w:val="00A949CB"/>
    <w:rsid w:val="00AC73E2"/>
    <w:rsid w:val="00B239A5"/>
    <w:rsid w:val="00B547D3"/>
    <w:rsid w:val="00B62244"/>
    <w:rsid w:val="00B80B95"/>
    <w:rsid w:val="00B85A1E"/>
    <w:rsid w:val="00B86D2F"/>
    <w:rsid w:val="00B95445"/>
    <w:rsid w:val="00B95DAB"/>
    <w:rsid w:val="00BC0C8C"/>
    <w:rsid w:val="00BC6682"/>
    <w:rsid w:val="00BD2EDC"/>
    <w:rsid w:val="00BE0F45"/>
    <w:rsid w:val="00BE6403"/>
    <w:rsid w:val="00BF1764"/>
    <w:rsid w:val="00C01AA4"/>
    <w:rsid w:val="00C054EC"/>
    <w:rsid w:val="00C1424D"/>
    <w:rsid w:val="00C573D8"/>
    <w:rsid w:val="00C61DEA"/>
    <w:rsid w:val="00C85C34"/>
    <w:rsid w:val="00C87832"/>
    <w:rsid w:val="00C94CFF"/>
    <w:rsid w:val="00CA28AB"/>
    <w:rsid w:val="00CA778B"/>
    <w:rsid w:val="00CB4335"/>
    <w:rsid w:val="00CB6F44"/>
    <w:rsid w:val="00CC7CE2"/>
    <w:rsid w:val="00CD6AF5"/>
    <w:rsid w:val="00CE0699"/>
    <w:rsid w:val="00CE3CB6"/>
    <w:rsid w:val="00CF4408"/>
    <w:rsid w:val="00D01B3F"/>
    <w:rsid w:val="00D17D5D"/>
    <w:rsid w:val="00D2056C"/>
    <w:rsid w:val="00D36A7C"/>
    <w:rsid w:val="00D43C59"/>
    <w:rsid w:val="00D465C6"/>
    <w:rsid w:val="00D508D3"/>
    <w:rsid w:val="00D5590D"/>
    <w:rsid w:val="00D8313C"/>
    <w:rsid w:val="00D90818"/>
    <w:rsid w:val="00DA0B1E"/>
    <w:rsid w:val="00DA5565"/>
    <w:rsid w:val="00DB12DD"/>
    <w:rsid w:val="00DB38CA"/>
    <w:rsid w:val="00E04474"/>
    <w:rsid w:val="00E253DA"/>
    <w:rsid w:val="00E53DE9"/>
    <w:rsid w:val="00E60064"/>
    <w:rsid w:val="00E60491"/>
    <w:rsid w:val="00E957BC"/>
    <w:rsid w:val="00EA684C"/>
    <w:rsid w:val="00EB261C"/>
    <w:rsid w:val="00EB3DC3"/>
    <w:rsid w:val="00EF330D"/>
    <w:rsid w:val="00F505C8"/>
    <w:rsid w:val="00F658D4"/>
    <w:rsid w:val="00F732D5"/>
    <w:rsid w:val="00F74905"/>
    <w:rsid w:val="00F93C5E"/>
    <w:rsid w:val="00FA2E51"/>
    <w:rsid w:val="00FA4B91"/>
    <w:rsid w:val="00FC524E"/>
    <w:rsid w:val="00FD1B55"/>
    <w:rsid w:val="00F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FBDAF"/>
  <w15:chartTrackingRefBased/>
  <w15:docId w15:val="{F71D6BCD-79EF-4390-8A63-8D3CA0D9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character" w:styleId="Hyperlink">
    <w:name w:val="Hyperlink"/>
    <w:basedOn w:val="DefaultParagraphFont"/>
    <w:uiPriority w:val="99"/>
    <w:unhideWhenUsed/>
    <w:rsid w:val="00847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7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0B9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2056C"/>
    <w:pPr>
      <w:ind w:left="720"/>
      <w:contextualSpacing/>
    </w:pPr>
  </w:style>
  <w:style w:type="paragraph" w:styleId="Revision">
    <w:name w:val="Revision"/>
    <w:hidden/>
    <w:uiPriority w:val="99"/>
    <w:semiHidden/>
    <w:rsid w:val="00A102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F5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5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50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031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8F5AC8"/>
    <w:pPr>
      <w:spacing w:after="0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8F5AC8"/>
    <w:rPr>
      <w:rFonts w:ascii="Segoe UI" w:hAnsi="Segoe UI" w:cs="Segoe UI" w:hint="default"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-lex.europa.eu/legal-content/LV/TXT/?uri=CELEX:32007L0016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legal-content/LV/TXT/?uri=CELEX:31985L061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eli/dir/2009/65/oj/?uri=CELEX:32009L006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esma.europa.eu/document/guidelines-etfs-and-other-ucits-issues-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sma.europa.eu/sites/default/files/library/2015/11/07_044b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NA_ANOTACI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5DF702D17849D8BF7A69C11F61BF1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AEF437F-ACF8-4F88-9C60-5C904E688C2D}"/>
      </w:docPartPr>
      <w:docPartBody>
        <w:p w:rsidR="00AE3564" w:rsidRDefault="00AE3564" w:rsidP="00AE3564">
          <w:pPr>
            <w:pStyle w:val="375DF702D17849D8BF7A69C11F61BF14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64"/>
    <w:rsid w:val="005D11FB"/>
    <w:rsid w:val="00731DBE"/>
    <w:rsid w:val="00AE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3564"/>
    <w:rPr>
      <w:color w:val="808080"/>
    </w:rPr>
  </w:style>
  <w:style w:type="paragraph" w:customStyle="1" w:styleId="375DF702D17849D8BF7A69C11F61BF14">
    <w:name w:val="375DF702D17849D8BF7A69C11F61BF14"/>
    <w:rsid w:val="00AE3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ANA_ANOTACIJA.dotx</Template>
  <TotalTime>1</TotalTime>
  <Pages>7</Pages>
  <Words>9382</Words>
  <Characters>5348</Characters>
  <Application>Microsoft Office Word</Application>
  <DocSecurity>0</DocSecurity>
  <Lines>44</Lines>
  <Paragraphs>29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Sedleniece</dc:creator>
  <cp:keywords/>
  <dc:description/>
  <cp:lastModifiedBy>Ilze Grava</cp:lastModifiedBy>
  <cp:revision>3</cp:revision>
  <dcterms:created xsi:type="dcterms:W3CDTF">2024-02-22T07:10:00Z</dcterms:created>
  <dcterms:modified xsi:type="dcterms:W3CDTF">2024-02-23T08:43:00Z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