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96F1CE" w14:textId="4409132A" w:rsidR="00317A94" w:rsidRPr="003A7AD9" w:rsidRDefault="00CA28AB" w:rsidP="00365394">
      <w:pPr>
        <w:spacing w:after="0" w:line="240" w:lineRule="auto"/>
        <w:jc w:val="center"/>
        <w:rPr>
          <w:rFonts w:ascii="Times New Roman" w:hAnsi="Times New Roman" w:cs="Times New Roman"/>
          <w:b/>
          <w:bCs/>
          <w:sz w:val="24"/>
          <w:szCs w:val="24"/>
        </w:rPr>
      </w:pPr>
      <w:bookmarkStart w:id="0" w:name="_Hlk127968955"/>
      <w:r w:rsidRPr="003A7AD9">
        <w:rPr>
          <w:rFonts w:ascii="Times New Roman" w:hAnsi="Times New Roman" w:cs="Times New Roman"/>
          <w:b/>
          <w:bCs/>
          <w:sz w:val="24"/>
          <w:szCs w:val="24"/>
        </w:rPr>
        <w:t xml:space="preserve">Latvijas Bankas noteikumu projekta </w:t>
      </w:r>
    </w:p>
    <w:p w14:paraId="400B9E2E" w14:textId="69B58F6D" w:rsidR="009B27BE" w:rsidRPr="003A7AD9" w:rsidRDefault="00F90B0A" w:rsidP="002B29EC">
      <w:pPr>
        <w:spacing w:after="0" w:line="240" w:lineRule="auto"/>
        <w:jc w:val="center"/>
        <w:rPr>
          <w:rFonts w:ascii="Times New Roman" w:hAnsi="Times New Roman" w:cs="Times New Roman"/>
          <w:b/>
          <w:bCs/>
          <w:sz w:val="24"/>
          <w:szCs w:val="24"/>
        </w:rPr>
      </w:pPr>
      <w:sdt>
        <w:sdtPr>
          <w:rPr>
            <w:rFonts w:ascii="Times New Roman" w:hAnsi="Times New Roman" w:cs="Times New Roman"/>
            <w:b/>
            <w:bCs/>
            <w:sz w:val="24"/>
            <w:szCs w:val="24"/>
          </w:rPr>
          <w:alias w:val="Nosaukums"/>
          <w:tag w:val="Nosaukums"/>
          <w:id w:val="25447728"/>
          <w:placeholder>
            <w:docPart w:val="BC93B20695F34D039CA36F89A6BEC935"/>
          </w:placeholder>
        </w:sdtPr>
        <w:sdtEndPr/>
        <w:sdtContent>
          <w:r w:rsidR="00317A94" w:rsidRPr="003A7AD9">
            <w:rPr>
              <w:rFonts w:ascii="Times New Roman" w:hAnsi="Times New Roman" w:cs="Times New Roman"/>
              <w:b/>
              <w:bCs/>
              <w:sz w:val="24"/>
              <w:szCs w:val="24"/>
            </w:rPr>
            <w:t>"</w:t>
          </w:r>
          <w:r w:rsidR="002B29EC" w:rsidRPr="002B29EC">
            <w:rPr>
              <w:rFonts w:ascii="Times New Roman" w:hAnsi="Times New Roman" w:cs="Times New Roman"/>
              <w:b/>
              <w:bCs/>
              <w:sz w:val="24"/>
              <w:szCs w:val="24"/>
            </w:rPr>
            <w:t>Krājaizdevu sabiedrību</w:t>
          </w:r>
          <w:r w:rsidR="008079DE">
            <w:rPr>
              <w:rFonts w:ascii="Times New Roman" w:hAnsi="Times New Roman" w:cs="Times New Roman"/>
              <w:b/>
              <w:bCs/>
              <w:sz w:val="24"/>
              <w:szCs w:val="24"/>
            </w:rPr>
            <w:t xml:space="preserve"> </w:t>
          </w:r>
          <w:r w:rsidR="002B29EC" w:rsidRPr="002B29EC">
            <w:rPr>
              <w:rFonts w:ascii="Times New Roman" w:hAnsi="Times New Roman" w:cs="Times New Roman"/>
              <w:b/>
              <w:bCs/>
              <w:sz w:val="24"/>
              <w:szCs w:val="24"/>
            </w:rPr>
            <w:t>iekšējās kontroles sistēmas noteikumi</w:t>
          </w:r>
          <w:r w:rsidR="00F03930" w:rsidRPr="00F03930">
            <w:rPr>
              <w:rFonts w:ascii="Times New Roman" w:hAnsi="Times New Roman" w:cs="Times New Roman"/>
              <w:b/>
              <w:bCs/>
              <w:sz w:val="24"/>
              <w:szCs w:val="24"/>
            </w:rPr>
            <w:t>"</w:t>
          </w:r>
        </w:sdtContent>
      </w:sdt>
      <w:r w:rsidR="002B29EC">
        <w:rPr>
          <w:rFonts w:ascii="Times New Roman" w:hAnsi="Times New Roman" w:cs="Times New Roman"/>
          <w:b/>
          <w:bCs/>
          <w:sz w:val="24"/>
          <w:szCs w:val="24"/>
        </w:rPr>
        <w:t xml:space="preserve"> </w:t>
      </w:r>
      <w:bookmarkEnd w:id="0"/>
      <w:r w:rsidR="00387C23">
        <w:rPr>
          <w:rFonts w:ascii="Times New Roman" w:hAnsi="Times New Roman" w:cs="Times New Roman"/>
          <w:b/>
          <w:bCs/>
          <w:sz w:val="24"/>
          <w:szCs w:val="24"/>
        </w:rPr>
        <w:t>anotācija</w:t>
      </w:r>
    </w:p>
    <w:p w14:paraId="0CB236BE" w14:textId="77777777" w:rsidR="003B481B" w:rsidRPr="000B4E0A" w:rsidRDefault="003B481B" w:rsidP="00365394">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18"/>
      </w:tblGrid>
      <w:tr w:rsidR="000B4E0A" w:rsidRPr="000B4E0A" w14:paraId="075756D3" w14:textId="77777777" w:rsidTr="00444DAD">
        <w:trPr>
          <w:trHeight w:val="567"/>
        </w:trPr>
        <w:tc>
          <w:tcPr>
            <w:tcW w:w="1405" w:type="pct"/>
            <w:hideMark/>
          </w:tcPr>
          <w:p w14:paraId="11AED29D"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6C10B54A" w14:textId="056F1615"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tcPr>
          <w:p w14:paraId="5807C367" w14:textId="388AEC8C" w:rsidR="0029352D" w:rsidRPr="009B27BE" w:rsidRDefault="002B29EC" w:rsidP="006B649E">
            <w:pPr>
              <w:spacing w:after="120" w:line="240" w:lineRule="auto"/>
              <w:rPr>
                <w:rFonts w:ascii="Times New Roman" w:eastAsia="Times New Roman" w:hAnsi="Times New Roman" w:cs="Times New Roman"/>
                <w:i/>
                <w:iCs/>
                <w:sz w:val="24"/>
                <w:szCs w:val="24"/>
                <w:lang w:eastAsia="lv-LV"/>
              </w:rPr>
            </w:pPr>
            <w:bookmarkStart w:id="1" w:name="_Hlk149228739"/>
            <w:r w:rsidRPr="002B29EC">
              <w:rPr>
                <w:rFonts w:ascii="Times New Roman" w:eastAsia="Times New Roman" w:hAnsi="Times New Roman" w:cs="Times New Roman"/>
                <w:sz w:val="24"/>
                <w:szCs w:val="24"/>
                <w:lang w:eastAsia="lv-LV"/>
              </w:rPr>
              <w:t>Krājaizdevu sabiedrību</w:t>
            </w:r>
            <w:r w:rsidR="008079DE">
              <w:rPr>
                <w:rFonts w:ascii="Times New Roman" w:eastAsia="Times New Roman" w:hAnsi="Times New Roman" w:cs="Times New Roman"/>
                <w:sz w:val="24"/>
                <w:szCs w:val="24"/>
                <w:lang w:eastAsia="lv-LV"/>
              </w:rPr>
              <w:t xml:space="preserve"> </w:t>
            </w:r>
            <w:r w:rsidRPr="002B29EC">
              <w:rPr>
                <w:rFonts w:ascii="Times New Roman" w:eastAsia="Times New Roman" w:hAnsi="Times New Roman" w:cs="Times New Roman"/>
                <w:sz w:val="24"/>
                <w:szCs w:val="24"/>
                <w:lang w:eastAsia="lv-LV"/>
              </w:rPr>
              <w:t>iekšējās kontroles sistēmas noteikumi</w:t>
            </w:r>
            <w:bookmarkEnd w:id="1"/>
          </w:p>
        </w:tc>
      </w:tr>
      <w:tr w:rsidR="000B4E0A" w:rsidRPr="000B4E0A" w14:paraId="79017AD3" w14:textId="77777777" w:rsidTr="00444DAD">
        <w:trPr>
          <w:trHeight w:val="555"/>
        </w:trPr>
        <w:tc>
          <w:tcPr>
            <w:tcW w:w="1405" w:type="pct"/>
            <w:hideMark/>
          </w:tcPr>
          <w:p w14:paraId="788E8EA1"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3CAA80CE" w14:textId="7AD2803D"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tcPr>
          <w:p w14:paraId="741C3E1B" w14:textId="0575ED59" w:rsidR="00E53DE9" w:rsidRPr="00317A94" w:rsidRDefault="00D07C8C" w:rsidP="006B649E">
            <w:pPr>
              <w:spacing w:after="120" w:line="240" w:lineRule="auto"/>
              <w:rPr>
                <w:rFonts w:ascii="Times New Roman" w:eastAsia="Times New Roman" w:hAnsi="Times New Roman" w:cs="Times New Roman"/>
                <w:sz w:val="24"/>
                <w:szCs w:val="24"/>
                <w:lang w:eastAsia="lv-LV"/>
              </w:rPr>
            </w:pPr>
            <w:r w:rsidRPr="00D07C8C">
              <w:rPr>
                <w:rFonts w:ascii="Times New Roman" w:eastAsia="Times New Roman" w:hAnsi="Times New Roman" w:cs="Times New Roman"/>
                <w:sz w:val="24"/>
                <w:szCs w:val="24"/>
                <w:lang w:eastAsia="lv-LV"/>
              </w:rPr>
              <w:t>Latvijas Bankas noteikumi</w:t>
            </w:r>
          </w:p>
        </w:tc>
      </w:tr>
      <w:tr w:rsidR="000B4E0A" w:rsidRPr="000B4E0A" w14:paraId="382B475A" w14:textId="77777777" w:rsidTr="00444DAD">
        <w:trPr>
          <w:trHeight w:val="567"/>
        </w:trPr>
        <w:tc>
          <w:tcPr>
            <w:tcW w:w="1405" w:type="pct"/>
            <w:hideMark/>
          </w:tcPr>
          <w:p w14:paraId="53CE2E8C"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65BC8074" w14:textId="1002BB0A"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tcPr>
          <w:p w14:paraId="0B98D083" w14:textId="1D9A44FB" w:rsidR="00CA0DE3" w:rsidRPr="00317A94" w:rsidRDefault="00387C23" w:rsidP="00E652AF">
            <w:pPr>
              <w:spacing w:after="120" w:line="240" w:lineRule="auto"/>
              <w:jc w:val="both"/>
              <w:rPr>
                <w:rFonts w:ascii="Times New Roman" w:eastAsia="Times New Roman" w:hAnsi="Times New Roman" w:cs="Times New Roman"/>
                <w:sz w:val="24"/>
                <w:szCs w:val="24"/>
                <w:lang w:eastAsia="lv-LV"/>
              </w:rPr>
            </w:pPr>
            <w:r w:rsidRPr="00387C23">
              <w:rPr>
                <w:rFonts w:ascii="Times New Roman" w:eastAsia="Times New Roman" w:hAnsi="Times New Roman" w:cs="Times New Roman"/>
                <w:sz w:val="24"/>
                <w:szCs w:val="24"/>
                <w:lang w:eastAsia="lv-LV"/>
              </w:rPr>
              <w:t>Krājaizdevu sabiedrību likuma</w:t>
            </w:r>
            <w:r>
              <w:rPr>
                <w:rFonts w:ascii="Times New Roman" w:eastAsia="Times New Roman" w:hAnsi="Times New Roman" w:cs="Times New Roman"/>
                <w:sz w:val="24"/>
                <w:szCs w:val="24"/>
                <w:lang w:eastAsia="lv-LV"/>
              </w:rPr>
              <w:t xml:space="preserve"> </w:t>
            </w:r>
            <w:r w:rsidRPr="00387C23">
              <w:rPr>
                <w:rFonts w:ascii="Times New Roman" w:eastAsia="Times New Roman" w:hAnsi="Times New Roman" w:cs="Times New Roman"/>
                <w:sz w:val="24"/>
                <w:szCs w:val="24"/>
                <w:lang w:eastAsia="lv-LV"/>
              </w:rPr>
              <w:t>27.</w:t>
            </w:r>
            <w:r w:rsidR="0067277C">
              <w:rPr>
                <w:rFonts w:ascii="Times New Roman" w:eastAsia="Times New Roman" w:hAnsi="Times New Roman" w:cs="Times New Roman"/>
                <w:sz w:val="24"/>
                <w:szCs w:val="24"/>
                <w:lang w:eastAsia="lv-LV"/>
              </w:rPr>
              <w:t> </w:t>
            </w:r>
            <w:r w:rsidRPr="00387C23">
              <w:rPr>
                <w:rFonts w:ascii="Times New Roman" w:eastAsia="Times New Roman" w:hAnsi="Times New Roman" w:cs="Times New Roman"/>
                <w:sz w:val="24"/>
                <w:szCs w:val="24"/>
                <w:lang w:eastAsia="lv-LV"/>
              </w:rPr>
              <w:t>panta otr</w:t>
            </w:r>
            <w:r>
              <w:rPr>
                <w:rFonts w:ascii="Times New Roman" w:eastAsia="Times New Roman" w:hAnsi="Times New Roman" w:cs="Times New Roman"/>
                <w:sz w:val="24"/>
                <w:szCs w:val="24"/>
                <w:lang w:eastAsia="lv-LV"/>
              </w:rPr>
              <w:t xml:space="preserve">ā </w:t>
            </w:r>
            <w:r w:rsidRPr="00387C23">
              <w:rPr>
                <w:rFonts w:ascii="Times New Roman" w:eastAsia="Times New Roman" w:hAnsi="Times New Roman" w:cs="Times New Roman"/>
                <w:sz w:val="24"/>
                <w:szCs w:val="24"/>
                <w:lang w:eastAsia="lv-LV"/>
              </w:rPr>
              <w:t>daļ</w:t>
            </w:r>
            <w:r>
              <w:rPr>
                <w:rFonts w:ascii="Times New Roman" w:eastAsia="Times New Roman" w:hAnsi="Times New Roman" w:cs="Times New Roman"/>
                <w:sz w:val="24"/>
                <w:szCs w:val="24"/>
                <w:lang w:eastAsia="lv-LV"/>
              </w:rPr>
              <w:t>a</w:t>
            </w:r>
          </w:p>
        </w:tc>
      </w:tr>
      <w:tr w:rsidR="000B4E0A" w:rsidRPr="000B4E0A" w14:paraId="037D3A75" w14:textId="77777777" w:rsidTr="00444DAD">
        <w:trPr>
          <w:trHeight w:val="567"/>
        </w:trPr>
        <w:tc>
          <w:tcPr>
            <w:tcW w:w="1405" w:type="pct"/>
            <w:hideMark/>
          </w:tcPr>
          <w:p w14:paraId="5268AAB5"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F5D11F2" w14:textId="27DC8861" w:rsidR="00CA28AB" w:rsidRPr="00E253DA" w:rsidRDefault="00CA28AB" w:rsidP="00365394">
            <w:pPr>
              <w:spacing w:after="0" w:line="240" w:lineRule="auto"/>
              <w:rPr>
                <w:rFonts w:ascii="Times New Roman" w:eastAsia="Times New Roman" w:hAnsi="Times New Roman" w:cs="Times New Roman"/>
                <w:b/>
                <w:bCs/>
                <w:sz w:val="24"/>
                <w:szCs w:val="24"/>
                <w:lang w:eastAsia="lv-LV"/>
              </w:rPr>
            </w:pPr>
          </w:p>
        </w:tc>
        <w:tc>
          <w:tcPr>
            <w:tcW w:w="3595" w:type="pct"/>
          </w:tcPr>
          <w:p w14:paraId="34B94AD0" w14:textId="3C9446D7" w:rsidR="008A0512" w:rsidRPr="008A0512" w:rsidRDefault="008A0512" w:rsidP="006B649E">
            <w:pPr>
              <w:spacing w:after="120" w:line="240" w:lineRule="auto"/>
              <w:jc w:val="both"/>
              <w:rPr>
                <w:rFonts w:ascii="Times New Roman" w:eastAsia="Times New Roman" w:hAnsi="Times New Roman" w:cs="Times New Roman"/>
                <w:sz w:val="24"/>
                <w:szCs w:val="24"/>
                <w:lang w:eastAsia="lv-LV"/>
              </w:rPr>
            </w:pPr>
            <w:r w:rsidRPr="008A0512">
              <w:rPr>
                <w:rFonts w:ascii="Times New Roman" w:eastAsia="Times New Roman" w:hAnsi="Times New Roman" w:cs="Times New Roman"/>
                <w:sz w:val="24"/>
                <w:szCs w:val="24"/>
                <w:lang w:eastAsia="lv-LV"/>
              </w:rPr>
              <w:t xml:space="preserve">Latvijas Banka ir izstrādājusi </w:t>
            </w:r>
            <w:r w:rsidR="00844576">
              <w:rPr>
                <w:rFonts w:ascii="Times New Roman" w:eastAsia="Times New Roman" w:hAnsi="Times New Roman" w:cs="Times New Roman"/>
                <w:sz w:val="24"/>
                <w:szCs w:val="24"/>
                <w:lang w:eastAsia="lv-LV"/>
              </w:rPr>
              <w:t xml:space="preserve">jaunu </w:t>
            </w:r>
            <w:r w:rsidRPr="008A0512">
              <w:rPr>
                <w:rFonts w:ascii="Times New Roman" w:eastAsia="Times New Roman" w:hAnsi="Times New Roman" w:cs="Times New Roman"/>
                <w:sz w:val="24"/>
                <w:szCs w:val="24"/>
                <w:lang w:eastAsia="lv-LV"/>
              </w:rPr>
              <w:t>noteikumu projektu "</w:t>
            </w:r>
            <w:r w:rsidR="00FB4E27" w:rsidRPr="00FB4E27">
              <w:rPr>
                <w:rFonts w:ascii="Times New Roman" w:eastAsia="Times New Roman" w:hAnsi="Times New Roman" w:cs="Times New Roman"/>
                <w:sz w:val="24"/>
                <w:szCs w:val="24"/>
                <w:lang w:eastAsia="lv-LV"/>
              </w:rPr>
              <w:t>Krājaizdevu sabiedrību</w:t>
            </w:r>
            <w:r w:rsidR="00114D16">
              <w:rPr>
                <w:rFonts w:ascii="Times New Roman" w:eastAsia="Times New Roman" w:hAnsi="Times New Roman" w:cs="Times New Roman"/>
                <w:sz w:val="24"/>
                <w:szCs w:val="24"/>
                <w:lang w:eastAsia="lv-LV"/>
              </w:rPr>
              <w:t xml:space="preserve"> </w:t>
            </w:r>
            <w:r w:rsidR="00FB4E27" w:rsidRPr="00FB4E27">
              <w:rPr>
                <w:rFonts w:ascii="Times New Roman" w:eastAsia="Times New Roman" w:hAnsi="Times New Roman" w:cs="Times New Roman"/>
                <w:sz w:val="24"/>
                <w:szCs w:val="24"/>
                <w:lang w:eastAsia="lv-LV"/>
              </w:rPr>
              <w:t>iekšējās kontroles sistēmas noteikumi</w:t>
            </w:r>
            <w:r w:rsidRPr="008A0512">
              <w:rPr>
                <w:rFonts w:ascii="Times New Roman" w:eastAsia="Times New Roman" w:hAnsi="Times New Roman" w:cs="Times New Roman"/>
                <w:sz w:val="24"/>
                <w:szCs w:val="24"/>
                <w:lang w:eastAsia="lv-LV"/>
              </w:rPr>
              <w:t xml:space="preserve">" (turpmāk – noteikumu projekts), kas aizstās </w:t>
            </w:r>
            <w:r w:rsidR="008F4392">
              <w:rPr>
                <w:rFonts w:ascii="Times New Roman" w:eastAsia="Times New Roman" w:hAnsi="Times New Roman" w:cs="Times New Roman"/>
                <w:sz w:val="24"/>
                <w:szCs w:val="24"/>
                <w:lang w:eastAsia="lv-LV"/>
              </w:rPr>
              <w:t xml:space="preserve">Latvijas Bankas </w:t>
            </w:r>
            <w:r w:rsidR="00387C23" w:rsidRPr="00387C23">
              <w:rPr>
                <w:rFonts w:ascii="Times New Roman" w:eastAsia="Times New Roman" w:hAnsi="Times New Roman" w:cs="Times New Roman"/>
                <w:sz w:val="24"/>
                <w:szCs w:val="24"/>
                <w:lang w:eastAsia="lv-LV"/>
              </w:rPr>
              <w:t>202</w:t>
            </w:r>
            <w:r w:rsidR="008F4392">
              <w:rPr>
                <w:rFonts w:ascii="Times New Roman" w:eastAsia="Times New Roman" w:hAnsi="Times New Roman" w:cs="Times New Roman"/>
                <w:sz w:val="24"/>
                <w:szCs w:val="24"/>
                <w:lang w:eastAsia="lv-LV"/>
              </w:rPr>
              <w:t>4</w:t>
            </w:r>
            <w:r w:rsidR="00387C23" w:rsidRPr="00387C23">
              <w:rPr>
                <w:rFonts w:ascii="Times New Roman" w:eastAsia="Times New Roman" w:hAnsi="Times New Roman" w:cs="Times New Roman"/>
                <w:sz w:val="24"/>
                <w:szCs w:val="24"/>
                <w:lang w:eastAsia="lv-LV"/>
              </w:rPr>
              <w:t>.</w:t>
            </w:r>
            <w:r w:rsidR="0067277C">
              <w:rPr>
                <w:rFonts w:ascii="Times New Roman" w:eastAsia="Times New Roman" w:hAnsi="Times New Roman" w:cs="Times New Roman"/>
                <w:sz w:val="24"/>
                <w:szCs w:val="24"/>
                <w:lang w:eastAsia="lv-LV"/>
              </w:rPr>
              <w:t> </w:t>
            </w:r>
            <w:r w:rsidR="00387C23" w:rsidRPr="00387C23">
              <w:rPr>
                <w:rFonts w:ascii="Times New Roman" w:eastAsia="Times New Roman" w:hAnsi="Times New Roman" w:cs="Times New Roman"/>
                <w:sz w:val="24"/>
                <w:szCs w:val="24"/>
                <w:lang w:eastAsia="lv-LV"/>
              </w:rPr>
              <w:t>gada 2</w:t>
            </w:r>
            <w:r w:rsidR="008F4392">
              <w:rPr>
                <w:rFonts w:ascii="Times New Roman" w:eastAsia="Times New Roman" w:hAnsi="Times New Roman" w:cs="Times New Roman"/>
                <w:sz w:val="24"/>
                <w:szCs w:val="24"/>
                <w:lang w:eastAsia="lv-LV"/>
              </w:rPr>
              <w:t>5</w:t>
            </w:r>
            <w:r w:rsidR="00387C23" w:rsidRPr="00387C23">
              <w:rPr>
                <w:rFonts w:ascii="Times New Roman" w:eastAsia="Times New Roman" w:hAnsi="Times New Roman" w:cs="Times New Roman"/>
                <w:sz w:val="24"/>
                <w:szCs w:val="24"/>
                <w:lang w:eastAsia="lv-LV"/>
              </w:rPr>
              <w:t>.</w:t>
            </w:r>
            <w:r w:rsidR="0067277C">
              <w:rPr>
                <w:rFonts w:ascii="Times New Roman" w:eastAsia="Times New Roman" w:hAnsi="Times New Roman" w:cs="Times New Roman"/>
                <w:sz w:val="24"/>
                <w:szCs w:val="24"/>
                <w:lang w:eastAsia="lv-LV"/>
              </w:rPr>
              <w:t> </w:t>
            </w:r>
            <w:r w:rsidR="008F4392">
              <w:rPr>
                <w:rFonts w:ascii="Times New Roman" w:eastAsia="Times New Roman" w:hAnsi="Times New Roman" w:cs="Times New Roman"/>
                <w:sz w:val="24"/>
                <w:szCs w:val="24"/>
                <w:lang w:eastAsia="lv-LV"/>
              </w:rPr>
              <w:t>marta</w:t>
            </w:r>
            <w:r w:rsidR="00387C23" w:rsidRPr="00387C23">
              <w:rPr>
                <w:rFonts w:ascii="Times New Roman" w:eastAsia="Times New Roman" w:hAnsi="Times New Roman" w:cs="Times New Roman"/>
                <w:sz w:val="24"/>
                <w:szCs w:val="24"/>
                <w:lang w:eastAsia="lv-LV"/>
              </w:rPr>
              <w:t xml:space="preserve"> noteikumus Nr.</w:t>
            </w:r>
            <w:r w:rsidR="0067277C">
              <w:rPr>
                <w:rFonts w:ascii="Times New Roman" w:eastAsia="Times New Roman" w:hAnsi="Times New Roman" w:cs="Times New Roman"/>
                <w:sz w:val="24"/>
                <w:szCs w:val="24"/>
                <w:lang w:eastAsia="lv-LV"/>
              </w:rPr>
              <w:t> </w:t>
            </w:r>
            <w:r w:rsidR="008F4392">
              <w:rPr>
                <w:rFonts w:ascii="Times New Roman" w:eastAsia="Times New Roman" w:hAnsi="Times New Roman" w:cs="Times New Roman"/>
                <w:sz w:val="24"/>
                <w:szCs w:val="24"/>
                <w:lang w:eastAsia="lv-LV"/>
              </w:rPr>
              <w:t>285</w:t>
            </w:r>
            <w:r w:rsidR="00387C23" w:rsidRPr="00387C23">
              <w:rPr>
                <w:rFonts w:ascii="Times New Roman" w:eastAsia="Times New Roman" w:hAnsi="Times New Roman" w:cs="Times New Roman"/>
                <w:sz w:val="24"/>
                <w:szCs w:val="24"/>
                <w:lang w:eastAsia="lv-LV"/>
              </w:rPr>
              <w:t xml:space="preserve"> "Krājaizdevu sabiedrību iekšējās kontroles</w:t>
            </w:r>
            <w:r w:rsidR="007B6E31">
              <w:rPr>
                <w:rFonts w:ascii="Times New Roman" w:eastAsia="Times New Roman" w:hAnsi="Times New Roman" w:cs="Times New Roman"/>
                <w:sz w:val="24"/>
                <w:szCs w:val="24"/>
                <w:lang w:eastAsia="lv-LV"/>
              </w:rPr>
              <w:t xml:space="preserve"> sistēmas</w:t>
            </w:r>
            <w:r w:rsidR="00387C23" w:rsidRPr="00387C23">
              <w:rPr>
                <w:rFonts w:ascii="Times New Roman" w:eastAsia="Times New Roman" w:hAnsi="Times New Roman" w:cs="Times New Roman"/>
                <w:sz w:val="24"/>
                <w:szCs w:val="24"/>
                <w:lang w:eastAsia="lv-LV"/>
              </w:rPr>
              <w:t xml:space="preserve"> noteikumi"</w:t>
            </w:r>
            <w:r w:rsidR="00C463D4">
              <w:rPr>
                <w:rFonts w:ascii="Times New Roman" w:eastAsia="Times New Roman" w:hAnsi="Times New Roman" w:cs="Times New Roman"/>
                <w:sz w:val="24"/>
                <w:szCs w:val="24"/>
                <w:lang w:eastAsia="lv-LV"/>
              </w:rPr>
              <w:t xml:space="preserve"> (turpmāk – Noteikumi Nr. </w:t>
            </w:r>
            <w:r w:rsidR="008F4392">
              <w:rPr>
                <w:rFonts w:ascii="Times New Roman" w:eastAsia="Times New Roman" w:hAnsi="Times New Roman" w:cs="Times New Roman"/>
                <w:sz w:val="24"/>
                <w:szCs w:val="24"/>
                <w:lang w:eastAsia="lv-LV"/>
              </w:rPr>
              <w:t>285</w:t>
            </w:r>
            <w:r w:rsidR="00C463D4">
              <w:rPr>
                <w:rFonts w:ascii="Times New Roman" w:eastAsia="Times New Roman" w:hAnsi="Times New Roman" w:cs="Times New Roman"/>
                <w:sz w:val="24"/>
                <w:szCs w:val="24"/>
                <w:lang w:eastAsia="lv-LV"/>
              </w:rPr>
              <w:t>)</w:t>
            </w:r>
            <w:r w:rsidR="00387C23">
              <w:rPr>
                <w:rFonts w:ascii="Times New Roman" w:eastAsia="Times New Roman" w:hAnsi="Times New Roman" w:cs="Times New Roman"/>
                <w:sz w:val="24"/>
                <w:szCs w:val="24"/>
                <w:lang w:eastAsia="lv-LV"/>
              </w:rPr>
              <w:t xml:space="preserve">. </w:t>
            </w:r>
          </w:p>
          <w:p w14:paraId="69B15679" w14:textId="11F93D8C" w:rsidR="001C62E7" w:rsidRPr="006066CA" w:rsidRDefault="006066CA" w:rsidP="001C62E7">
            <w:pPr>
              <w:spacing w:after="120" w:line="240" w:lineRule="auto"/>
              <w:jc w:val="both"/>
              <w:rPr>
                <w:rFonts w:ascii="Times New Roman" w:eastAsia="Times New Roman" w:hAnsi="Times New Roman" w:cs="Times New Roman"/>
                <w:color w:val="000000"/>
                <w:sz w:val="24"/>
                <w:szCs w:val="24"/>
                <w:lang w:eastAsia="lv-LV"/>
              </w:rPr>
            </w:pPr>
            <w:r w:rsidRPr="006066CA">
              <w:rPr>
                <w:rFonts w:ascii="Times New Roman" w:eastAsia="Times New Roman" w:hAnsi="Times New Roman" w:cs="Times New Roman"/>
                <w:color w:val="000000" w:themeColor="text1"/>
                <w:sz w:val="24"/>
                <w:szCs w:val="24"/>
                <w:lang w:eastAsia="lv-LV"/>
              </w:rPr>
              <w:t>2025. gada 5. jūni</w:t>
            </w:r>
            <w:r>
              <w:rPr>
                <w:rFonts w:ascii="Times New Roman" w:eastAsia="Times New Roman" w:hAnsi="Times New Roman" w:cs="Times New Roman"/>
                <w:color w:val="000000" w:themeColor="text1"/>
                <w:sz w:val="24"/>
                <w:szCs w:val="24"/>
                <w:lang w:eastAsia="lv-LV"/>
              </w:rPr>
              <w:t>ja g</w:t>
            </w:r>
            <w:r w:rsidR="001C62E7">
              <w:rPr>
                <w:rFonts w:ascii="Times New Roman" w:eastAsia="Times New Roman" w:hAnsi="Times New Roman" w:cs="Times New Roman"/>
                <w:color w:val="000000" w:themeColor="text1"/>
                <w:sz w:val="24"/>
                <w:szCs w:val="24"/>
                <w:lang w:eastAsia="lv-LV"/>
              </w:rPr>
              <w:t xml:space="preserve">rozījumi Krājaizdevu sabiedrību likuma </w:t>
            </w:r>
            <w:r w:rsidR="00781160">
              <w:rPr>
                <w:rFonts w:ascii="Times New Roman" w:eastAsia="Times New Roman" w:hAnsi="Times New Roman" w:cs="Times New Roman"/>
                <w:color w:val="000000" w:themeColor="text1"/>
                <w:sz w:val="24"/>
                <w:szCs w:val="24"/>
                <w:lang w:eastAsia="lv-LV"/>
              </w:rPr>
              <w:t>(turpmāk</w:t>
            </w:r>
            <w:r w:rsidR="00A36AB5">
              <w:rPr>
                <w:rFonts w:ascii="Times New Roman" w:eastAsia="Times New Roman" w:hAnsi="Times New Roman" w:cs="Times New Roman"/>
                <w:color w:val="000000" w:themeColor="text1"/>
                <w:sz w:val="24"/>
                <w:szCs w:val="24"/>
                <w:lang w:eastAsia="lv-LV"/>
              </w:rPr>
              <w:t> </w:t>
            </w:r>
            <w:r w:rsidR="00781160">
              <w:rPr>
                <w:rFonts w:ascii="Times New Roman" w:eastAsia="Times New Roman" w:hAnsi="Times New Roman" w:cs="Times New Roman"/>
                <w:color w:val="000000" w:themeColor="text1"/>
                <w:sz w:val="24"/>
                <w:szCs w:val="24"/>
                <w:lang w:eastAsia="lv-LV"/>
              </w:rPr>
              <w:t xml:space="preserve">– Likums) </w:t>
            </w:r>
            <w:r w:rsidR="001C62E7">
              <w:rPr>
                <w:rFonts w:ascii="Times New Roman" w:eastAsia="Times New Roman" w:hAnsi="Times New Roman" w:cs="Times New Roman"/>
                <w:color w:val="000000"/>
                <w:sz w:val="24"/>
                <w:szCs w:val="24"/>
                <w:lang w:eastAsia="lv-LV"/>
              </w:rPr>
              <w:t>20.</w:t>
            </w:r>
            <w:r w:rsidR="00A36AB5">
              <w:rPr>
                <w:rFonts w:ascii="Times New Roman" w:eastAsia="Times New Roman" w:hAnsi="Times New Roman" w:cs="Times New Roman"/>
                <w:color w:val="000000"/>
                <w:sz w:val="24"/>
                <w:szCs w:val="24"/>
                <w:lang w:eastAsia="lv-LV"/>
              </w:rPr>
              <w:t> </w:t>
            </w:r>
            <w:r w:rsidR="001C62E7">
              <w:rPr>
                <w:rFonts w:ascii="Times New Roman" w:eastAsia="Times New Roman" w:hAnsi="Times New Roman" w:cs="Times New Roman"/>
                <w:color w:val="000000"/>
                <w:sz w:val="24"/>
                <w:szCs w:val="24"/>
                <w:lang w:eastAsia="lv-LV"/>
              </w:rPr>
              <w:t xml:space="preserve">panta trīspadsmitajā daļā nosaka, ka Latvijas Banka izdod </w:t>
            </w:r>
            <w:r w:rsidR="001C62E7" w:rsidRPr="006066CA">
              <w:rPr>
                <w:rFonts w:ascii="Times New Roman" w:eastAsia="Times New Roman" w:hAnsi="Times New Roman" w:cs="Times New Roman"/>
                <w:color w:val="000000"/>
                <w:sz w:val="24"/>
                <w:szCs w:val="24"/>
                <w:lang w:eastAsia="lv-LV"/>
              </w:rPr>
              <w:t>noteikumus par</w:t>
            </w:r>
            <w:r w:rsidR="000B20CF">
              <w:rPr>
                <w:rFonts w:ascii="Times New Roman" w:eastAsia="Times New Roman" w:hAnsi="Times New Roman" w:cs="Times New Roman"/>
                <w:color w:val="000000"/>
                <w:sz w:val="24"/>
                <w:szCs w:val="24"/>
                <w:lang w:eastAsia="lv-LV"/>
              </w:rPr>
              <w:t xml:space="preserve"> </w:t>
            </w:r>
            <w:r w:rsidR="001C62E7" w:rsidRPr="006066CA">
              <w:rPr>
                <w:rFonts w:ascii="Times New Roman" w:eastAsia="Times New Roman" w:hAnsi="Times New Roman" w:cs="Times New Roman"/>
                <w:color w:val="000000"/>
                <w:sz w:val="24"/>
                <w:szCs w:val="24"/>
                <w:lang w:eastAsia="lv-LV"/>
              </w:rPr>
              <w:t>krājaizdevu sabiedrības</w:t>
            </w:r>
            <w:r w:rsidR="00F45927" w:rsidRPr="006066CA">
              <w:rPr>
                <w:rFonts w:ascii="Times New Roman" w:eastAsia="Times New Roman" w:hAnsi="Times New Roman" w:cs="Times New Roman"/>
                <w:color w:val="000000"/>
                <w:sz w:val="24"/>
                <w:szCs w:val="24"/>
                <w:lang w:eastAsia="lv-LV"/>
              </w:rPr>
              <w:t xml:space="preserve"> (turpmāk</w:t>
            </w:r>
            <w:r w:rsidR="00A36AB5" w:rsidRPr="006066CA">
              <w:rPr>
                <w:rFonts w:ascii="Times New Roman" w:eastAsia="Times New Roman" w:hAnsi="Times New Roman" w:cs="Times New Roman"/>
                <w:color w:val="000000"/>
                <w:sz w:val="24"/>
                <w:szCs w:val="24"/>
                <w:lang w:eastAsia="lv-LV"/>
              </w:rPr>
              <w:t> </w:t>
            </w:r>
            <w:r w:rsidR="00F45927" w:rsidRPr="006066CA">
              <w:rPr>
                <w:rFonts w:ascii="Times New Roman" w:eastAsia="Times New Roman" w:hAnsi="Times New Roman" w:cs="Times New Roman"/>
                <w:color w:val="000000"/>
                <w:sz w:val="24"/>
                <w:szCs w:val="24"/>
                <w:lang w:eastAsia="lv-LV"/>
              </w:rPr>
              <w:t xml:space="preserve">– </w:t>
            </w:r>
            <w:r w:rsidR="00082629">
              <w:rPr>
                <w:rFonts w:ascii="Times New Roman" w:eastAsia="Times New Roman" w:hAnsi="Times New Roman" w:cs="Times New Roman"/>
                <w:color w:val="000000"/>
                <w:sz w:val="24"/>
                <w:szCs w:val="24"/>
                <w:lang w:eastAsia="lv-LV"/>
              </w:rPr>
              <w:t>S</w:t>
            </w:r>
            <w:r w:rsidR="00F45927" w:rsidRPr="006066CA">
              <w:rPr>
                <w:rFonts w:ascii="Times New Roman" w:eastAsia="Times New Roman" w:hAnsi="Times New Roman" w:cs="Times New Roman"/>
                <w:color w:val="000000"/>
                <w:sz w:val="24"/>
                <w:szCs w:val="24"/>
                <w:lang w:eastAsia="lv-LV"/>
              </w:rPr>
              <w:t>abiedrība)</w:t>
            </w:r>
            <w:r w:rsidR="001C62E7" w:rsidRPr="006066CA">
              <w:rPr>
                <w:rFonts w:ascii="Times New Roman" w:eastAsia="Times New Roman" w:hAnsi="Times New Roman" w:cs="Times New Roman"/>
                <w:color w:val="000000"/>
                <w:sz w:val="24"/>
                <w:szCs w:val="24"/>
                <w:lang w:eastAsia="lv-LV"/>
              </w:rPr>
              <w:t xml:space="preserve"> darbību regulējošo prasību rādītāju aprēķināšanu un kredītriska pārvaldīšanu. </w:t>
            </w:r>
          </w:p>
          <w:p w14:paraId="626AB725" w14:textId="7A016B3D" w:rsidR="001C62E7" w:rsidRDefault="001C62E7" w:rsidP="001C62E7">
            <w:pPr>
              <w:spacing w:after="120" w:line="240" w:lineRule="auto"/>
              <w:jc w:val="both"/>
              <w:rPr>
                <w:rFonts w:ascii="Times New Roman" w:eastAsia="Times New Roman" w:hAnsi="Times New Roman" w:cs="Times New Roman"/>
                <w:color w:val="000000"/>
                <w:sz w:val="24"/>
                <w:szCs w:val="24"/>
                <w:lang w:eastAsia="lv-LV"/>
              </w:rPr>
            </w:pPr>
            <w:r w:rsidRPr="006066CA">
              <w:rPr>
                <w:rFonts w:ascii="Times New Roman" w:eastAsia="Times New Roman" w:hAnsi="Times New Roman" w:cs="Times New Roman"/>
                <w:color w:val="000000"/>
                <w:sz w:val="24"/>
                <w:szCs w:val="24"/>
                <w:lang w:eastAsia="lv-LV"/>
              </w:rPr>
              <w:t xml:space="preserve">Līdz šim kredītriska </w:t>
            </w:r>
            <w:r w:rsidR="00285B6D" w:rsidRPr="006066CA">
              <w:rPr>
                <w:rFonts w:ascii="Times New Roman" w:eastAsia="Times New Roman" w:hAnsi="Times New Roman" w:cs="Times New Roman"/>
                <w:color w:val="000000"/>
                <w:sz w:val="24"/>
                <w:szCs w:val="24"/>
                <w:lang w:eastAsia="lv-LV"/>
              </w:rPr>
              <w:t>pārvaldīšanas prasības bija iekļautas Noteikumu Nr.</w:t>
            </w:r>
            <w:r w:rsidR="00A36AB5" w:rsidRPr="006066CA">
              <w:rPr>
                <w:rFonts w:ascii="Times New Roman" w:eastAsia="Times New Roman" w:hAnsi="Times New Roman" w:cs="Times New Roman"/>
                <w:color w:val="000000"/>
                <w:sz w:val="24"/>
                <w:szCs w:val="24"/>
                <w:lang w:eastAsia="lv-LV"/>
              </w:rPr>
              <w:t> </w:t>
            </w:r>
            <w:r w:rsidR="00285B6D" w:rsidRPr="006066CA">
              <w:rPr>
                <w:rFonts w:ascii="Times New Roman" w:eastAsia="Times New Roman" w:hAnsi="Times New Roman" w:cs="Times New Roman"/>
                <w:color w:val="000000"/>
                <w:sz w:val="24"/>
                <w:szCs w:val="24"/>
                <w:lang w:eastAsia="lv-LV"/>
              </w:rPr>
              <w:t>285 VII</w:t>
            </w:r>
            <w:r w:rsidR="00A36AB5" w:rsidRPr="006066CA">
              <w:rPr>
                <w:rFonts w:ascii="Times New Roman" w:eastAsia="Times New Roman" w:hAnsi="Times New Roman" w:cs="Times New Roman"/>
                <w:color w:val="000000"/>
                <w:sz w:val="24"/>
                <w:szCs w:val="24"/>
                <w:lang w:eastAsia="lv-LV"/>
              </w:rPr>
              <w:t> </w:t>
            </w:r>
            <w:r w:rsidR="00285B6D" w:rsidRPr="006066CA">
              <w:rPr>
                <w:rFonts w:ascii="Times New Roman" w:eastAsia="Times New Roman" w:hAnsi="Times New Roman" w:cs="Times New Roman"/>
                <w:color w:val="000000"/>
                <w:sz w:val="24"/>
                <w:szCs w:val="24"/>
                <w:lang w:eastAsia="lv-LV"/>
              </w:rPr>
              <w:t>nodaļā. Ņemot</w:t>
            </w:r>
            <w:r w:rsidR="00285B6D">
              <w:rPr>
                <w:rFonts w:ascii="Times New Roman" w:eastAsia="Times New Roman" w:hAnsi="Times New Roman" w:cs="Times New Roman"/>
                <w:color w:val="000000"/>
                <w:sz w:val="24"/>
                <w:szCs w:val="24"/>
                <w:lang w:eastAsia="lv-LV"/>
              </w:rPr>
              <w:t xml:space="preserve"> vērā izmaiņas deleģējumā attiecībā uz kredītriska pārvaldīšanu, </w:t>
            </w:r>
            <w:r w:rsidR="00830C0F">
              <w:rPr>
                <w:rFonts w:ascii="Times New Roman" w:eastAsia="Times New Roman" w:hAnsi="Times New Roman" w:cs="Times New Roman"/>
                <w:color w:val="000000"/>
                <w:sz w:val="24"/>
                <w:szCs w:val="24"/>
                <w:lang w:eastAsia="lv-LV"/>
              </w:rPr>
              <w:t xml:space="preserve">šīs </w:t>
            </w:r>
            <w:r w:rsidR="00285B6D">
              <w:rPr>
                <w:rFonts w:ascii="Times New Roman" w:eastAsia="Times New Roman" w:hAnsi="Times New Roman" w:cs="Times New Roman"/>
                <w:color w:val="000000"/>
                <w:sz w:val="24"/>
                <w:szCs w:val="24"/>
                <w:lang w:eastAsia="lv-LV"/>
              </w:rPr>
              <w:t>prasības</w:t>
            </w:r>
            <w:r w:rsidR="000B20CF">
              <w:rPr>
                <w:rFonts w:ascii="Times New Roman" w:eastAsia="Times New Roman" w:hAnsi="Times New Roman" w:cs="Times New Roman"/>
                <w:color w:val="000000"/>
                <w:sz w:val="24"/>
                <w:szCs w:val="24"/>
                <w:lang w:eastAsia="lv-LV"/>
              </w:rPr>
              <w:t xml:space="preserve"> no </w:t>
            </w:r>
            <w:r w:rsidR="000B20CF" w:rsidRPr="006066CA">
              <w:rPr>
                <w:rFonts w:ascii="Times New Roman" w:eastAsia="Times New Roman" w:hAnsi="Times New Roman" w:cs="Times New Roman"/>
                <w:color w:val="000000"/>
                <w:sz w:val="24"/>
                <w:szCs w:val="24"/>
                <w:lang w:eastAsia="lv-LV"/>
              </w:rPr>
              <w:t>Noteikumu Nr. 285</w:t>
            </w:r>
            <w:r w:rsidR="00A82EDB">
              <w:rPr>
                <w:rFonts w:ascii="Times New Roman" w:eastAsia="Times New Roman" w:hAnsi="Times New Roman" w:cs="Times New Roman"/>
                <w:color w:val="000000"/>
                <w:sz w:val="24"/>
                <w:szCs w:val="24"/>
                <w:lang w:eastAsia="lv-LV"/>
              </w:rPr>
              <w:t xml:space="preserve"> VII</w:t>
            </w:r>
            <w:r w:rsidR="00A36AB5">
              <w:rPr>
                <w:rFonts w:ascii="Times New Roman" w:eastAsia="Times New Roman" w:hAnsi="Times New Roman" w:cs="Times New Roman"/>
                <w:color w:val="000000"/>
                <w:sz w:val="24"/>
                <w:szCs w:val="24"/>
                <w:lang w:eastAsia="lv-LV"/>
              </w:rPr>
              <w:t> </w:t>
            </w:r>
            <w:r w:rsidR="00A82EDB">
              <w:rPr>
                <w:rFonts w:ascii="Times New Roman" w:eastAsia="Times New Roman" w:hAnsi="Times New Roman" w:cs="Times New Roman"/>
                <w:color w:val="000000"/>
                <w:sz w:val="24"/>
                <w:szCs w:val="24"/>
                <w:lang w:eastAsia="lv-LV"/>
              </w:rPr>
              <w:t>nodaļ</w:t>
            </w:r>
            <w:r w:rsidR="000B20CF">
              <w:rPr>
                <w:rFonts w:ascii="Times New Roman" w:eastAsia="Times New Roman" w:hAnsi="Times New Roman" w:cs="Times New Roman"/>
                <w:color w:val="000000"/>
                <w:sz w:val="24"/>
                <w:szCs w:val="24"/>
                <w:lang w:eastAsia="lv-LV"/>
              </w:rPr>
              <w:t xml:space="preserve">as tiek </w:t>
            </w:r>
            <w:r w:rsidR="00285B6D">
              <w:rPr>
                <w:rFonts w:ascii="Times New Roman" w:eastAsia="Times New Roman" w:hAnsi="Times New Roman" w:cs="Times New Roman"/>
                <w:color w:val="000000"/>
                <w:sz w:val="24"/>
                <w:szCs w:val="24"/>
                <w:lang w:eastAsia="lv-LV"/>
              </w:rPr>
              <w:t xml:space="preserve">pārceltas uz jaunu noteikumu projektu </w:t>
            </w:r>
            <w:r w:rsidR="00285B6D" w:rsidRPr="005D0C40">
              <w:rPr>
                <w:rFonts w:ascii="Times New Roman" w:eastAsia="Times New Roman" w:hAnsi="Times New Roman" w:cs="Times New Roman"/>
                <w:color w:val="000000"/>
                <w:sz w:val="24"/>
                <w:szCs w:val="24"/>
                <w:lang w:eastAsia="lv-LV"/>
              </w:rPr>
              <w:t xml:space="preserve">"Krājaizdevu sabiedrību </w:t>
            </w:r>
            <w:r w:rsidR="00285B6D">
              <w:rPr>
                <w:rFonts w:ascii="Times New Roman" w:eastAsia="Times New Roman" w:hAnsi="Times New Roman" w:cs="Times New Roman"/>
                <w:color w:val="000000"/>
                <w:sz w:val="24"/>
                <w:szCs w:val="24"/>
                <w:lang w:eastAsia="lv-LV"/>
              </w:rPr>
              <w:t>kredītriska pārvaldīšanas noteikumi</w:t>
            </w:r>
            <w:r w:rsidR="00285B6D" w:rsidRPr="005D0C40">
              <w:rPr>
                <w:rFonts w:ascii="Times New Roman" w:eastAsia="Times New Roman" w:hAnsi="Times New Roman" w:cs="Times New Roman"/>
                <w:color w:val="000000"/>
                <w:sz w:val="24"/>
                <w:szCs w:val="24"/>
                <w:lang w:eastAsia="lv-LV"/>
              </w:rPr>
              <w:t>"</w:t>
            </w:r>
            <w:r w:rsidR="00285B6D">
              <w:rPr>
                <w:rFonts w:ascii="Times New Roman" w:eastAsia="Times New Roman" w:hAnsi="Times New Roman" w:cs="Times New Roman"/>
                <w:color w:val="000000"/>
                <w:sz w:val="24"/>
                <w:szCs w:val="24"/>
                <w:lang w:eastAsia="lv-LV"/>
              </w:rPr>
              <w:t xml:space="preserve">. </w:t>
            </w:r>
          </w:p>
          <w:p w14:paraId="0F7AC89B" w14:textId="3DCC6A10" w:rsidR="00A82EDB" w:rsidRDefault="00387182" w:rsidP="006B649E">
            <w:pPr>
              <w:spacing w:after="12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sz w:val="24"/>
                <w:szCs w:val="24"/>
                <w:lang w:eastAsia="lv-LV"/>
              </w:rPr>
              <w:t xml:space="preserve">Vienlaikus </w:t>
            </w:r>
            <w:r w:rsidR="00F45927">
              <w:rPr>
                <w:rFonts w:ascii="Times New Roman" w:eastAsia="Times New Roman" w:hAnsi="Times New Roman" w:cs="Times New Roman"/>
                <w:sz w:val="24"/>
                <w:szCs w:val="24"/>
                <w:lang w:eastAsia="lv-LV"/>
              </w:rPr>
              <w:t>n</w:t>
            </w:r>
            <w:r w:rsidR="00031718">
              <w:rPr>
                <w:rFonts w:ascii="Times New Roman" w:eastAsia="Times New Roman" w:hAnsi="Times New Roman" w:cs="Times New Roman"/>
                <w:sz w:val="24"/>
                <w:szCs w:val="24"/>
                <w:lang w:eastAsia="lv-LV"/>
              </w:rPr>
              <w:t xml:space="preserve">oteikumu projekts izstrādāts </w:t>
            </w:r>
            <w:r w:rsidR="00D10CA7">
              <w:rPr>
                <w:rFonts w:ascii="Times New Roman" w:eastAsia="Times New Roman" w:hAnsi="Times New Roman" w:cs="Times New Roman"/>
                <w:color w:val="000000" w:themeColor="text1"/>
                <w:sz w:val="24"/>
                <w:szCs w:val="24"/>
                <w:lang w:eastAsia="lv-LV"/>
              </w:rPr>
              <w:t xml:space="preserve">vienkāršošanas iniciatīvas ietvaros </w:t>
            </w:r>
            <w:r w:rsidR="00031718">
              <w:rPr>
                <w:rFonts w:ascii="Times New Roman" w:eastAsia="Times New Roman" w:hAnsi="Times New Roman" w:cs="Times New Roman"/>
                <w:sz w:val="24"/>
                <w:szCs w:val="24"/>
                <w:lang w:eastAsia="lv-LV"/>
              </w:rPr>
              <w:t xml:space="preserve">ar mērķi </w:t>
            </w:r>
            <w:r w:rsidR="00D10CA7">
              <w:rPr>
                <w:rFonts w:ascii="Times New Roman" w:eastAsia="Times New Roman" w:hAnsi="Times New Roman" w:cs="Times New Roman"/>
                <w:color w:val="000000" w:themeColor="text1"/>
                <w:sz w:val="24"/>
                <w:szCs w:val="24"/>
                <w:lang w:eastAsia="lv-LV"/>
              </w:rPr>
              <w:t xml:space="preserve">ieviest </w:t>
            </w:r>
            <w:r w:rsidR="00031718">
              <w:rPr>
                <w:rFonts w:ascii="Times New Roman" w:eastAsia="Times New Roman" w:hAnsi="Times New Roman" w:cs="Times New Roman"/>
                <w:color w:val="000000" w:themeColor="text1"/>
                <w:sz w:val="24"/>
                <w:szCs w:val="24"/>
                <w:lang w:eastAsia="lv-LV"/>
              </w:rPr>
              <w:t>proporcionalitātes princip</w:t>
            </w:r>
            <w:r w:rsidR="00D10CA7">
              <w:rPr>
                <w:rFonts w:ascii="Times New Roman" w:eastAsia="Times New Roman" w:hAnsi="Times New Roman" w:cs="Times New Roman"/>
                <w:color w:val="000000" w:themeColor="text1"/>
                <w:sz w:val="24"/>
                <w:szCs w:val="24"/>
                <w:lang w:eastAsia="lv-LV"/>
              </w:rPr>
              <w:t xml:space="preserve">u </w:t>
            </w:r>
            <w:r w:rsidR="00082629">
              <w:rPr>
                <w:rFonts w:ascii="Times New Roman" w:eastAsia="Times New Roman" w:hAnsi="Times New Roman" w:cs="Times New Roman"/>
                <w:color w:val="000000" w:themeColor="text1"/>
                <w:sz w:val="24"/>
                <w:szCs w:val="24"/>
                <w:lang w:eastAsia="lv-LV"/>
              </w:rPr>
              <w:t>S</w:t>
            </w:r>
            <w:r w:rsidR="00D10CA7">
              <w:rPr>
                <w:rFonts w:ascii="Times New Roman" w:eastAsia="Times New Roman" w:hAnsi="Times New Roman" w:cs="Times New Roman"/>
                <w:color w:val="000000" w:themeColor="text1"/>
                <w:sz w:val="24"/>
                <w:szCs w:val="24"/>
                <w:lang w:eastAsia="lv-LV"/>
              </w:rPr>
              <w:t>abiedrību uzraudzībā</w:t>
            </w:r>
            <w:r w:rsidR="00031718">
              <w:rPr>
                <w:rFonts w:ascii="Times New Roman" w:eastAsia="Times New Roman" w:hAnsi="Times New Roman" w:cs="Times New Roman"/>
                <w:color w:val="000000" w:themeColor="text1"/>
                <w:sz w:val="24"/>
                <w:szCs w:val="24"/>
                <w:lang w:eastAsia="lv-LV"/>
              </w:rPr>
              <w:t>,</w:t>
            </w:r>
            <w:r w:rsidR="00A82EDB">
              <w:rPr>
                <w:rFonts w:ascii="Times New Roman" w:eastAsia="Times New Roman" w:hAnsi="Times New Roman" w:cs="Times New Roman"/>
                <w:color w:val="000000" w:themeColor="text1"/>
                <w:sz w:val="24"/>
                <w:szCs w:val="24"/>
                <w:lang w:eastAsia="lv-LV"/>
              </w:rPr>
              <w:t xml:space="preserve"> </w:t>
            </w:r>
            <w:r w:rsidR="00410A42">
              <w:rPr>
                <w:rFonts w:ascii="Times New Roman" w:eastAsia="Times New Roman" w:hAnsi="Times New Roman" w:cs="Times New Roman"/>
                <w:color w:val="000000" w:themeColor="text1"/>
                <w:sz w:val="24"/>
                <w:szCs w:val="24"/>
                <w:lang w:eastAsia="lv-LV"/>
              </w:rPr>
              <w:t xml:space="preserve">pielāgojot </w:t>
            </w:r>
            <w:r w:rsidR="00A82EDB">
              <w:rPr>
                <w:rFonts w:ascii="Times New Roman" w:eastAsia="Times New Roman" w:hAnsi="Times New Roman" w:cs="Times New Roman"/>
                <w:color w:val="000000" w:themeColor="text1"/>
                <w:sz w:val="24"/>
                <w:szCs w:val="24"/>
                <w:lang w:eastAsia="lv-LV"/>
              </w:rPr>
              <w:t xml:space="preserve">prasības </w:t>
            </w:r>
            <w:r w:rsidR="00082629">
              <w:rPr>
                <w:rFonts w:ascii="Times New Roman" w:eastAsia="Times New Roman" w:hAnsi="Times New Roman" w:cs="Times New Roman"/>
                <w:color w:val="000000" w:themeColor="text1"/>
                <w:sz w:val="24"/>
                <w:szCs w:val="24"/>
                <w:lang w:eastAsia="lv-LV"/>
              </w:rPr>
              <w:t>S</w:t>
            </w:r>
            <w:r w:rsidR="00A82EDB">
              <w:rPr>
                <w:rFonts w:ascii="Times New Roman" w:eastAsia="Times New Roman" w:hAnsi="Times New Roman" w:cs="Times New Roman"/>
                <w:color w:val="000000" w:themeColor="text1"/>
                <w:sz w:val="24"/>
                <w:szCs w:val="24"/>
                <w:lang w:eastAsia="lv-LV"/>
              </w:rPr>
              <w:t xml:space="preserve">abiedrību </w:t>
            </w:r>
            <w:r w:rsidR="00031718" w:rsidRPr="00CA0DE3">
              <w:rPr>
                <w:rFonts w:ascii="Times New Roman" w:eastAsia="Times New Roman" w:hAnsi="Times New Roman" w:cs="Times New Roman"/>
                <w:color w:val="000000" w:themeColor="text1"/>
                <w:sz w:val="24"/>
                <w:szCs w:val="24"/>
                <w:lang w:eastAsia="lv-LV"/>
              </w:rPr>
              <w:t>darbības raksturam, apjomam un sarežģītībai</w:t>
            </w:r>
            <w:r w:rsidR="00A82EDB">
              <w:rPr>
                <w:rFonts w:ascii="Times New Roman" w:eastAsia="Times New Roman" w:hAnsi="Times New Roman" w:cs="Times New Roman"/>
                <w:color w:val="000000" w:themeColor="text1"/>
                <w:sz w:val="24"/>
                <w:szCs w:val="24"/>
                <w:lang w:eastAsia="lv-LV"/>
              </w:rPr>
              <w:t>.</w:t>
            </w:r>
          </w:p>
          <w:p w14:paraId="13730C75" w14:textId="3B18C4A0" w:rsidR="00285B6D" w:rsidRDefault="00A82EDB" w:rsidP="006B649E">
            <w:pPr>
              <w:spacing w:after="120" w:line="240" w:lineRule="auto"/>
              <w:jc w:val="both"/>
              <w:rPr>
                <w:rFonts w:ascii="Times New Roman" w:eastAsia="Times New Roman" w:hAnsi="Times New Roman" w:cs="Times New Roman"/>
                <w:iCs/>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P</w:t>
            </w:r>
            <w:r w:rsidR="00031718">
              <w:rPr>
                <w:rFonts w:ascii="Times New Roman" w:eastAsia="Times New Roman" w:hAnsi="Times New Roman" w:cs="Times New Roman"/>
                <w:iCs/>
                <w:color w:val="000000" w:themeColor="text1"/>
                <w:sz w:val="24"/>
                <w:szCs w:val="24"/>
                <w:lang w:eastAsia="lv-LV"/>
              </w:rPr>
              <w:t>ārmaiņas</w:t>
            </w:r>
            <w:r>
              <w:rPr>
                <w:rFonts w:ascii="Times New Roman" w:eastAsia="Times New Roman" w:hAnsi="Times New Roman" w:cs="Times New Roman"/>
                <w:iCs/>
                <w:color w:val="000000" w:themeColor="text1"/>
                <w:sz w:val="24"/>
                <w:szCs w:val="24"/>
                <w:lang w:eastAsia="lv-LV"/>
              </w:rPr>
              <w:t xml:space="preserve"> </w:t>
            </w:r>
            <w:r w:rsidR="00031718">
              <w:rPr>
                <w:rFonts w:ascii="Times New Roman" w:eastAsia="Times New Roman" w:hAnsi="Times New Roman" w:cs="Times New Roman"/>
                <w:iCs/>
                <w:color w:val="000000" w:themeColor="text1"/>
                <w:sz w:val="24"/>
                <w:szCs w:val="24"/>
                <w:lang w:eastAsia="lv-LV"/>
              </w:rPr>
              <w:t>balstītas uz Latvijas Bankas</w:t>
            </w:r>
            <w:r w:rsidR="00410A42">
              <w:rPr>
                <w:rFonts w:ascii="Times New Roman" w:eastAsia="Times New Roman" w:hAnsi="Times New Roman" w:cs="Times New Roman"/>
                <w:iCs/>
                <w:color w:val="000000" w:themeColor="text1"/>
                <w:sz w:val="24"/>
                <w:szCs w:val="24"/>
                <w:lang w:eastAsia="lv-LV"/>
              </w:rPr>
              <w:t xml:space="preserve"> līdzšinējo</w:t>
            </w:r>
            <w:r w:rsidR="00031718">
              <w:rPr>
                <w:rFonts w:ascii="Times New Roman" w:eastAsia="Times New Roman" w:hAnsi="Times New Roman" w:cs="Times New Roman"/>
                <w:iCs/>
                <w:color w:val="000000" w:themeColor="text1"/>
                <w:sz w:val="24"/>
                <w:szCs w:val="24"/>
                <w:lang w:eastAsia="lv-LV"/>
              </w:rPr>
              <w:t xml:space="preserve"> uzraudzības praksi, pārbaudēs novērotajām problēmām un tipiskākajiem trūkumiem</w:t>
            </w:r>
            <w:r>
              <w:rPr>
                <w:rFonts w:ascii="Times New Roman" w:eastAsia="Times New Roman" w:hAnsi="Times New Roman" w:cs="Times New Roman"/>
                <w:iCs/>
                <w:color w:val="000000" w:themeColor="text1"/>
                <w:sz w:val="24"/>
                <w:szCs w:val="24"/>
                <w:lang w:eastAsia="lv-LV"/>
              </w:rPr>
              <w:t>.</w:t>
            </w:r>
          </w:p>
          <w:p w14:paraId="6823E5B3" w14:textId="2AC640A3" w:rsidR="00A82EDB" w:rsidRPr="0093274E" w:rsidRDefault="00A82EDB" w:rsidP="008154B3">
            <w:pPr>
              <w:spacing w:after="120" w:line="240" w:lineRule="auto"/>
              <w:jc w:val="both"/>
            </w:pPr>
            <w:r>
              <w:rPr>
                <w:rFonts w:ascii="Times New Roman" w:eastAsia="Times New Roman" w:hAnsi="Times New Roman" w:cs="Times New Roman"/>
                <w:color w:val="000000" w:themeColor="text1"/>
                <w:sz w:val="24"/>
                <w:szCs w:val="24"/>
                <w:lang w:eastAsia="lv-LV"/>
              </w:rPr>
              <w:t>Noteikumu projekt</w:t>
            </w:r>
            <w:r w:rsidR="00F45927">
              <w:rPr>
                <w:rFonts w:ascii="Times New Roman" w:eastAsia="Times New Roman" w:hAnsi="Times New Roman" w:cs="Times New Roman"/>
                <w:color w:val="000000" w:themeColor="text1"/>
                <w:sz w:val="24"/>
                <w:szCs w:val="24"/>
                <w:lang w:eastAsia="lv-LV"/>
              </w:rPr>
              <w:t>ā saglabāt</w:t>
            </w:r>
            <w:r w:rsidR="00781160">
              <w:rPr>
                <w:rFonts w:ascii="Times New Roman" w:eastAsia="Times New Roman" w:hAnsi="Times New Roman" w:cs="Times New Roman"/>
                <w:color w:val="000000" w:themeColor="text1"/>
                <w:sz w:val="24"/>
                <w:szCs w:val="24"/>
                <w:lang w:eastAsia="lv-LV"/>
              </w:rPr>
              <w:t>a Noteikumu Nr.</w:t>
            </w:r>
            <w:r w:rsidR="00A36AB5">
              <w:rPr>
                <w:rFonts w:ascii="Times New Roman" w:eastAsia="Times New Roman" w:hAnsi="Times New Roman" w:cs="Times New Roman"/>
                <w:color w:val="000000" w:themeColor="text1"/>
                <w:sz w:val="24"/>
                <w:szCs w:val="24"/>
                <w:lang w:eastAsia="lv-LV"/>
              </w:rPr>
              <w:t> </w:t>
            </w:r>
            <w:r w:rsidR="00781160">
              <w:rPr>
                <w:rFonts w:ascii="Times New Roman" w:eastAsia="Times New Roman" w:hAnsi="Times New Roman" w:cs="Times New Roman"/>
                <w:color w:val="000000" w:themeColor="text1"/>
                <w:sz w:val="24"/>
                <w:szCs w:val="24"/>
                <w:lang w:eastAsia="lv-LV"/>
              </w:rPr>
              <w:t xml:space="preserve">285 struktūra un visi </w:t>
            </w:r>
            <w:r>
              <w:rPr>
                <w:rFonts w:ascii="Times New Roman" w:eastAsia="Times New Roman" w:hAnsi="Times New Roman" w:cs="Times New Roman"/>
                <w:color w:val="000000" w:themeColor="text1"/>
                <w:sz w:val="24"/>
                <w:szCs w:val="24"/>
                <w:lang w:eastAsia="lv-LV"/>
              </w:rPr>
              <w:t>iekļaujam</w:t>
            </w:r>
            <w:r w:rsidR="00781160">
              <w:rPr>
                <w:rFonts w:ascii="Times New Roman" w:eastAsia="Times New Roman" w:hAnsi="Times New Roman" w:cs="Times New Roman"/>
                <w:color w:val="000000" w:themeColor="text1"/>
                <w:sz w:val="24"/>
                <w:szCs w:val="24"/>
                <w:lang w:eastAsia="lv-LV"/>
              </w:rPr>
              <w:t>ie</w:t>
            </w:r>
            <w:r>
              <w:rPr>
                <w:rFonts w:ascii="Times New Roman" w:eastAsia="Times New Roman" w:hAnsi="Times New Roman" w:cs="Times New Roman"/>
                <w:color w:val="000000" w:themeColor="text1"/>
                <w:sz w:val="24"/>
                <w:szCs w:val="24"/>
                <w:lang w:eastAsia="lv-LV"/>
              </w:rPr>
              <w:t xml:space="preserve"> iekšējās kontroles sistēmas element</w:t>
            </w:r>
            <w:r w:rsidR="0093274E">
              <w:rPr>
                <w:rFonts w:ascii="Times New Roman" w:eastAsia="Times New Roman" w:hAnsi="Times New Roman" w:cs="Times New Roman"/>
                <w:color w:val="000000" w:themeColor="text1"/>
                <w:sz w:val="24"/>
                <w:szCs w:val="24"/>
                <w:lang w:eastAsia="lv-LV"/>
              </w:rPr>
              <w:t>i</w:t>
            </w:r>
            <w:r w:rsidR="00781160">
              <w:rPr>
                <w:rFonts w:ascii="Times New Roman" w:eastAsia="Times New Roman" w:hAnsi="Times New Roman" w:cs="Times New Roman"/>
                <w:color w:val="000000" w:themeColor="text1"/>
                <w:sz w:val="24"/>
                <w:szCs w:val="24"/>
                <w:lang w:eastAsia="lv-LV"/>
              </w:rPr>
              <w:t xml:space="preserve">, izņemot </w:t>
            </w:r>
            <w:r w:rsidR="00387182">
              <w:rPr>
                <w:rFonts w:ascii="Times New Roman" w:eastAsia="Times New Roman" w:hAnsi="Times New Roman" w:cs="Times New Roman"/>
                <w:color w:val="000000"/>
                <w:sz w:val="24"/>
                <w:szCs w:val="24"/>
                <w:lang w:eastAsia="lv-LV"/>
              </w:rPr>
              <w:t>k</w:t>
            </w:r>
            <w:r w:rsidR="00781160">
              <w:rPr>
                <w:rFonts w:ascii="Times New Roman" w:eastAsia="Times New Roman" w:hAnsi="Times New Roman" w:cs="Times New Roman"/>
                <w:color w:val="000000"/>
                <w:sz w:val="24"/>
                <w:szCs w:val="24"/>
                <w:lang w:eastAsia="lv-LV"/>
              </w:rPr>
              <w:t>redītriska pārvaldīšan</w:t>
            </w:r>
            <w:r w:rsidR="00387182">
              <w:rPr>
                <w:rFonts w:ascii="Times New Roman" w:eastAsia="Times New Roman" w:hAnsi="Times New Roman" w:cs="Times New Roman"/>
                <w:color w:val="000000"/>
                <w:sz w:val="24"/>
                <w:szCs w:val="24"/>
                <w:lang w:eastAsia="lv-LV"/>
              </w:rPr>
              <w:t>u</w:t>
            </w:r>
            <w:r w:rsidR="00E45B03">
              <w:rPr>
                <w:rFonts w:ascii="Times New Roman" w:eastAsia="Times New Roman" w:hAnsi="Times New Roman" w:cs="Times New Roman"/>
                <w:color w:val="000000"/>
                <w:sz w:val="24"/>
                <w:szCs w:val="24"/>
                <w:lang w:eastAsia="lv-LV"/>
              </w:rPr>
              <w:t>.</w:t>
            </w:r>
            <w:r w:rsidR="00781160">
              <w:rPr>
                <w:rFonts w:ascii="Times New Roman" w:eastAsia="Times New Roman" w:hAnsi="Times New Roman" w:cs="Times New Roman"/>
                <w:color w:val="000000"/>
                <w:sz w:val="24"/>
                <w:szCs w:val="24"/>
                <w:lang w:eastAsia="lv-LV"/>
              </w:rPr>
              <w:t xml:space="preserve"> S</w:t>
            </w:r>
            <w:r w:rsidR="0093274E">
              <w:rPr>
                <w:rFonts w:ascii="Times New Roman" w:eastAsia="Times New Roman" w:hAnsi="Times New Roman" w:cs="Times New Roman"/>
                <w:color w:val="000000" w:themeColor="text1"/>
                <w:sz w:val="24"/>
                <w:szCs w:val="24"/>
                <w:lang w:eastAsia="lv-LV"/>
              </w:rPr>
              <w:t>alīdzinājumā ar Noteikumiem Nr.</w:t>
            </w:r>
            <w:r w:rsidR="00A36AB5">
              <w:rPr>
                <w:rFonts w:ascii="Times New Roman" w:eastAsia="Times New Roman" w:hAnsi="Times New Roman" w:cs="Times New Roman"/>
                <w:color w:val="000000" w:themeColor="text1"/>
                <w:sz w:val="24"/>
                <w:szCs w:val="24"/>
                <w:lang w:eastAsia="lv-LV"/>
              </w:rPr>
              <w:t> </w:t>
            </w:r>
            <w:r w:rsidR="0093274E">
              <w:rPr>
                <w:rFonts w:ascii="Times New Roman" w:eastAsia="Times New Roman" w:hAnsi="Times New Roman" w:cs="Times New Roman"/>
                <w:color w:val="000000" w:themeColor="text1"/>
                <w:sz w:val="24"/>
                <w:szCs w:val="24"/>
                <w:lang w:eastAsia="lv-LV"/>
              </w:rPr>
              <w:t xml:space="preserve">285 </w:t>
            </w:r>
            <w:r w:rsidR="00387182">
              <w:rPr>
                <w:rFonts w:ascii="Times New Roman" w:eastAsia="Times New Roman" w:hAnsi="Times New Roman" w:cs="Times New Roman"/>
                <w:color w:val="000000" w:themeColor="text1"/>
                <w:sz w:val="24"/>
                <w:szCs w:val="24"/>
                <w:lang w:eastAsia="lv-LV"/>
              </w:rPr>
              <w:t xml:space="preserve">noteikumu projekts paredz </w:t>
            </w:r>
            <w:r w:rsidR="0093274E">
              <w:rPr>
                <w:rFonts w:ascii="Times New Roman" w:eastAsia="Times New Roman" w:hAnsi="Times New Roman" w:cs="Times New Roman"/>
                <w:color w:val="000000" w:themeColor="text1"/>
                <w:sz w:val="24"/>
                <w:szCs w:val="24"/>
                <w:lang w:eastAsia="lv-LV"/>
              </w:rPr>
              <w:t>šādas pārmaiņas:</w:t>
            </w:r>
          </w:p>
          <w:p w14:paraId="72D5FAFC" w14:textId="6538713B" w:rsidR="00410A42" w:rsidRDefault="00A36AB5" w:rsidP="00754658">
            <w:pPr>
              <w:pStyle w:val="ListParagraph"/>
              <w:numPr>
                <w:ilvl w:val="0"/>
                <w:numId w:val="16"/>
              </w:numPr>
              <w:spacing w:after="120" w:line="240" w:lineRule="auto"/>
              <w:contextualSpacing w:val="0"/>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iCs/>
                <w:color w:val="000000" w:themeColor="text1"/>
                <w:sz w:val="24"/>
                <w:szCs w:val="24"/>
                <w:lang w:eastAsia="lv-LV"/>
              </w:rPr>
              <w:t>i</w:t>
            </w:r>
            <w:r w:rsidR="0093274E">
              <w:rPr>
                <w:rFonts w:ascii="Times New Roman" w:eastAsia="Times New Roman" w:hAnsi="Times New Roman" w:cs="Times New Roman"/>
                <w:iCs/>
                <w:color w:val="000000" w:themeColor="text1"/>
                <w:sz w:val="24"/>
                <w:szCs w:val="24"/>
                <w:lang w:eastAsia="lv-LV"/>
              </w:rPr>
              <w:t xml:space="preserve">eviesti divi jauni termini </w:t>
            </w:r>
            <w:r w:rsidR="0093274E" w:rsidRPr="005D0C40">
              <w:rPr>
                <w:rFonts w:ascii="Times New Roman" w:eastAsia="Times New Roman" w:hAnsi="Times New Roman" w:cs="Times New Roman"/>
                <w:color w:val="000000"/>
                <w:sz w:val="24"/>
                <w:szCs w:val="24"/>
                <w:lang w:eastAsia="lv-LV"/>
              </w:rPr>
              <w:t>"</w:t>
            </w:r>
            <w:r w:rsidR="006B534D">
              <w:rPr>
                <w:rFonts w:ascii="Times New Roman" w:eastAsia="Times New Roman" w:hAnsi="Times New Roman" w:cs="Times New Roman"/>
                <w:color w:val="000000"/>
                <w:sz w:val="24"/>
                <w:szCs w:val="24"/>
                <w:lang w:eastAsia="lv-LV"/>
              </w:rPr>
              <w:t xml:space="preserve">nozīmīga </w:t>
            </w:r>
            <w:r w:rsidR="00F703B1">
              <w:rPr>
                <w:rFonts w:ascii="Times New Roman" w:eastAsia="Times New Roman" w:hAnsi="Times New Roman" w:cs="Times New Roman"/>
                <w:color w:val="000000"/>
                <w:sz w:val="24"/>
                <w:szCs w:val="24"/>
                <w:lang w:eastAsia="lv-LV"/>
              </w:rPr>
              <w:t>s</w:t>
            </w:r>
            <w:r w:rsidR="006B534D">
              <w:rPr>
                <w:rFonts w:ascii="Times New Roman" w:eastAsia="Times New Roman" w:hAnsi="Times New Roman" w:cs="Times New Roman"/>
                <w:color w:val="000000"/>
                <w:sz w:val="24"/>
                <w:szCs w:val="24"/>
                <w:lang w:eastAsia="lv-LV"/>
              </w:rPr>
              <w:t>abiedrība</w:t>
            </w:r>
            <w:r w:rsidR="0093274E" w:rsidRPr="005D0C40">
              <w:rPr>
                <w:rFonts w:ascii="Times New Roman" w:eastAsia="Times New Roman" w:hAnsi="Times New Roman" w:cs="Times New Roman"/>
                <w:color w:val="000000"/>
                <w:sz w:val="24"/>
                <w:szCs w:val="24"/>
                <w:lang w:eastAsia="lv-LV"/>
              </w:rPr>
              <w:t>"</w:t>
            </w:r>
            <w:r w:rsidR="006B534D">
              <w:rPr>
                <w:rFonts w:ascii="Times New Roman" w:eastAsia="Times New Roman" w:hAnsi="Times New Roman" w:cs="Times New Roman"/>
                <w:color w:val="000000"/>
                <w:sz w:val="24"/>
                <w:szCs w:val="24"/>
                <w:lang w:eastAsia="lv-LV"/>
              </w:rPr>
              <w:t xml:space="preserve"> un </w:t>
            </w:r>
            <w:r w:rsidR="0093274E" w:rsidRPr="005D0C40">
              <w:rPr>
                <w:rFonts w:ascii="Times New Roman" w:eastAsia="Times New Roman" w:hAnsi="Times New Roman" w:cs="Times New Roman"/>
                <w:color w:val="000000"/>
                <w:sz w:val="24"/>
                <w:szCs w:val="24"/>
                <w:lang w:eastAsia="lv-LV"/>
              </w:rPr>
              <w:t>"</w:t>
            </w:r>
            <w:r w:rsidR="006B534D">
              <w:rPr>
                <w:rFonts w:ascii="Times New Roman" w:eastAsia="Times New Roman" w:hAnsi="Times New Roman" w:cs="Times New Roman"/>
                <w:color w:val="000000"/>
                <w:sz w:val="24"/>
                <w:szCs w:val="24"/>
                <w:lang w:eastAsia="lv-LV"/>
              </w:rPr>
              <w:t xml:space="preserve">mazāk nozīmīga </w:t>
            </w:r>
            <w:r w:rsidR="00F703B1">
              <w:rPr>
                <w:rFonts w:ascii="Times New Roman" w:eastAsia="Times New Roman" w:hAnsi="Times New Roman" w:cs="Times New Roman"/>
                <w:color w:val="000000"/>
                <w:sz w:val="24"/>
                <w:szCs w:val="24"/>
                <w:lang w:eastAsia="lv-LV"/>
              </w:rPr>
              <w:t>s</w:t>
            </w:r>
            <w:r w:rsidR="006B534D">
              <w:rPr>
                <w:rFonts w:ascii="Times New Roman" w:eastAsia="Times New Roman" w:hAnsi="Times New Roman" w:cs="Times New Roman"/>
                <w:color w:val="000000"/>
                <w:sz w:val="24"/>
                <w:szCs w:val="24"/>
                <w:lang w:eastAsia="lv-LV"/>
              </w:rPr>
              <w:t>abiedrība</w:t>
            </w:r>
            <w:r w:rsidR="0093274E" w:rsidRPr="005D0C40">
              <w:rPr>
                <w:rFonts w:ascii="Times New Roman" w:eastAsia="Times New Roman" w:hAnsi="Times New Roman" w:cs="Times New Roman"/>
                <w:color w:val="000000"/>
                <w:sz w:val="24"/>
                <w:szCs w:val="24"/>
                <w:lang w:eastAsia="lv-LV"/>
              </w:rPr>
              <w:t>"</w:t>
            </w:r>
            <w:r w:rsidR="006B534D">
              <w:rPr>
                <w:rFonts w:ascii="Times New Roman" w:eastAsia="Times New Roman" w:hAnsi="Times New Roman" w:cs="Times New Roman"/>
                <w:color w:val="000000"/>
                <w:sz w:val="24"/>
                <w:szCs w:val="24"/>
                <w:lang w:eastAsia="lv-LV"/>
              </w:rPr>
              <w:t xml:space="preserve">. </w:t>
            </w:r>
            <w:r w:rsidR="00387182">
              <w:rPr>
                <w:rFonts w:ascii="Times New Roman" w:eastAsia="Times New Roman" w:hAnsi="Times New Roman" w:cs="Times New Roman"/>
                <w:color w:val="000000"/>
                <w:sz w:val="24"/>
                <w:szCs w:val="24"/>
                <w:lang w:eastAsia="lv-LV"/>
              </w:rPr>
              <w:t>Šā iedalījuma</w:t>
            </w:r>
            <w:r w:rsidR="006B534D">
              <w:rPr>
                <w:rFonts w:ascii="Times New Roman" w:eastAsia="Times New Roman" w:hAnsi="Times New Roman" w:cs="Times New Roman"/>
                <w:color w:val="000000"/>
                <w:sz w:val="24"/>
                <w:szCs w:val="24"/>
                <w:lang w:eastAsia="lv-LV"/>
              </w:rPr>
              <w:t xml:space="preserve"> mērķis ir ieviest proporcionālāku pieeju </w:t>
            </w:r>
            <w:r w:rsidR="00082629">
              <w:rPr>
                <w:rFonts w:ascii="Times New Roman" w:eastAsia="Times New Roman" w:hAnsi="Times New Roman" w:cs="Times New Roman"/>
                <w:color w:val="000000"/>
                <w:sz w:val="24"/>
                <w:szCs w:val="24"/>
                <w:lang w:eastAsia="lv-LV"/>
              </w:rPr>
              <w:t>S</w:t>
            </w:r>
            <w:r w:rsidR="006B534D">
              <w:rPr>
                <w:rFonts w:ascii="Times New Roman" w:eastAsia="Times New Roman" w:hAnsi="Times New Roman" w:cs="Times New Roman"/>
                <w:color w:val="000000"/>
                <w:sz w:val="24"/>
                <w:szCs w:val="24"/>
                <w:lang w:eastAsia="lv-LV"/>
              </w:rPr>
              <w:t>abiedrību uzraudzībā, atvieglot vairākas prasības iekšējās kontroles sistēmas izveidē, kā arī samazināt administratīvo slogu mazā</w:t>
            </w:r>
            <w:r w:rsidR="00781160">
              <w:rPr>
                <w:rFonts w:ascii="Times New Roman" w:eastAsia="Times New Roman" w:hAnsi="Times New Roman" w:cs="Times New Roman"/>
                <w:color w:val="000000"/>
                <w:sz w:val="24"/>
                <w:szCs w:val="24"/>
                <w:lang w:eastAsia="lv-LV"/>
              </w:rPr>
              <w:t>kā</w:t>
            </w:r>
            <w:r w:rsidR="006B534D">
              <w:rPr>
                <w:rFonts w:ascii="Times New Roman" w:eastAsia="Times New Roman" w:hAnsi="Times New Roman" w:cs="Times New Roman"/>
                <w:color w:val="000000"/>
                <w:sz w:val="24"/>
                <w:szCs w:val="24"/>
                <w:lang w:eastAsia="lv-LV"/>
              </w:rPr>
              <w:t xml:space="preserve">m </w:t>
            </w:r>
            <w:r w:rsidR="00082629">
              <w:rPr>
                <w:rFonts w:ascii="Times New Roman" w:eastAsia="Times New Roman" w:hAnsi="Times New Roman" w:cs="Times New Roman"/>
                <w:color w:val="000000"/>
                <w:sz w:val="24"/>
                <w:szCs w:val="24"/>
                <w:lang w:eastAsia="lv-LV"/>
              </w:rPr>
              <w:t>S</w:t>
            </w:r>
            <w:r w:rsidR="006B534D">
              <w:rPr>
                <w:rFonts w:ascii="Times New Roman" w:eastAsia="Times New Roman" w:hAnsi="Times New Roman" w:cs="Times New Roman"/>
                <w:color w:val="000000"/>
                <w:sz w:val="24"/>
                <w:szCs w:val="24"/>
                <w:lang w:eastAsia="lv-LV"/>
              </w:rPr>
              <w:t xml:space="preserve">abiedrībām, kuru bilances aktīvu vidējā vērtība nepārsniedz </w:t>
            </w:r>
            <w:r w:rsidR="00E9482F">
              <w:rPr>
                <w:rFonts w:ascii="Times New Roman" w:eastAsia="Times New Roman" w:hAnsi="Times New Roman" w:cs="Times New Roman"/>
                <w:color w:val="000000"/>
                <w:sz w:val="24"/>
                <w:szCs w:val="24"/>
                <w:lang w:eastAsia="lv-LV"/>
              </w:rPr>
              <w:t>piecus</w:t>
            </w:r>
            <w:r w:rsidR="00E333F8">
              <w:rPr>
                <w:rFonts w:ascii="Times New Roman" w:eastAsia="Times New Roman" w:hAnsi="Times New Roman" w:cs="Times New Roman"/>
                <w:color w:val="000000"/>
                <w:sz w:val="24"/>
                <w:szCs w:val="24"/>
                <w:lang w:eastAsia="lv-LV"/>
              </w:rPr>
              <w:t> </w:t>
            </w:r>
            <w:r w:rsidR="006B534D">
              <w:rPr>
                <w:rFonts w:ascii="Times New Roman" w:eastAsia="Times New Roman" w:hAnsi="Times New Roman" w:cs="Times New Roman"/>
                <w:color w:val="000000"/>
                <w:sz w:val="24"/>
                <w:szCs w:val="24"/>
                <w:lang w:eastAsia="lv-LV"/>
              </w:rPr>
              <w:t>miljonu</w:t>
            </w:r>
            <w:r w:rsidR="00921599">
              <w:rPr>
                <w:rFonts w:ascii="Times New Roman" w:eastAsia="Times New Roman" w:hAnsi="Times New Roman" w:cs="Times New Roman"/>
                <w:color w:val="000000"/>
                <w:sz w:val="24"/>
                <w:szCs w:val="24"/>
                <w:lang w:eastAsia="lv-LV"/>
              </w:rPr>
              <w:t>s</w:t>
            </w:r>
            <w:r w:rsidR="006A2061">
              <w:rPr>
                <w:rFonts w:ascii="Times New Roman" w:eastAsia="Times New Roman" w:hAnsi="Times New Roman" w:cs="Times New Roman"/>
                <w:color w:val="000000"/>
                <w:sz w:val="24"/>
                <w:szCs w:val="24"/>
                <w:lang w:eastAsia="lv-LV"/>
              </w:rPr>
              <w:t> </w:t>
            </w:r>
            <w:proofErr w:type="spellStart"/>
            <w:r w:rsidR="006B534D" w:rsidRPr="006B534D">
              <w:rPr>
                <w:rFonts w:ascii="Times New Roman" w:eastAsia="Times New Roman" w:hAnsi="Times New Roman" w:cs="Times New Roman"/>
                <w:i/>
                <w:iCs/>
                <w:color w:val="000000"/>
                <w:sz w:val="24"/>
                <w:szCs w:val="24"/>
                <w:lang w:eastAsia="lv-LV"/>
              </w:rPr>
              <w:t>euro</w:t>
            </w:r>
            <w:proofErr w:type="spellEnd"/>
            <w:r w:rsidR="006B534D">
              <w:rPr>
                <w:rFonts w:ascii="Times New Roman" w:eastAsia="Times New Roman" w:hAnsi="Times New Roman" w:cs="Times New Roman"/>
                <w:color w:val="000000"/>
                <w:sz w:val="24"/>
                <w:szCs w:val="24"/>
                <w:lang w:eastAsia="lv-LV"/>
              </w:rPr>
              <w:t xml:space="preserve"> četru gadu laikā pirms attiecīgā finanšu gada. </w:t>
            </w:r>
            <w:r w:rsidR="00921599" w:rsidRPr="00921599">
              <w:rPr>
                <w:rFonts w:ascii="Times New Roman" w:hAnsi="Times New Roman" w:cs="Times New Roman"/>
                <w:iCs/>
                <w:sz w:val="24"/>
                <w:szCs w:val="24"/>
              </w:rPr>
              <w:t>Latvijas Bankas vērtējumā sabiedrības aktīvu apmērs ir pamatoti izvēlēts kritērijs, lai atspoguļotu sabiedrības nozīmīgumu un vietu sektorā. To kā būtiskuma kritēriju izmanto tirgus dalībnieku novērtēšanai arī citos sektoros, ņemot vērā</w:t>
            </w:r>
            <w:r w:rsidR="006A2061">
              <w:rPr>
                <w:rFonts w:ascii="Times New Roman" w:hAnsi="Times New Roman" w:cs="Times New Roman"/>
                <w:iCs/>
                <w:sz w:val="24"/>
                <w:szCs w:val="24"/>
              </w:rPr>
              <w:t>,</w:t>
            </w:r>
            <w:r w:rsidR="00921599" w:rsidRPr="00921599">
              <w:rPr>
                <w:rFonts w:ascii="Times New Roman" w:hAnsi="Times New Roman" w:cs="Times New Roman"/>
                <w:iCs/>
                <w:sz w:val="24"/>
                <w:szCs w:val="24"/>
              </w:rPr>
              <w:t xml:space="preserve"> k</w:t>
            </w:r>
            <w:r w:rsidR="00E9482F">
              <w:rPr>
                <w:rFonts w:ascii="Times New Roman" w:hAnsi="Times New Roman" w:cs="Times New Roman"/>
                <w:iCs/>
                <w:sz w:val="24"/>
                <w:szCs w:val="24"/>
              </w:rPr>
              <w:t>a</w:t>
            </w:r>
            <w:r w:rsidR="00921599" w:rsidRPr="00921599">
              <w:rPr>
                <w:rFonts w:ascii="Times New Roman" w:hAnsi="Times New Roman" w:cs="Times New Roman"/>
                <w:iCs/>
                <w:sz w:val="24"/>
                <w:szCs w:val="24"/>
              </w:rPr>
              <w:t xml:space="preserve"> ar aktīviem ir saistīti tirgus dalībnieka darbības riski un līdz ar to arī uzraudzības intensitāte</w:t>
            </w:r>
            <w:r w:rsidR="00D728EA">
              <w:rPr>
                <w:rFonts w:ascii="Times New Roman" w:hAnsi="Times New Roman" w:cs="Times New Roman"/>
                <w:iCs/>
                <w:sz w:val="24"/>
                <w:szCs w:val="24"/>
              </w:rPr>
              <w:t>. Sabiedrības līdzdalības procesā saņemto komentāru rezultātā r</w:t>
            </w:r>
            <w:r w:rsidR="003E4E9A">
              <w:rPr>
                <w:rFonts w:ascii="Times New Roman" w:eastAsia="Times New Roman" w:hAnsi="Times New Roman" w:cs="Times New Roman"/>
                <w:color w:val="000000"/>
                <w:sz w:val="24"/>
                <w:szCs w:val="24"/>
                <w:lang w:eastAsia="lv-LV"/>
              </w:rPr>
              <w:t xml:space="preserve">obežvērtība </w:t>
            </w:r>
            <w:r w:rsidR="003F75AD">
              <w:rPr>
                <w:rFonts w:ascii="Times New Roman" w:eastAsia="Times New Roman" w:hAnsi="Times New Roman" w:cs="Times New Roman"/>
                <w:color w:val="000000"/>
                <w:sz w:val="24"/>
                <w:szCs w:val="24"/>
                <w:lang w:eastAsia="lv-LV"/>
              </w:rPr>
              <w:t>1</w:t>
            </w:r>
            <w:r w:rsidR="00E333F8">
              <w:rPr>
                <w:rFonts w:ascii="Times New Roman" w:eastAsia="Times New Roman" w:hAnsi="Times New Roman" w:cs="Times New Roman"/>
                <w:color w:val="000000"/>
                <w:sz w:val="24"/>
                <w:szCs w:val="24"/>
                <w:lang w:eastAsia="lv-LV"/>
              </w:rPr>
              <w:t> </w:t>
            </w:r>
            <w:r w:rsidR="003E4E9A">
              <w:rPr>
                <w:rFonts w:ascii="Times New Roman" w:eastAsia="Times New Roman" w:hAnsi="Times New Roman" w:cs="Times New Roman"/>
                <w:color w:val="000000"/>
                <w:sz w:val="24"/>
                <w:szCs w:val="24"/>
                <w:lang w:eastAsia="lv-LV"/>
              </w:rPr>
              <w:t xml:space="preserve">miljons </w:t>
            </w:r>
            <w:proofErr w:type="spellStart"/>
            <w:r w:rsidR="003E4E9A" w:rsidRPr="003E4E9A">
              <w:rPr>
                <w:rFonts w:ascii="Times New Roman" w:eastAsia="Times New Roman" w:hAnsi="Times New Roman" w:cs="Times New Roman"/>
                <w:i/>
                <w:iCs/>
                <w:color w:val="000000"/>
                <w:sz w:val="24"/>
                <w:szCs w:val="24"/>
                <w:lang w:eastAsia="lv-LV"/>
              </w:rPr>
              <w:t>euro</w:t>
            </w:r>
            <w:proofErr w:type="spellEnd"/>
            <w:r w:rsidR="003E4E9A">
              <w:rPr>
                <w:rFonts w:ascii="Times New Roman" w:eastAsia="Times New Roman" w:hAnsi="Times New Roman" w:cs="Times New Roman"/>
                <w:color w:val="000000"/>
                <w:sz w:val="24"/>
                <w:szCs w:val="24"/>
                <w:lang w:eastAsia="lv-LV"/>
              </w:rPr>
              <w:t xml:space="preserve"> </w:t>
            </w:r>
            <w:r w:rsidR="00D728EA">
              <w:rPr>
                <w:rFonts w:ascii="Times New Roman" w:eastAsia="Times New Roman" w:hAnsi="Times New Roman" w:cs="Times New Roman"/>
                <w:color w:val="000000"/>
                <w:sz w:val="24"/>
                <w:szCs w:val="24"/>
                <w:lang w:eastAsia="lv-LV"/>
              </w:rPr>
              <w:t xml:space="preserve">mainīta </w:t>
            </w:r>
            <w:r w:rsidR="006A2061">
              <w:rPr>
                <w:rFonts w:ascii="Times New Roman" w:eastAsia="Times New Roman" w:hAnsi="Times New Roman" w:cs="Times New Roman"/>
                <w:color w:val="000000"/>
                <w:sz w:val="24"/>
                <w:szCs w:val="24"/>
                <w:lang w:eastAsia="lv-LV"/>
              </w:rPr>
              <w:t xml:space="preserve">pret </w:t>
            </w:r>
            <w:r w:rsidR="00E9482F">
              <w:rPr>
                <w:rFonts w:ascii="Times New Roman" w:eastAsia="Times New Roman" w:hAnsi="Times New Roman" w:cs="Times New Roman"/>
                <w:color w:val="000000"/>
                <w:sz w:val="24"/>
                <w:szCs w:val="24"/>
                <w:lang w:eastAsia="lv-LV"/>
              </w:rPr>
              <w:t>pieciem</w:t>
            </w:r>
            <w:r w:rsidR="006A2061">
              <w:rPr>
                <w:rFonts w:ascii="Times New Roman" w:eastAsia="Times New Roman" w:hAnsi="Times New Roman" w:cs="Times New Roman"/>
                <w:color w:val="000000"/>
                <w:sz w:val="24"/>
                <w:szCs w:val="24"/>
                <w:lang w:eastAsia="lv-LV"/>
              </w:rPr>
              <w:t> </w:t>
            </w:r>
            <w:r w:rsidR="00D728EA">
              <w:rPr>
                <w:rFonts w:ascii="Times New Roman" w:eastAsia="Times New Roman" w:hAnsi="Times New Roman" w:cs="Times New Roman"/>
                <w:color w:val="000000"/>
                <w:sz w:val="24"/>
                <w:szCs w:val="24"/>
                <w:lang w:eastAsia="lv-LV"/>
              </w:rPr>
              <w:t>miljoniem</w:t>
            </w:r>
            <w:r w:rsidR="006A2061">
              <w:rPr>
                <w:rFonts w:ascii="Times New Roman" w:eastAsia="Times New Roman" w:hAnsi="Times New Roman" w:cs="Times New Roman"/>
                <w:color w:val="000000"/>
                <w:sz w:val="24"/>
                <w:szCs w:val="24"/>
                <w:lang w:eastAsia="lv-LV"/>
              </w:rPr>
              <w:t> </w:t>
            </w:r>
            <w:proofErr w:type="spellStart"/>
            <w:r w:rsidR="00D728EA" w:rsidRPr="00D728EA">
              <w:rPr>
                <w:rFonts w:ascii="Times New Roman" w:eastAsia="Times New Roman" w:hAnsi="Times New Roman" w:cs="Times New Roman"/>
                <w:i/>
                <w:iCs/>
                <w:color w:val="000000"/>
                <w:sz w:val="24"/>
                <w:szCs w:val="24"/>
                <w:lang w:eastAsia="lv-LV"/>
              </w:rPr>
              <w:t>euro</w:t>
            </w:r>
            <w:proofErr w:type="spellEnd"/>
            <w:r w:rsidR="00D728EA">
              <w:rPr>
                <w:rFonts w:ascii="Times New Roman" w:eastAsia="Times New Roman" w:hAnsi="Times New Roman" w:cs="Times New Roman"/>
                <w:color w:val="000000"/>
                <w:sz w:val="24"/>
                <w:szCs w:val="24"/>
                <w:lang w:eastAsia="lv-LV"/>
              </w:rPr>
              <w:t>,</w:t>
            </w:r>
            <w:r w:rsidR="003B3FB0">
              <w:rPr>
                <w:rFonts w:ascii="Times New Roman" w:eastAsia="Times New Roman" w:hAnsi="Times New Roman" w:cs="Times New Roman"/>
                <w:color w:val="000000"/>
                <w:sz w:val="24"/>
                <w:szCs w:val="24"/>
                <w:lang w:eastAsia="lv-LV"/>
              </w:rPr>
              <w:t xml:space="preserve"> tādējādi ņemot vērā tirgus dalībnieku viedokli par samērīgu pieeju nozīmīguma novērtēšanā</w:t>
            </w:r>
            <w:r w:rsidR="00344BF9">
              <w:rPr>
                <w:rFonts w:ascii="Times New Roman" w:eastAsia="Times New Roman" w:hAnsi="Times New Roman" w:cs="Times New Roman"/>
                <w:color w:val="000000"/>
                <w:sz w:val="24"/>
                <w:szCs w:val="24"/>
                <w:lang w:eastAsia="lv-LV"/>
              </w:rPr>
              <w:t>;</w:t>
            </w:r>
          </w:p>
          <w:p w14:paraId="3979C6B2" w14:textId="6DE4582F" w:rsidR="00287024" w:rsidRDefault="00D81490" w:rsidP="00754658">
            <w:pPr>
              <w:pStyle w:val="NApunkts1"/>
              <w:numPr>
                <w:ilvl w:val="0"/>
                <w:numId w:val="16"/>
              </w:numPr>
              <w:spacing w:before="0" w:after="120"/>
            </w:pPr>
            <w:r>
              <w:t>p</w:t>
            </w:r>
            <w:r w:rsidR="001D34DD">
              <w:t xml:space="preserve">rasība stratēģijas izveidei noteikta tikai nozīmīgām </w:t>
            </w:r>
            <w:r w:rsidR="00082629">
              <w:t>S</w:t>
            </w:r>
            <w:r w:rsidR="001D34DD">
              <w:t xml:space="preserve">abiedrībām, </w:t>
            </w:r>
            <w:r w:rsidR="003F75AD">
              <w:t>turklāt</w:t>
            </w:r>
            <w:r w:rsidR="001D34DD">
              <w:t xml:space="preserve"> specifiskāk nosa</w:t>
            </w:r>
            <w:r w:rsidR="003F75AD">
              <w:t>k</w:t>
            </w:r>
            <w:r w:rsidR="001D34DD">
              <w:t>ot, kād</w:t>
            </w:r>
            <w:r>
              <w:t>a</w:t>
            </w:r>
            <w:r w:rsidR="001D34DD">
              <w:t xml:space="preserve"> informācij</w:t>
            </w:r>
            <w:r>
              <w:t>a</w:t>
            </w:r>
            <w:r w:rsidR="001D34DD">
              <w:t xml:space="preserve"> jāiekļauj, aprakstot darbības </w:t>
            </w:r>
            <w:r w:rsidR="00BB28B2">
              <w:t xml:space="preserve">plānotos </w:t>
            </w:r>
            <w:r w:rsidR="001D34DD">
              <w:t xml:space="preserve">mērķus. Papildus </w:t>
            </w:r>
            <w:r>
              <w:t>noteikts</w:t>
            </w:r>
            <w:r w:rsidR="001D34DD">
              <w:t>, ka būtisko risku pārvaldīšanai var tikt noteikti ne tikai riska līmeņ</w:t>
            </w:r>
            <w:r w:rsidR="00781160">
              <w:t>i</w:t>
            </w:r>
            <w:r w:rsidR="001D34DD">
              <w:t>, bet arī ierobežojumi</w:t>
            </w:r>
            <w:r>
              <w:t>;</w:t>
            </w:r>
          </w:p>
          <w:p w14:paraId="4B7615E0" w14:textId="5736226A" w:rsidR="003D1B24" w:rsidRDefault="00D81490" w:rsidP="00754658">
            <w:pPr>
              <w:pStyle w:val="NApunkts1"/>
              <w:numPr>
                <w:ilvl w:val="0"/>
                <w:numId w:val="16"/>
              </w:numPr>
              <w:spacing w:before="0" w:after="120"/>
            </w:pPr>
            <w:r>
              <w:t>a</w:t>
            </w:r>
            <w:r w:rsidR="00A35B17">
              <w:t>tvieglots administratīvai</w:t>
            </w:r>
            <w:r>
              <w:t>s</w:t>
            </w:r>
            <w:r w:rsidR="00A35B17">
              <w:t xml:space="preserve"> slogs mazāk nozīmīgām </w:t>
            </w:r>
            <w:r w:rsidR="00082629">
              <w:t>S</w:t>
            </w:r>
            <w:r w:rsidR="00A35B17">
              <w:t xml:space="preserve">abiedrībām, nosakot, ka </w:t>
            </w:r>
            <w:r>
              <w:t>tās</w:t>
            </w:r>
            <w:r w:rsidR="00A35B17">
              <w:t xml:space="preserve"> darbības plānošanas ietvaros izs</w:t>
            </w:r>
            <w:r w:rsidR="00287024">
              <w:t>trādā tikai darb</w:t>
            </w:r>
            <w:r w:rsidR="001D39BD">
              <w:t>īb</w:t>
            </w:r>
            <w:r w:rsidR="00287024">
              <w:t>a</w:t>
            </w:r>
            <w:r w:rsidR="001D39BD">
              <w:t>s</w:t>
            </w:r>
            <w:r w:rsidR="00287024">
              <w:t xml:space="preserve"> plānu katram gadam. Ņemot vērā Latvijas Bankas uzraudzības procesā novēroto un biežāk uzdotos jautājumus</w:t>
            </w:r>
            <w:r w:rsidR="007B6E31">
              <w:t>,</w:t>
            </w:r>
            <w:r w:rsidR="00287024">
              <w:t xml:space="preserve"> </w:t>
            </w:r>
            <w:r w:rsidR="001D39BD">
              <w:t xml:space="preserve">noteikumu </w:t>
            </w:r>
            <w:r>
              <w:t xml:space="preserve">projektā precizēts, </w:t>
            </w:r>
            <w:r w:rsidR="00287024">
              <w:t>kādu informāciju vēlams iekļaut darb</w:t>
            </w:r>
            <w:r w:rsidR="001D39BD">
              <w:t>īb</w:t>
            </w:r>
            <w:r w:rsidR="00287024">
              <w:t>a</w:t>
            </w:r>
            <w:r w:rsidR="001D39BD">
              <w:t>s</w:t>
            </w:r>
            <w:r w:rsidR="00287024">
              <w:t xml:space="preserve"> plānā</w:t>
            </w:r>
            <w:r>
              <w:t>;</w:t>
            </w:r>
          </w:p>
          <w:p w14:paraId="05858B27" w14:textId="1B4BE6E5" w:rsidR="001D34DD" w:rsidRPr="008154B3" w:rsidRDefault="00D81490" w:rsidP="00754658">
            <w:pPr>
              <w:pStyle w:val="NApunkts1"/>
              <w:numPr>
                <w:ilvl w:val="0"/>
                <w:numId w:val="16"/>
              </w:numPr>
              <w:spacing w:before="0" w:after="120"/>
              <w:rPr>
                <w:color w:val="000000" w:themeColor="text1"/>
              </w:rPr>
            </w:pPr>
            <w:r>
              <w:rPr>
                <w:color w:val="000000" w:themeColor="text1"/>
              </w:rPr>
              <w:t>l</w:t>
            </w:r>
            <w:r w:rsidR="001D34DD">
              <w:rPr>
                <w:color w:val="000000" w:themeColor="text1"/>
              </w:rPr>
              <w:t xml:space="preserve">ai mazinātu administratīvo slogu visām </w:t>
            </w:r>
            <w:r w:rsidR="00082629">
              <w:rPr>
                <w:color w:val="000000" w:themeColor="text1"/>
              </w:rPr>
              <w:t>S</w:t>
            </w:r>
            <w:r w:rsidR="001D34DD">
              <w:rPr>
                <w:color w:val="000000" w:themeColor="text1"/>
              </w:rPr>
              <w:t xml:space="preserve">abiedrībām, </w:t>
            </w:r>
            <w:r>
              <w:rPr>
                <w:color w:val="000000" w:themeColor="text1"/>
              </w:rPr>
              <w:t xml:space="preserve">atcelta </w:t>
            </w:r>
            <w:r w:rsidR="001D34DD">
              <w:rPr>
                <w:color w:val="000000" w:themeColor="text1"/>
              </w:rPr>
              <w:t>prasība</w:t>
            </w:r>
            <w:r>
              <w:rPr>
                <w:color w:val="000000" w:themeColor="text1"/>
              </w:rPr>
              <w:t xml:space="preserve"> </w:t>
            </w:r>
            <w:r w:rsidR="003F75AD">
              <w:rPr>
                <w:color w:val="000000" w:themeColor="text1"/>
              </w:rPr>
              <w:t xml:space="preserve">ne retāk kā reizi gadā </w:t>
            </w:r>
            <w:r>
              <w:rPr>
                <w:color w:val="000000" w:themeColor="text1"/>
              </w:rPr>
              <w:t xml:space="preserve">pārskatīt </w:t>
            </w:r>
            <w:r w:rsidR="001D34DD">
              <w:rPr>
                <w:color w:val="000000" w:themeColor="text1"/>
              </w:rPr>
              <w:t>organizatorisk</w:t>
            </w:r>
            <w:r>
              <w:rPr>
                <w:color w:val="000000" w:themeColor="text1"/>
              </w:rPr>
              <w:t xml:space="preserve">o </w:t>
            </w:r>
            <w:r w:rsidR="001D34DD">
              <w:rPr>
                <w:color w:val="000000" w:themeColor="text1"/>
              </w:rPr>
              <w:t>struktūr</w:t>
            </w:r>
            <w:r>
              <w:rPr>
                <w:color w:val="000000" w:themeColor="text1"/>
              </w:rPr>
              <w:t>u</w:t>
            </w:r>
            <w:r w:rsidR="001D34DD">
              <w:rPr>
                <w:color w:val="000000" w:themeColor="text1"/>
              </w:rPr>
              <w:t xml:space="preserve">. Jaunajā redakcijā noteikts, ka </w:t>
            </w:r>
            <w:r w:rsidR="001A66F7">
              <w:rPr>
                <w:color w:val="000000" w:themeColor="text1"/>
              </w:rPr>
              <w:t>S</w:t>
            </w:r>
            <w:r w:rsidR="001D34DD">
              <w:rPr>
                <w:color w:val="000000" w:themeColor="text1"/>
              </w:rPr>
              <w:t xml:space="preserve">abiedrība </w:t>
            </w:r>
            <w:r w:rsidR="00462A13">
              <w:rPr>
                <w:color w:val="000000" w:themeColor="text1"/>
              </w:rPr>
              <w:t xml:space="preserve">nodrošina </w:t>
            </w:r>
            <w:r>
              <w:rPr>
                <w:color w:val="000000" w:themeColor="text1"/>
              </w:rPr>
              <w:t xml:space="preserve">organizatoriskās </w:t>
            </w:r>
            <w:r w:rsidR="00462A13">
              <w:rPr>
                <w:color w:val="000000" w:themeColor="text1"/>
              </w:rPr>
              <w:t xml:space="preserve">struktūras atbilstību </w:t>
            </w:r>
            <w:r w:rsidR="001D34DD">
              <w:rPr>
                <w:color w:val="000000" w:themeColor="text1"/>
              </w:rPr>
              <w:t>tās darbības specifikai</w:t>
            </w:r>
            <w:r w:rsidR="008154B3">
              <w:rPr>
                <w:color w:val="000000" w:themeColor="text1"/>
              </w:rPr>
              <w:t xml:space="preserve"> un atjaunināšanu būtisku izmaiņu gadījumā. L</w:t>
            </w:r>
            <w:r w:rsidR="00462A13">
              <w:rPr>
                <w:color w:val="000000" w:themeColor="text1"/>
              </w:rPr>
              <w:t xml:space="preserve">īdz ar to </w:t>
            </w:r>
            <w:r>
              <w:rPr>
                <w:color w:val="000000" w:themeColor="text1"/>
              </w:rPr>
              <w:t xml:space="preserve">grozījumu </w:t>
            </w:r>
            <w:r w:rsidR="00462A13">
              <w:rPr>
                <w:color w:val="000000" w:themeColor="text1"/>
              </w:rPr>
              <w:t>regularitāt</w:t>
            </w:r>
            <w:r>
              <w:rPr>
                <w:color w:val="000000" w:themeColor="text1"/>
              </w:rPr>
              <w:t>i</w:t>
            </w:r>
            <w:r w:rsidR="00462A13">
              <w:rPr>
                <w:color w:val="000000" w:themeColor="text1"/>
              </w:rPr>
              <w:t xml:space="preserve"> </w:t>
            </w:r>
            <w:r w:rsidR="002C7A1D">
              <w:rPr>
                <w:color w:val="000000" w:themeColor="text1"/>
              </w:rPr>
              <w:t>noteik</w:t>
            </w:r>
            <w:r w:rsidR="00781160">
              <w:rPr>
                <w:color w:val="000000" w:themeColor="text1"/>
              </w:rPr>
              <w:t>s</w:t>
            </w:r>
            <w:r w:rsidR="002C7A1D">
              <w:rPr>
                <w:color w:val="000000" w:themeColor="text1"/>
              </w:rPr>
              <w:t xml:space="preserve"> </w:t>
            </w:r>
            <w:r w:rsidR="00462A13">
              <w:rPr>
                <w:color w:val="000000" w:themeColor="text1"/>
              </w:rPr>
              <w:t xml:space="preserve">pati </w:t>
            </w:r>
            <w:r w:rsidR="00E333F8">
              <w:rPr>
                <w:color w:val="000000" w:themeColor="text1"/>
              </w:rPr>
              <w:t>S</w:t>
            </w:r>
            <w:r w:rsidR="00462A13">
              <w:rPr>
                <w:color w:val="000000" w:themeColor="text1"/>
              </w:rPr>
              <w:t>abiedrība</w:t>
            </w:r>
            <w:r w:rsidR="008154B3">
              <w:rPr>
                <w:color w:val="000000" w:themeColor="text1"/>
              </w:rPr>
              <w:t>;</w:t>
            </w:r>
          </w:p>
          <w:p w14:paraId="4835C56E" w14:textId="4E3ED909" w:rsidR="00781160" w:rsidRDefault="008154B3" w:rsidP="00754658">
            <w:pPr>
              <w:pStyle w:val="ListParagraph"/>
              <w:numPr>
                <w:ilvl w:val="0"/>
                <w:numId w:val="16"/>
              </w:numPr>
              <w:spacing w:after="120" w:line="240" w:lineRule="auto"/>
              <w:contextualSpacing w:val="0"/>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sz w:val="24"/>
                <w:szCs w:val="24"/>
                <w:lang w:eastAsia="lv-LV"/>
              </w:rPr>
              <w:t>a</w:t>
            </w:r>
            <w:r w:rsidR="0030767D" w:rsidRPr="00F71640">
              <w:rPr>
                <w:rFonts w:ascii="Times New Roman" w:eastAsia="Times New Roman" w:hAnsi="Times New Roman" w:cs="Times New Roman"/>
                <w:sz w:val="24"/>
                <w:szCs w:val="24"/>
                <w:lang w:eastAsia="lv-LV"/>
              </w:rPr>
              <w:t xml:space="preserve">tbilstoši </w:t>
            </w:r>
            <w:r w:rsidR="00781160" w:rsidRPr="00F71640">
              <w:rPr>
                <w:rFonts w:ascii="Times New Roman" w:eastAsia="Times New Roman" w:hAnsi="Times New Roman" w:cs="Times New Roman"/>
                <w:sz w:val="24"/>
                <w:szCs w:val="24"/>
                <w:lang w:eastAsia="lv-LV"/>
              </w:rPr>
              <w:t>Likuma 12.</w:t>
            </w:r>
            <w:r w:rsidR="00A36AB5" w:rsidRPr="00F71640">
              <w:rPr>
                <w:rFonts w:ascii="Times New Roman" w:eastAsia="Times New Roman" w:hAnsi="Times New Roman" w:cs="Times New Roman"/>
                <w:sz w:val="24"/>
                <w:szCs w:val="24"/>
                <w:lang w:eastAsia="lv-LV"/>
              </w:rPr>
              <w:t> </w:t>
            </w:r>
            <w:r w:rsidR="00781160" w:rsidRPr="00F71640">
              <w:rPr>
                <w:rFonts w:ascii="Times New Roman" w:eastAsia="Times New Roman" w:hAnsi="Times New Roman" w:cs="Times New Roman"/>
                <w:sz w:val="24"/>
                <w:szCs w:val="24"/>
                <w:lang w:eastAsia="lv-LV"/>
              </w:rPr>
              <w:t>panta 2</w:t>
            </w:r>
            <w:r>
              <w:rPr>
                <w:rFonts w:ascii="Times New Roman" w:eastAsia="Times New Roman" w:hAnsi="Times New Roman" w:cs="Times New Roman"/>
                <w:sz w:val="24"/>
                <w:szCs w:val="24"/>
                <w:lang w:eastAsia="lv-LV"/>
              </w:rPr>
              <w:t>.</w:t>
            </w:r>
            <w:r w:rsidR="00781160" w:rsidRPr="008154B3">
              <w:rPr>
                <w:rFonts w:ascii="Times New Roman" w:eastAsia="Times New Roman" w:hAnsi="Times New Roman" w:cs="Times New Roman"/>
                <w:sz w:val="24"/>
                <w:szCs w:val="24"/>
                <w:vertAlign w:val="superscript"/>
                <w:lang w:eastAsia="lv-LV"/>
              </w:rPr>
              <w:t>1</w:t>
            </w:r>
            <w:r w:rsidR="00A36AB5" w:rsidRPr="008154B3">
              <w:rPr>
                <w:rFonts w:ascii="Times New Roman" w:eastAsia="Times New Roman" w:hAnsi="Times New Roman" w:cs="Times New Roman"/>
                <w:sz w:val="24"/>
                <w:szCs w:val="24"/>
                <w:lang w:eastAsia="lv-LV"/>
              </w:rPr>
              <w:t> </w:t>
            </w:r>
            <w:r w:rsidR="00781160" w:rsidRPr="008154B3">
              <w:rPr>
                <w:rFonts w:ascii="Times New Roman" w:eastAsia="Times New Roman" w:hAnsi="Times New Roman" w:cs="Times New Roman"/>
                <w:sz w:val="24"/>
                <w:szCs w:val="24"/>
                <w:lang w:eastAsia="lv-LV"/>
              </w:rPr>
              <w:t>daļā noteikt</w:t>
            </w:r>
            <w:r w:rsidR="0030767D" w:rsidRPr="008154B3">
              <w:rPr>
                <w:rFonts w:ascii="Times New Roman" w:eastAsia="Times New Roman" w:hAnsi="Times New Roman" w:cs="Times New Roman"/>
                <w:sz w:val="24"/>
                <w:szCs w:val="24"/>
                <w:lang w:eastAsia="lv-LV"/>
              </w:rPr>
              <w:t xml:space="preserve">ajam </w:t>
            </w:r>
            <w:r w:rsidR="001A66F7">
              <w:rPr>
                <w:rFonts w:ascii="Times New Roman" w:eastAsia="Times New Roman" w:hAnsi="Times New Roman" w:cs="Times New Roman"/>
                <w:sz w:val="24"/>
                <w:szCs w:val="24"/>
                <w:lang w:eastAsia="lv-LV"/>
              </w:rPr>
              <w:t>S</w:t>
            </w:r>
            <w:r w:rsidR="0030767D" w:rsidRPr="008154B3">
              <w:rPr>
                <w:rFonts w:ascii="Times New Roman" w:eastAsia="Times New Roman" w:hAnsi="Times New Roman" w:cs="Times New Roman"/>
                <w:sz w:val="24"/>
                <w:szCs w:val="24"/>
                <w:lang w:eastAsia="lv-LV"/>
              </w:rPr>
              <w:t>abiedrībām</w:t>
            </w:r>
            <w:r>
              <w:rPr>
                <w:rFonts w:ascii="Times New Roman" w:eastAsia="Times New Roman" w:hAnsi="Times New Roman" w:cs="Times New Roman"/>
                <w:sz w:val="24"/>
                <w:szCs w:val="24"/>
                <w:lang w:eastAsia="lv-LV"/>
              </w:rPr>
              <w:t>,</w:t>
            </w:r>
            <w:r w:rsidR="0030767D" w:rsidRPr="008154B3">
              <w:rPr>
                <w:rFonts w:ascii="Times New Roman" w:eastAsia="Times New Roman" w:hAnsi="Times New Roman" w:cs="Times New Roman"/>
                <w:sz w:val="24"/>
                <w:szCs w:val="24"/>
                <w:lang w:eastAsia="lv-LV"/>
              </w:rPr>
              <w:t xml:space="preserve"> kuras sniedz kreditēšanas pakalpojumus</w:t>
            </w:r>
            <w:r w:rsidR="0092660F">
              <w:rPr>
                <w:rFonts w:ascii="Times New Roman" w:eastAsia="Times New Roman" w:hAnsi="Times New Roman" w:cs="Times New Roman"/>
                <w:sz w:val="24"/>
                <w:szCs w:val="24"/>
                <w:lang w:eastAsia="lv-LV"/>
              </w:rPr>
              <w:t xml:space="preserve"> </w:t>
            </w:r>
            <w:r w:rsidR="008E3B4B" w:rsidRPr="008154B3">
              <w:rPr>
                <w:rFonts w:ascii="Times New Roman" w:eastAsia="Times New Roman" w:hAnsi="Times New Roman" w:cs="Times New Roman"/>
                <w:sz w:val="24"/>
                <w:szCs w:val="24"/>
                <w:lang w:eastAsia="lv-LV"/>
              </w:rPr>
              <w:t>Likuma 5. panta piektās daļas 2. un 3. punktā minētajām personām</w:t>
            </w:r>
            <w:r w:rsidR="008E3B4B">
              <w:rPr>
                <w:rFonts w:ascii="Times New Roman" w:eastAsia="Times New Roman" w:hAnsi="Times New Roman" w:cs="Times New Roman"/>
                <w:sz w:val="24"/>
                <w:szCs w:val="24"/>
                <w:lang w:eastAsia="lv-LV"/>
              </w:rPr>
              <w:t xml:space="preserve"> (</w:t>
            </w:r>
            <w:r w:rsidR="001A66F7">
              <w:rPr>
                <w:rFonts w:ascii="Times New Roman" w:eastAsia="Times New Roman" w:hAnsi="Times New Roman" w:cs="Times New Roman"/>
                <w:sz w:val="24"/>
                <w:szCs w:val="24"/>
                <w:lang w:eastAsia="lv-LV"/>
              </w:rPr>
              <w:t>S</w:t>
            </w:r>
            <w:r w:rsidR="001D39BD">
              <w:rPr>
                <w:rFonts w:ascii="Times New Roman" w:eastAsia="Times New Roman" w:hAnsi="Times New Roman" w:cs="Times New Roman"/>
                <w:sz w:val="24"/>
                <w:szCs w:val="24"/>
                <w:lang w:eastAsia="lv-LV"/>
              </w:rPr>
              <w:t xml:space="preserve">abiedrības </w:t>
            </w:r>
            <w:r w:rsidR="0092660F">
              <w:rPr>
                <w:rFonts w:ascii="Times New Roman" w:eastAsia="Times New Roman" w:hAnsi="Times New Roman" w:cs="Times New Roman"/>
                <w:sz w:val="24"/>
                <w:szCs w:val="24"/>
                <w:lang w:eastAsia="lv-LV"/>
              </w:rPr>
              <w:t>biedri, kas ir komercsabiedrības</w:t>
            </w:r>
            <w:r w:rsidR="001D39BD">
              <w:rPr>
                <w:rFonts w:ascii="Times New Roman" w:eastAsia="Times New Roman" w:hAnsi="Times New Roman" w:cs="Times New Roman"/>
                <w:sz w:val="24"/>
                <w:szCs w:val="24"/>
                <w:lang w:eastAsia="lv-LV"/>
              </w:rPr>
              <w:t xml:space="preserve"> (personālsabiedrības un kapitā</w:t>
            </w:r>
            <w:r w:rsidR="00D06B03">
              <w:rPr>
                <w:rFonts w:ascii="Times New Roman" w:eastAsia="Times New Roman" w:hAnsi="Times New Roman" w:cs="Times New Roman"/>
                <w:sz w:val="24"/>
                <w:szCs w:val="24"/>
                <w:lang w:eastAsia="lv-LV"/>
              </w:rPr>
              <w:t>l</w:t>
            </w:r>
            <w:r w:rsidR="001D39BD">
              <w:rPr>
                <w:rFonts w:ascii="Times New Roman" w:eastAsia="Times New Roman" w:hAnsi="Times New Roman" w:cs="Times New Roman"/>
                <w:sz w:val="24"/>
                <w:szCs w:val="24"/>
                <w:lang w:eastAsia="lv-LV"/>
              </w:rPr>
              <w:t>sabiedrības)</w:t>
            </w:r>
            <w:r w:rsidR="0092660F">
              <w:rPr>
                <w:rFonts w:ascii="Times New Roman" w:eastAsia="Times New Roman" w:hAnsi="Times New Roman" w:cs="Times New Roman"/>
                <w:sz w:val="24"/>
                <w:szCs w:val="24"/>
                <w:lang w:eastAsia="lv-LV"/>
              </w:rPr>
              <w:t xml:space="preserve"> un kooperatīv</w:t>
            </w:r>
            <w:r w:rsidR="008E3B4B">
              <w:rPr>
                <w:rFonts w:ascii="Times New Roman" w:eastAsia="Times New Roman" w:hAnsi="Times New Roman" w:cs="Times New Roman"/>
                <w:sz w:val="24"/>
                <w:szCs w:val="24"/>
                <w:lang w:eastAsia="lv-LV"/>
              </w:rPr>
              <w:t>ās sabiedrības)</w:t>
            </w:r>
            <w:r w:rsidR="0030767D" w:rsidRPr="008154B3">
              <w:rPr>
                <w:rFonts w:ascii="Times New Roman" w:eastAsia="Times New Roman" w:hAnsi="Times New Roman" w:cs="Times New Roman"/>
                <w:sz w:val="24"/>
                <w:szCs w:val="24"/>
                <w:lang w:eastAsia="lv-LV"/>
              </w:rPr>
              <w:t>, no valdes locekļu vidus ir jāieceļ persona</w:t>
            </w:r>
            <w:r w:rsidR="007B6E31" w:rsidRPr="008154B3">
              <w:rPr>
                <w:rFonts w:ascii="Times New Roman" w:eastAsia="Times New Roman" w:hAnsi="Times New Roman" w:cs="Times New Roman"/>
                <w:sz w:val="24"/>
                <w:szCs w:val="24"/>
                <w:lang w:eastAsia="lv-LV"/>
              </w:rPr>
              <w:t>,</w:t>
            </w:r>
            <w:r w:rsidR="0030767D" w:rsidRPr="008154B3">
              <w:rPr>
                <w:rFonts w:ascii="Times New Roman" w:eastAsia="Times New Roman" w:hAnsi="Times New Roman" w:cs="Times New Roman"/>
                <w:sz w:val="24"/>
                <w:szCs w:val="24"/>
                <w:lang w:eastAsia="lv-LV"/>
              </w:rPr>
              <w:t xml:space="preserve"> k</w:t>
            </w:r>
            <w:r>
              <w:rPr>
                <w:rFonts w:ascii="Times New Roman" w:eastAsia="Times New Roman" w:hAnsi="Times New Roman" w:cs="Times New Roman"/>
                <w:sz w:val="24"/>
                <w:szCs w:val="24"/>
                <w:lang w:eastAsia="lv-LV"/>
              </w:rPr>
              <w:t>ura</w:t>
            </w:r>
            <w:r w:rsidR="0030767D" w:rsidRPr="008154B3">
              <w:rPr>
                <w:rFonts w:ascii="Times New Roman" w:eastAsia="Times New Roman" w:hAnsi="Times New Roman" w:cs="Times New Roman"/>
                <w:sz w:val="24"/>
                <w:szCs w:val="24"/>
                <w:lang w:eastAsia="lv-LV"/>
              </w:rPr>
              <w:t xml:space="preserve"> ir atbildīga par kreditēšanas pakalpojumiem. Noteikumu projektā grozīts punkts par valdes un padomes sastāvu, nosakot, ka </w:t>
            </w:r>
            <w:r w:rsidR="001A66F7">
              <w:rPr>
                <w:rFonts w:ascii="Times New Roman" w:eastAsia="Times New Roman" w:hAnsi="Times New Roman" w:cs="Times New Roman"/>
                <w:sz w:val="24"/>
                <w:szCs w:val="24"/>
                <w:lang w:eastAsia="lv-LV"/>
              </w:rPr>
              <w:t>S</w:t>
            </w:r>
            <w:r w:rsidR="00BB28B2">
              <w:rPr>
                <w:rFonts w:ascii="Times New Roman" w:eastAsia="Times New Roman" w:hAnsi="Times New Roman" w:cs="Times New Roman"/>
                <w:sz w:val="24"/>
                <w:szCs w:val="24"/>
                <w:lang w:eastAsia="lv-LV"/>
              </w:rPr>
              <w:t>abiedrības vadības</w:t>
            </w:r>
            <w:r w:rsidR="0030767D" w:rsidRPr="008154B3">
              <w:rPr>
                <w:rFonts w:ascii="Times New Roman" w:eastAsia="Times New Roman" w:hAnsi="Times New Roman" w:cs="Times New Roman"/>
                <w:sz w:val="24"/>
                <w:szCs w:val="24"/>
                <w:lang w:eastAsia="lv-LV"/>
              </w:rPr>
              <w:t xml:space="preserve"> sastāvam ir jābūt piemērotam </w:t>
            </w:r>
            <w:r w:rsidR="001A66F7">
              <w:rPr>
                <w:rFonts w:ascii="Times New Roman" w:eastAsia="Times New Roman" w:hAnsi="Times New Roman" w:cs="Times New Roman"/>
                <w:sz w:val="24"/>
                <w:szCs w:val="24"/>
                <w:lang w:eastAsia="lv-LV"/>
              </w:rPr>
              <w:t>S</w:t>
            </w:r>
            <w:r w:rsidR="0030767D" w:rsidRPr="008154B3">
              <w:rPr>
                <w:rFonts w:ascii="Times New Roman" w:eastAsia="Times New Roman" w:hAnsi="Times New Roman" w:cs="Times New Roman"/>
                <w:sz w:val="24"/>
                <w:szCs w:val="24"/>
                <w:lang w:eastAsia="lv-LV"/>
              </w:rPr>
              <w:t xml:space="preserve">abiedrības </w:t>
            </w:r>
            <w:r w:rsidR="00D06B03">
              <w:rPr>
                <w:rFonts w:ascii="Times New Roman" w:eastAsia="Times New Roman" w:hAnsi="Times New Roman" w:cs="Times New Roman"/>
                <w:sz w:val="24"/>
                <w:szCs w:val="24"/>
                <w:lang w:eastAsia="lv-LV"/>
              </w:rPr>
              <w:t xml:space="preserve">lielumam, darbības un </w:t>
            </w:r>
            <w:r w:rsidR="0030767D" w:rsidRPr="008154B3">
              <w:rPr>
                <w:rFonts w:ascii="Times New Roman" w:eastAsia="Times New Roman" w:hAnsi="Times New Roman" w:cs="Times New Roman"/>
                <w:sz w:val="24"/>
                <w:szCs w:val="24"/>
                <w:lang w:eastAsia="lv-LV"/>
              </w:rPr>
              <w:t>sniegto</w:t>
            </w:r>
            <w:r w:rsidR="0030767D">
              <w:rPr>
                <w:rFonts w:ascii="Times New Roman" w:eastAsia="Times New Roman" w:hAnsi="Times New Roman" w:cs="Times New Roman"/>
                <w:color w:val="000000" w:themeColor="text1"/>
                <w:sz w:val="24"/>
                <w:szCs w:val="24"/>
                <w:lang w:eastAsia="lv-LV"/>
              </w:rPr>
              <w:t xml:space="preserve"> pakalpojumu specifikai un izvirzītajiem mērķiem</w:t>
            </w:r>
            <w:r>
              <w:rPr>
                <w:rFonts w:ascii="Times New Roman" w:eastAsia="Times New Roman" w:hAnsi="Times New Roman" w:cs="Times New Roman"/>
                <w:color w:val="000000" w:themeColor="text1"/>
                <w:sz w:val="24"/>
                <w:szCs w:val="24"/>
                <w:lang w:eastAsia="lv-LV"/>
              </w:rPr>
              <w:t>;</w:t>
            </w:r>
          </w:p>
          <w:p w14:paraId="313A92C8" w14:textId="4BF569CE" w:rsidR="003C41DA" w:rsidRDefault="008154B3" w:rsidP="00754658">
            <w:pPr>
              <w:pStyle w:val="ListParagraph"/>
              <w:numPr>
                <w:ilvl w:val="0"/>
                <w:numId w:val="16"/>
              </w:numPr>
              <w:spacing w:after="120" w:line="240" w:lineRule="auto"/>
              <w:contextualSpacing w:val="0"/>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g</w:t>
            </w:r>
            <w:r w:rsidR="003C41DA">
              <w:rPr>
                <w:rFonts w:ascii="Times New Roman" w:eastAsia="Times New Roman" w:hAnsi="Times New Roman" w:cs="Times New Roman"/>
                <w:color w:val="000000" w:themeColor="text1"/>
                <w:sz w:val="24"/>
                <w:szCs w:val="24"/>
                <w:lang w:eastAsia="lv-LV"/>
              </w:rPr>
              <w:t xml:space="preserve">rozīta prasība par pienākumu dalīšanas principa ievērošanu, nosakot, ka nozīmīgas </w:t>
            </w:r>
            <w:r w:rsidR="001A66F7">
              <w:rPr>
                <w:rFonts w:ascii="Times New Roman" w:eastAsia="Times New Roman" w:hAnsi="Times New Roman" w:cs="Times New Roman"/>
                <w:color w:val="000000" w:themeColor="text1"/>
                <w:sz w:val="24"/>
                <w:szCs w:val="24"/>
                <w:lang w:eastAsia="lv-LV"/>
              </w:rPr>
              <w:t>S</w:t>
            </w:r>
            <w:r w:rsidR="003C41DA">
              <w:rPr>
                <w:rFonts w:ascii="Times New Roman" w:eastAsia="Times New Roman" w:hAnsi="Times New Roman" w:cs="Times New Roman"/>
                <w:color w:val="000000" w:themeColor="text1"/>
                <w:sz w:val="24"/>
                <w:szCs w:val="24"/>
                <w:lang w:eastAsia="lv-LV"/>
              </w:rPr>
              <w:t xml:space="preserve">abiedrības pienākumu dalīšanas principu ievēro kā iepriekš, savukārt mazāk nozīmīgas </w:t>
            </w:r>
            <w:r w:rsidR="001A66F7">
              <w:rPr>
                <w:rFonts w:ascii="Times New Roman" w:eastAsia="Times New Roman" w:hAnsi="Times New Roman" w:cs="Times New Roman"/>
                <w:color w:val="000000" w:themeColor="text1"/>
                <w:sz w:val="24"/>
                <w:szCs w:val="24"/>
                <w:lang w:eastAsia="lv-LV"/>
              </w:rPr>
              <w:t>S</w:t>
            </w:r>
            <w:r w:rsidR="003C41DA">
              <w:rPr>
                <w:rFonts w:ascii="Times New Roman" w:eastAsia="Times New Roman" w:hAnsi="Times New Roman" w:cs="Times New Roman"/>
                <w:color w:val="000000" w:themeColor="text1"/>
                <w:sz w:val="24"/>
                <w:szCs w:val="24"/>
                <w:lang w:eastAsia="lv-LV"/>
              </w:rPr>
              <w:t xml:space="preserve">abiedrības to nodrošina iespēju robežās. </w:t>
            </w:r>
            <w:r w:rsidR="00A70B0C">
              <w:rPr>
                <w:rFonts w:ascii="Times New Roman" w:eastAsia="Times New Roman" w:hAnsi="Times New Roman" w:cs="Times New Roman"/>
                <w:color w:val="000000" w:themeColor="text1"/>
                <w:sz w:val="24"/>
                <w:szCs w:val="24"/>
                <w:lang w:eastAsia="lv-LV"/>
              </w:rPr>
              <w:t xml:space="preserve">Tādējādi </w:t>
            </w:r>
            <w:r w:rsidR="003C41DA">
              <w:rPr>
                <w:rFonts w:ascii="Times New Roman" w:eastAsia="Times New Roman" w:hAnsi="Times New Roman" w:cs="Times New Roman"/>
                <w:color w:val="000000" w:themeColor="text1"/>
                <w:sz w:val="24"/>
                <w:szCs w:val="24"/>
                <w:lang w:eastAsia="lv-LV"/>
              </w:rPr>
              <w:t xml:space="preserve">mazāk nozīmīgām </w:t>
            </w:r>
            <w:r w:rsidR="001A66F7">
              <w:rPr>
                <w:rFonts w:ascii="Times New Roman" w:eastAsia="Times New Roman" w:hAnsi="Times New Roman" w:cs="Times New Roman"/>
                <w:color w:val="000000" w:themeColor="text1"/>
                <w:sz w:val="24"/>
                <w:szCs w:val="24"/>
                <w:lang w:eastAsia="lv-LV"/>
              </w:rPr>
              <w:t>S</w:t>
            </w:r>
            <w:r w:rsidR="003C41DA">
              <w:rPr>
                <w:rFonts w:ascii="Times New Roman" w:eastAsia="Times New Roman" w:hAnsi="Times New Roman" w:cs="Times New Roman"/>
                <w:color w:val="000000" w:themeColor="text1"/>
                <w:sz w:val="24"/>
                <w:szCs w:val="24"/>
                <w:lang w:eastAsia="lv-LV"/>
              </w:rPr>
              <w:t>abiedrībām</w:t>
            </w:r>
            <w:r w:rsidR="00A70B0C">
              <w:rPr>
                <w:rFonts w:ascii="Times New Roman" w:eastAsia="Times New Roman" w:hAnsi="Times New Roman" w:cs="Times New Roman"/>
                <w:color w:val="000000" w:themeColor="text1"/>
                <w:sz w:val="24"/>
                <w:szCs w:val="24"/>
                <w:lang w:eastAsia="lv-LV"/>
              </w:rPr>
              <w:t xml:space="preserve"> prasības tiek atvieglotas</w:t>
            </w:r>
            <w:r w:rsidR="003C41DA">
              <w:rPr>
                <w:rFonts w:ascii="Times New Roman" w:eastAsia="Times New Roman" w:hAnsi="Times New Roman" w:cs="Times New Roman"/>
                <w:color w:val="000000" w:themeColor="text1"/>
                <w:sz w:val="24"/>
                <w:szCs w:val="24"/>
                <w:lang w:eastAsia="lv-LV"/>
              </w:rPr>
              <w:t xml:space="preserve">, ņemot vērā uzraudzības procesā un klātienes pārbaudēs konstatētās situācijas un </w:t>
            </w:r>
            <w:r w:rsidR="007B6E31">
              <w:rPr>
                <w:rFonts w:ascii="Times New Roman" w:eastAsia="Times New Roman" w:hAnsi="Times New Roman" w:cs="Times New Roman"/>
                <w:color w:val="000000" w:themeColor="text1"/>
                <w:sz w:val="24"/>
                <w:szCs w:val="24"/>
                <w:lang w:eastAsia="lv-LV"/>
              </w:rPr>
              <w:t xml:space="preserve">cilvēkresursu pieejamības </w:t>
            </w:r>
            <w:r w:rsidR="003C41DA">
              <w:rPr>
                <w:rFonts w:ascii="Times New Roman" w:eastAsia="Times New Roman" w:hAnsi="Times New Roman" w:cs="Times New Roman"/>
                <w:color w:val="000000" w:themeColor="text1"/>
                <w:sz w:val="24"/>
                <w:szCs w:val="24"/>
                <w:lang w:eastAsia="lv-LV"/>
              </w:rPr>
              <w:t>ierobežojumus</w:t>
            </w:r>
            <w:r w:rsidR="00A70B0C">
              <w:rPr>
                <w:rFonts w:ascii="Times New Roman" w:eastAsia="Times New Roman" w:hAnsi="Times New Roman" w:cs="Times New Roman"/>
                <w:color w:val="000000" w:themeColor="text1"/>
                <w:sz w:val="24"/>
                <w:szCs w:val="24"/>
                <w:lang w:eastAsia="lv-LV"/>
              </w:rPr>
              <w:t>;</w:t>
            </w:r>
          </w:p>
          <w:p w14:paraId="424EAFD4" w14:textId="4222E78F" w:rsidR="00CA3389" w:rsidRPr="00B06434" w:rsidRDefault="00C025B7" w:rsidP="00754658">
            <w:pPr>
              <w:pStyle w:val="ListParagraph"/>
              <w:numPr>
                <w:ilvl w:val="0"/>
                <w:numId w:val="16"/>
              </w:numPr>
              <w:spacing w:after="120" w:line="240" w:lineRule="auto"/>
              <w:contextualSpacing w:val="0"/>
              <w:jc w:val="both"/>
              <w:rPr>
                <w:rFonts w:ascii="Times New Roman" w:eastAsia="Times New Roman" w:hAnsi="Times New Roman" w:cs="Times New Roman"/>
                <w:color w:val="000000" w:themeColor="text1"/>
                <w:sz w:val="24"/>
                <w:szCs w:val="24"/>
                <w:lang w:eastAsia="lv-LV"/>
              </w:rPr>
            </w:pPr>
            <w:r w:rsidRPr="00B06434">
              <w:rPr>
                <w:rFonts w:ascii="Times New Roman" w:eastAsia="Times New Roman" w:hAnsi="Times New Roman" w:cs="Times New Roman"/>
                <w:sz w:val="24"/>
                <w:szCs w:val="24"/>
                <w:lang w:eastAsia="lv-LV"/>
              </w:rPr>
              <w:t xml:space="preserve">ar mērķi ieviest proporcionalitātes principu, kā arī mazināt administratīvo slogu </w:t>
            </w:r>
            <w:r w:rsidR="00B06434" w:rsidRPr="00B06434">
              <w:rPr>
                <w:rFonts w:ascii="Times New Roman" w:eastAsia="Times New Roman" w:hAnsi="Times New Roman" w:cs="Times New Roman"/>
                <w:sz w:val="24"/>
                <w:szCs w:val="24"/>
                <w:lang w:eastAsia="lv-LV"/>
              </w:rPr>
              <w:t>noteikts</w:t>
            </w:r>
            <w:r w:rsidR="004C3CB6" w:rsidRPr="00B06434">
              <w:rPr>
                <w:rFonts w:ascii="Times New Roman" w:eastAsia="Times New Roman" w:hAnsi="Times New Roman" w:cs="Times New Roman"/>
                <w:sz w:val="24"/>
                <w:szCs w:val="24"/>
                <w:lang w:eastAsia="lv-LV"/>
              </w:rPr>
              <w:t xml:space="preserve">, ka visām </w:t>
            </w:r>
            <w:r w:rsidR="001A66F7">
              <w:rPr>
                <w:rFonts w:ascii="Times New Roman" w:eastAsia="Times New Roman" w:hAnsi="Times New Roman" w:cs="Times New Roman"/>
                <w:sz w:val="24"/>
                <w:szCs w:val="24"/>
                <w:lang w:eastAsia="lv-LV"/>
              </w:rPr>
              <w:t>S</w:t>
            </w:r>
            <w:r w:rsidR="004C3CB6" w:rsidRPr="00B06434">
              <w:rPr>
                <w:rFonts w:ascii="Times New Roman" w:eastAsia="Times New Roman" w:hAnsi="Times New Roman" w:cs="Times New Roman"/>
                <w:sz w:val="24"/>
                <w:szCs w:val="24"/>
                <w:lang w:eastAsia="lv-LV"/>
              </w:rPr>
              <w:t>abiedrībām neatkarīgi no to nozīmīguma kā būtiski riski identificējami šādi riski: kredītrisks, riski, kas rodas no riska darījumu koncentrācijas, likviditātes risks, operacionālais risks, kā arī darbības atbilstības risks, t.</w:t>
            </w:r>
            <w:r w:rsidR="00F703B1">
              <w:rPr>
                <w:rFonts w:ascii="Times New Roman" w:eastAsia="Times New Roman" w:hAnsi="Times New Roman" w:cs="Times New Roman"/>
                <w:sz w:val="24"/>
                <w:szCs w:val="24"/>
                <w:lang w:eastAsia="lv-LV"/>
              </w:rPr>
              <w:t> </w:t>
            </w:r>
            <w:r w:rsidR="004C3CB6" w:rsidRPr="00B06434">
              <w:rPr>
                <w:rFonts w:ascii="Times New Roman" w:eastAsia="Times New Roman" w:hAnsi="Times New Roman" w:cs="Times New Roman"/>
                <w:sz w:val="24"/>
                <w:szCs w:val="24"/>
                <w:lang w:eastAsia="lv-LV"/>
              </w:rPr>
              <w:t xml:space="preserve">sk. </w:t>
            </w:r>
            <w:r w:rsidR="004C3CB6" w:rsidRPr="008E3B4B">
              <w:rPr>
                <w:rFonts w:ascii="Times New Roman" w:eastAsia="Times New Roman" w:hAnsi="Times New Roman" w:cs="Times New Roman"/>
                <w:sz w:val="24"/>
                <w:szCs w:val="24"/>
                <w:lang w:eastAsia="lv-LV"/>
              </w:rPr>
              <w:t>noziedzīgi iegūtu līdzekļu legalizācijas un terorisma un proliferācijas finansēšanas risks un sankciju risks.</w:t>
            </w:r>
            <w:r w:rsidR="00B06434" w:rsidRPr="008E3B4B">
              <w:rPr>
                <w:rFonts w:ascii="Times New Roman" w:eastAsia="Times New Roman" w:hAnsi="Times New Roman" w:cs="Times New Roman"/>
                <w:sz w:val="24"/>
                <w:szCs w:val="24"/>
                <w:lang w:eastAsia="lv-LV"/>
              </w:rPr>
              <w:t xml:space="preserve"> Savukārt kā </w:t>
            </w:r>
            <w:r w:rsidRPr="008E3B4B">
              <w:rPr>
                <w:rFonts w:ascii="Times New Roman" w:eastAsia="Times New Roman" w:hAnsi="Times New Roman" w:cs="Times New Roman"/>
                <w:sz w:val="24"/>
                <w:szCs w:val="24"/>
                <w:lang w:eastAsia="lv-LV"/>
              </w:rPr>
              <w:t>papildu</w:t>
            </w:r>
            <w:r w:rsidRPr="00B06434">
              <w:rPr>
                <w:rFonts w:ascii="Times New Roman" w:eastAsia="Times New Roman" w:hAnsi="Times New Roman" w:cs="Times New Roman"/>
                <w:sz w:val="24"/>
                <w:szCs w:val="24"/>
                <w:lang w:eastAsia="lv-LV"/>
              </w:rPr>
              <w:t xml:space="preserve"> riski noteikti: </w:t>
            </w:r>
            <w:r w:rsidR="00D06B03" w:rsidRPr="00B06434">
              <w:rPr>
                <w:rFonts w:ascii="Times New Roman" w:hAnsi="Times New Roman" w:cs="Times New Roman"/>
                <w:sz w:val="24"/>
                <w:szCs w:val="24"/>
              </w:rPr>
              <w:t>informācijas un komunikācijas tehnoloģiju risks</w:t>
            </w:r>
            <w:r w:rsidR="00D06B03">
              <w:rPr>
                <w:rFonts w:ascii="Times New Roman" w:hAnsi="Times New Roman" w:cs="Times New Roman"/>
                <w:sz w:val="24"/>
                <w:szCs w:val="24"/>
              </w:rPr>
              <w:t>,</w:t>
            </w:r>
            <w:r w:rsidR="00D06B03" w:rsidRPr="00B06434">
              <w:rPr>
                <w:rFonts w:ascii="Times New Roman" w:eastAsia="Times New Roman" w:hAnsi="Times New Roman" w:cs="Times New Roman"/>
                <w:sz w:val="24"/>
                <w:szCs w:val="24"/>
                <w:lang w:eastAsia="lv-LV"/>
              </w:rPr>
              <w:t xml:space="preserve"> </w:t>
            </w:r>
            <w:r w:rsidRPr="00B06434">
              <w:rPr>
                <w:rFonts w:ascii="Times New Roman" w:eastAsia="Times New Roman" w:hAnsi="Times New Roman" w:cs="Times New Roman"/>
                <w:sz w:val="24"/>
                <w:szCs w:val="24"/>
                <w:lang w:eastAsia="lv-LV"/>
              </w:rPr>
              <w:t>ar maksājumiem saistītas</w:t>
            </w:r>
            <w:r w:rsidRPr="00B06434">
              <w:rPr>
                <w:rFonts w:ascii="Times New Roman" w:eastAsia="Times New Roman" w:hAnsi="Times New Roman" w:cs="Times New Roman"/>
                <w:color w:val="000000" w:themeColor="text1"/>
                <w:sz w:val="24"/>
                <w:szCs w:val="24"/>
                <w:lang w:eastAsia="lv-LV"/>
              </w:rPr>
              <w:t xml:space="preserve"> krāpšanas risks, pārējie </w:t>
            </w:r>
            <w:r w:rsidR="001A66F7">
              <w:rPr>
                <w:rFonts w:ascii="Times New Roman" w:eastAsia="Times New Roman" w:hAnsi="Times New Roman" w:cs="Times New Roman"/>
                <w:color w:val="000000" w:themeColor="text1"/>
                <w:sz w:val="24"/>
                <w:szCs w:val="24"/>
                <w:lang w:eastAsia="lv-LV"/>
              </w:rPr>
              <w:t>S</w:t>
            </w:r>
            <w:r w:rsidRPr="00B06434">
              <w:rPr>
                <w:rFonts w:ascii="Times New Roman" w:eastAsia="Times New Roman" w:hAnsi="Times New Roman" w:cs="Times New Roman"/>
                <w:color w:val="000000" w:themeColor="text1"/>
                <w:sz w:val="24"/>
                <w:szCs w:val="24"/>
                <w:lang w:eastAsia="lv-LV"/>
              </w:rPr>
              <w:t>abiedrības darbību ietekmējošie riski (</w:t>
            </w:r>
            <w:r w:rsidRPr="00B06434">
              <w:rPr>
                <w:rFonts w:ascii="Times New Roman" w:hAnsi="Times New Roman" w:cs="Times New Roman"/>
                <w:sz w:val="24"/>
                <w:szCs w:val="24"/>
              </w:rPr>
              <w:t xml:space="preserve">piemēram, stratēģijas risks, reputācijas risks, procentu likmju risks, valsts risks, </w:t>
            </w:r>
            <w:r w:rsidR="00D06B03" w:rsidRPr="00B06434">
              <w:rPr>
                <w:rFonts w:ascii="Times New Roman" w:eastAsia="Times New Roman" w:hAnsi="Times New Roman" w:cs="Times New Roman"/>
                <w:sz w:val="24"/>
                <w:szCs w:val="24"/>
                <w:lang w:eastAsia="lv-LV"/>
              </w:rPr>
              <w:t>valūtas risks</w:t>
            </w:r>
            <w:r w:rsidRPr="00B06434">
              <w:rPr>
                <w:rFonts w:ascii="Times New Roman" w:hAnsi="Times New Roman" w:cs="Times New Roman"/>
                <w:sz w:val="24"/>
                <w:szCs w:val="24"/>
              </w:rPr>
              <w:t xml:space="preserve">, ar ārpakalpojumu izmantošanu saistītais risks, ja </w:t>
            </w:r>
            <w:r w:rsidR="001A66F7">
              <w:rPr>
                <w:rFonts w:ascii="Times New Roman" w:hAnsi="Times New Roman" w:cs="Times New Roman"/>
                <w:sz w:val="24"/>
                <w:szCs w:val="24"/>
              </w:rPr>
              <w:t>S</w:t>
            </w:r>
            <w:r w:rsidRPr="00B06434">
              <w:rPr>
                <w:rFonts w:ascii="Times New Roman" w:hAnsi="Times New Roman" w:cs="Times New Roman"/>
                <w:sz w:val="24"/>
                <w:szCs w:val="24"/>
              </w:rPr>
              <w:t xml:space="preserve">abiedrība izmanto šādus pakalpojumus). Papildu risku novērtējuma prasība saglabāta nozīmīgām </w:t>
            </w:r>
            <w:r w:rsidR="001A66F7">
              <w:rPr>
                <w:rFonts w:ascii="Times New Roman" w:hAnsi="Times New Roman" w:cs="Times New Roman"/>
                <w:sz w:val="24"/>
                <w:szCs w:val="24"/>
              </w:rPr>
              <w:t>S</w:t>
            </w:r>
            <w:r w:rsidRPr="00B06434">
              <w:rPr>
                <w:rFonts w:ascii="Times New Roman" w:hAnsi="Times New Roman" w:cs="Times New Roman"/>
                <w:sz w:val="24"/>
                <w:szCs w:val="24"/>
              </w:rPr>
              <w:t>abiedrībām, savukārt mazāk nozīmīg</w:t>
            </w:r>
            <w:r w:rsidR="00D41081" w:rsidRPr="00B06434">
              <w:rPr>
                <w:rFonts w:ascii="Times New Roman" w:hAnsi="Times New Roman" w:cs="Times New Roman"/>
                <w:sz w:val="24"/>
                <w:szCs w:val="24"/>
              </w:rPr>
              <w:t>ām</w:t>
            </w:r>
            <w:r w:rsidRPr="00B06434">
              <w:rPr>
                <w:rFonts w:ascii="Times New Roman" w:hAnsi="Times New Roman" w:cs="Times New Roman"/>
                <w:sz w:val="24"/>
                <w:szCs w:val="24"/>
              </w:rPr>
              <w:t xml:space="preserve"> </w:t>
            </w:r>
            <w:r w:rsidR="009C4386">
              <w:rPr>
                <w:rFonts w:ascii="Times New Roman" w:hAnsi="Times New Roman" w:cs="Times New Roman"/>
                <w:sz w:val="24"/>
                <w:szCs w:val="24"/>
              </w:rPr>
              <w:t>S</w:t>
            </w:r>
            <w:r w:rsidRPr="00B06434">
              <w:rPr>
                <w:rFonts w:ascii="Times New Roman" w:hAnsi="Times New Roman" w:cs="Times New Roman"/>
                <w:sz w:val="24"/>
                <w:szCs w:val="24"/>
              </w:rPr>
              <w:t>abiedrīb</w:t>
            </w:r>
            <w:r w:rsidR="00D41081" w:rsidRPr="00B06434">
              <w:rPr>
                <w:rFonts w:ascii="Times New Roman" w:hAnsi="Times New Roman" w:cs="Times New Roman"/>
                <w:sz w:val="24"/>
                <w:szCs w:val="24"/>
              </w:rPr>
              <w:t xml:space="preserve">ām </w:t>
            </w:r>
            <w:r w:rsidRPr="00B06434">
              <w:rPr>
                <w:rFonts w:ascii="Times New Roman" w:hAnsi="Times New Roman" w:cs="Times New Roman"/>
                <w:sz w:val="24"/>
                <w:szCs w:val="24"/>
              </w:rPr>
              <w:t>papildu risku</w:t>
            </w:r>
            <w:r w:rsidR="00D41081" w:rsidRPr="00B06434">
              <w:rPr>
                <w:rFonts w:ascii="Times New Roman" w:hAnsi="Times New Roman" w:cs="Times New Roman"/>
                <w:sz w:val="24"/>
                <w:szCs w:val="24"/>
              </w:rPr>
              <w:t xml:space="preserve"> no</w:t>
            </w:r>
            <w:r w:rsidRPr="00B06434">
              <w:rPr>
                <w:rFonts w:ascii="Times New Roman" w:hAnsi="Times New Roman" w:cs="Times New Roman"/>
                <w:sz w:val="24"/>
                <w:szCs w:val="24"/>
              </w:rPr>
              <w:t>vērtējum</w:t>
            </w:r>
            <w:r w:rsidR="00B06434" w:rsidRPr="00B06434">
              <w:rPr>
                <w:rFonts w:ascii="Times New Roman" w:hAnsi="Times New Roman" w:cs="Times New Roman"/>
                <w:sz w:val="24"/>
                <w:szCs w:val="24"/>
              </w:rPr>
              <w:t>s</w:t>
            </w:r>
            <w:r w:rsidR="00D41081" w:rsidRPr="00B06434">
              <w:rPr>
                <w:rFonts w:ascii="Times New Roman" w:hAnsi="Times New Roman" w:cs="Times New Roman"/>
                <w:sz w:val="24"/>
                <w:szCs w:val="24"/>
              </w:rPr>
              <w:t xml:space="preserve"> nav obligāt</w:t>
            </w:r>
            <w:r w:rsidR="00B06434" w:rsidRPr="00B06434">
              <w:rPr>
                <w:rFonts w:ascii="Times New Roman" w:hAnsi="Times New Roman" w:cs="Times New Roman"/>
                <w:sz w:val="24"/>
                <w:szCs w:val="24"/>
              </w:rPr>
              <w:t>s</w:t>
            </w:r>
            <w:r w:rsidR="00D41081" w:rsidRPr="00B06434">
              <w:rPr>
                <w:rFonts w:ascii="Times New Roman" w:hAnsi="Times New Roman" w:cs="Times New Roman"/>
                <w:sz w:val="24"/>
                <w:szCs w:val="24"/>
              </w:rPr>
              <w:t xml:space="preserve">. </w:t>
            </w:r>
            <w:r w:rsidR="00CA3389" w:rsidRPr="00B06434">
              <w:rPr>
                <w:rFonts w:ascii="Times New Roman" w:hAnsi="Times New Roman" w:cs="Times New Roman"/>
                <w:sz w:val="24"/>
                <w:szCs w:val="24"/>
              </w:rPr>
              <w:t xml:space="preserve">Mazāk nozīmīgas </w:t>
            </w:r>
            <w:r w:rsidR="009C4386">
              <w:rPr>
                <w:rFonts w:ascii="Times New Roman" w:hAnsi="Times New Roman" w:cs="Times New Roman"/>
                <w:sz w:val="24"/>
                <w:szCs w:val="24"/>
              </w:rPr>
              <w:t>S</w:t>
            </w:r>
            <w:r w:rsidR="00D41081" w:rsidRPr="00B06434">
              <w:rPr>
                <w:rFonts w:ascii="Times New Roman" w:hAnsi="Times New Roman" w:cs="Times New Roman"/>
                <w:sz w:val="24"/>
                <w:szCs w:val="24"/>
              </w:rPr>
              <w:t xml:space="preserve">abiedrības vadība, izvērtējot </w:t>
            </w:r>
            <w:r w:rsidR="009C4386">
              <w:rPr>
                <w:rFonts w:ascii="Times New Roman" w:hAnsi="Times New Roman" w:cs="Times New Roman"/>
                <w:sz w:val="24"/>
                <w:szCs w:val="24"/>
              </w:rPr>
              <w:t>S</w:t>
            </w:r>
            <w:r w:rsidR="00D41081" w:rsidRPr="00B06434">
              <w:rPr>
                <w:rFonts w:ascii="Times New Roman" w:hAnsi="Times New Roman" w:cs="Times New Roman"/>
                <w:sz w:val="24"/>
                <w:szCs w:val="24"/>
              </w:rPr>
              <w:t>abiedrības darbības un sniegto pakalpojumu specifiku, var veikt visu vai atsevišķu papildu ri</w:t>
            </w:r>
            <w:r w:rsidR="003F75AD">
              <w:rPr>
                <w:rFonts w:ascii="Times New Roman" w:hAnsi="Times New Roman" w:cs="Times New Roman"/>
                <w:sz w:val="24"/>
                <w:szCs w:val="24"/>
              </w:rPr>
              <w:t>s</w:t>
            </w:r>
            <w:r w:rsidR="00D41081" w:rsidRPr="00B06434">
              <w:rPr>
                <w:rFonts w:ascii="Times New Roman" w:hAnsi="Times New Roman" w:cs="Times New Roman"/>
                <w:sz w:val="24"/>
                <w:szCs w:val="24"/>
              </w:rPr>
              <w:t xml:space="preserve">ku būtiskuma novērtējumu pēc nepieciešamības. </w:t>
            </w:r>
            <w:r w:rsidR="004C3CB6" w:rsidRPr="00B06434">
              <w:rPr>
                <w:rFonts w:ascii="Times New Roman" w:eastAsia="Times New Roman" w:hAnsi="Times New Roman" w:cs="Times New Roman"/>
                <w:color w:val="000000" w:themeColor="text1"/>
                <w:sz w:val="24"/>
                <w:szCs w:val="24"/>
                <w:lang w:eastAsia="lv-LV"/>
              </w:rPr>
              <w:t xml:space="preserve">Ņemot vērā minēto, </w:t>
            </w:r>
            <w:r w:rsidR="00CA3389" w:rsidRPr="00B06434">
              <w:rPr>
                <w:rFonts w:ascii="Times New Roman" w:eastAsia="Times New Roman" w:hAnsi="Times New Roman" w:cs="Times New Roman"/>
                <w:color w:val="000000" w:themeColor="text1"/>
                <w:sz w:val="24"/>
                <w:szCs w:val="24"/>
                <w:lang w:eastAsia="lv-LV"/>
              </w:rPr>
              <w:t xml:space="preserve">nozīmīgām </w:t>
            </w:r>
            <w:r w:rsidR="009C4386">
              <w:rPr>
                <w:rFonts w:ascii="Times New Roman" w:eastAsia="Times New Roman" w:hAnsi="Times New Roman" w:cs="Times New Roman"/>
                <w:color w:val="000000" w:themeColor="text1"/>
                <w:sz w:val="24"/>
                <w:szCs w:val="24"/>
                <w:lang w:eastAsia="lv-LV"/>
              </w:rPr>
              <w:t>S</w:t>
            </w:r>
            <w:r w:rsidR="00CA3389" w:rsidRPr="00B06434">
              <w:rPr>
                <w:rFonts w:ascii="Times New Roman" w:eastAsia="Times New Roman" w:hAnsi="Times New Roman" w:cs="Times New Roman"/>
                <w:color w:val="000000" w:themeColor="text1"/>
                <w:sz w:val="24"/>
                <w:szCs w:val="24"/>
                <w:lang w:eastAsia="lv-LV"/>
              </w:rPr>
              <w:t xml:space="preserve">abiedrībām jāizstrādā politikas un procedūras </w:t>
            </w:r>
            <w:r w:rsidR="009C4386">
              <w:rPr>
                <w:rFonts w:ascii="Times New Roman" w:eastAsia="Times New Roman" w:hAnsi="Times New Roman" w:cs="Times New Roman"/>
                <w:color w:val="000000" w:themeColor="text1"/>
                <w:sz w:val="24"/>
                <w:szCs w:val="24"/>
                <w:lang w:eastAsia="lv-LV"/>
              </w:rPr>
              <w:t>S</w:t>
            </w:r>
            <w:r w:rsidR="00CA3389" w:rsidRPr="00B06434">
              <w:rPr>
                <w:rFonts w:ascii="Times New Roman" w:eastAsia="Times New Roman" w:hAnsi="Times New Roman" w:cs="Times New Roman"/>
                <w:color w:val="000000" w:themeColor="text1"/>
                <w:sz w:val="24"/>
                <w:szCs w:val="24"/>
                <w:lang w:eastAsia="lv-LV"/>
              </w:rPr>
              <w:t>abiedrības darbībai piemītošo papildu risku identificēšanai, t.</w:t>
            </w:r>
            <w:r w:rsidR="00F703B1">
              <w:rPr>
                <w:rFonts w:ascii="Times New Roman" w:eastAsia="Times New Roman" w:hAnsi="Times New Roman" w:cs="Times New Roman"/>
                <w:color w:val="000000" w:themeColor="text1"/>
                <w:sz w:val="24"/>
                <w:szCs w:val="24"/>
                <w:lang w:eastAsia="lv-LV"/>
              </w:rPr>
              <w:t> </w:t>
            </w:r>
            <w:r w:rsidR="00CA3389" w:rsidRPr="00B06434">
              <w:rPr>
                <w:rFonts w:ascii="Times New Roman" w:eastAsia="Times New Roman" w:hAnsi="Times New Roman" w:cs="Times New Roman"/>
                <w:color w:val="000000" w:themeColor="text1"/>
                <w:sz w:val="24"/>
                <w:szCs w:val="24"/>
                <w:lang w:eastAsia="lv-LV"/>
              </w:rPr>
              <w:t>sk. jānosaka kvalitatīv</w:t>
            </w:r>
            <w:r w:rsidR="003F75AD">
              <w:rPr>
                <w:rFonts w:ascii="Times New Roman" w:eastAsia="Times New Roman" w:hAnsi="Times New Roman" w:cs="Times New Roman"/>
                <w:color w:val="000000" w:themeColor="text1"/>
                <w:sz w:val="24"/>
                <w:szCs w:val="24"/>
                <w:lang w:eastAsia="lv-LV"/>
              </w:rPr>
              <w:t>ie</w:t>
            </w:r>
            <w:r w:rsidR="00CA3389" w:rsidRPr="00B06434">
              <w:rPr>
                <w:rFonts w:ascii="Times New Roman" w:eastAsia="Times New Roman" w:hAnsi="Times New Roman" w:cs="Times New Roman"/>
                <w:color w:val="000000" w:themeColor="text1"/>
                <w:sz w:val="24"/>
                <w:szCs w:val="24"/>
                <w:lang w:eastAsia="lv-LV"/>
              </w:rPr>
              <w:t xml:space="preserve"> un kvantitatīv</w:t>
            </w:r>
            <w:r w:rsidR="003F75AD">
              <w:rPr>
                <w:rFonts w:ascii="Times New Roman" w:eastAsia="Times New Roman" w:hAnsi="Times New Roman" w:cs="Times New Roman"/>
                <w:color w:val="000000" w:themeColor="text1"/>
                <w:sz w:val="24"/>
                <w:szCs w:val="24"/>
                <w:lang w:eastAsia="lv-LV"/>
              </w:rPr>
              <w:t>ie</w:t>
            </w:r>
            <w:r w:rsidR="00CA3389" w:rsidRPr="00B06434">
              <w:rPr>
                <w:rFonts w:ascii="Times New Roman" w:eastAsia="Times New Roman" w:hAnsi="Times New Roman" w:cs="Times New Roman"/>
                <w:color w:val="000000" w:themeColor="text1"/>
                <w:sz w:val="24"/>
                <w:szCs w:val="24"/>
                <w:lang w:eastAsia="lv-LV"/>
              </w:rPr>
              <w:t xml:space="preserve"> kritērij</w:t>
            </w:r>
            <w:r w:rsidR="003F75AD">
              <w:rPr>
                <w:rFonts w:ascii="Times New Roman" w:eastAsia="Times New Roman" w:hAnsi="Times New Roman" w:cs="Times New Roman"/>
                <w:color w:val="000000" w:themeColor="text1"/>
                <w:sz w:val="24"/>
                <w:szCs w:val="24"/>
                <w:lang w:eastAsia="lv-LV"/>
              </w:rPr>
              <w:t>i</w:t>
            </w:r>
            <w:r w:rsidR="00CA3389" w:rsidRPr="00B06434">
              <w:rPr>
                <w:rFonts w:ascii="Times New Roman" w:eastAsia="Times New Roman" w:hAnsi="Times New Roman" w:cs="Times New Roman"/>
                <w:color w:val="000000" w:themeColor="text1"/>
                <w:sz w:val="24"/>
                <w:szCs w:val="24"/>
                <w:lang w:eastAsia="lv-LV"/>
              </w:rPr>
              <w:t xml:space="preserve"> to būtiskuma noteikšanai, kā arī jādokumentē risku novērtējuma rezultāti un secinājumi. </w:t>
            </w:r>
            <w:r w:rsidR="00B06434" w:rsidRPr="00B06434">
              <w:rPr>
                <w:rFonts w:ascii="Times New Roman" w:eastAsia="Times New Roman" w:hAnsi="Times New Roman" w:cs="Times New Roman"/>
                <w:color w:val="000000" w:themeColor="text1"/>
                <w:sz w:val="24"/>
                <w:szCs w:val="24"/>
                <w:lang w:eastAsia="lv-LV"/>
              </w:rPr>
              <w:t>Savukārt m</w:t>
            </w:r>
            <w:r w:rsidR="004C3CB6" w:rsidRPr="00B06434">
              <w:rPr>
                <w:rFonts w:ascii="Times New Roman" w:eastAsia="Times New Roman" w:hAnsi="Times New Roman" w:cs="Times New Roman"/>
                <w:color w:val="000000" w:themeColor="text1"/>
                <w:sz w:val="24"/>
                <w:szCs w:val="24"/>
                <w:lang w:eastAsia="lv-LV"/>
              </w:rPr>
              <w:t xml:space="preserve">azāk nozīmīgām </w:t>
            </w:r>
            <w:r w:rsidR="009C4386">
              <w:rPr>
                <w:rFonts w:ascii="Times New Roman" w:eastAsia="Times New Roman" w:hAnsi="Times New Roman" w:cs="Times New Roman"/>
                <w:color w:val="000000" w:themeColor="text1"/>
                <w:sz w:val="24"/>
                <w:szCs w:val="24"/>
                <w:lang w:eastAsia="lv-LV"/>
              </w:rPr>
              <w:t>S</w:t>
            </w:r>
            <w:r w:rsidR="004C3CB6" w:rsidRPr="00B06434">
              <w:rPr>
                <w:rFonts w:ascii="Times New Roman" w:eastAsia="Times New Roman" w:hAnsi="Times New Roman" w:cs="Times New Roman"/>
                <w:color w:val="000000" w:themeColor="text1"/>
                <w:sz w:val="24"/>
                <w:szCs w:val="24"/>
                <w:lang w:eastAsia="lv-LV"/>
              </w:rPr>
              <w:t>abiedrīb</w:t>
            </w:r>
            <w:r w:rsidR="00CA3389" w:rsidRPr="00B06434">
              <w:rPr>
                <w:rFonts w:ascii="Times New Roman" w:eastAsia="Times New Roman" w:hAnsi="Times New Roman" w:cs="Times New Roman"/>
                <w:color w:val="000000" w:themeColor="text1"/>
                <w:sz w:val="24"/>
                <w:szCs w:val="24"/>
                <w:lang w:eastAsia="lv-LV"/>
              </w:rPr>
              <w:t xml:space="preserve">ām šī prasība ir saistoša tikai gadījumos, kad </w:t>
            </w:r>
            <w:r w:rsidR="009C4386">
              <w:rPr>
                <w:rFonts w:ascii="Times New Roman" w:eastAsia="Times New Roman" w:hAnsi="Times New Roman" w:cs="Times New Roman"/>
                <w:color w:val="000000" w:themeColor="text1"/>
                <w:sz w:val="24"/>
                <w:szCs w:val="24"/>
                <w:lang w:eastAsia="lv-LV"/>
              </w:rPr>
              <w:t>S</w:t>
            </w:r>
            <w:r w:rsidR="00CA3389" w:rsidRPr="00B06434">
              <w:rPr>
                <w:rFonts w:ascii="Times New Roman" w:eastAsia="Times New Roman" w:hAnsi="Times New Roman" w:cs="Times New Roman"/>
                <w:color w:val="000000" w:themeColor="text1"/>
                <w:sz w:val="24"/>
                <w:szCs w:val="24"/>
                <w:lang w:eastAsia="lv-LV"/>
              </w:rPr>
              <w:t>abiedrības vadība izvēl</w:t>
            </w:r>
            <w:r w:rsidR="003F75AD">
              <w:rPr>
                <w:rFonts w:ascii="Times New Roman" w:eastAsia="Times New Roman" w:hAnsi="Times New Roman" w:cs="Times New Roman"/>
                <w:color w:val="000000" w:themeColor="text1"/>
                <w:sz w:val="24"/>
                <w:szCs w:val="24"/>
                <w:lang w:eastAsia="lv-LV"/>
              </w:rPr>
              <w:t>a</w:t>
            </w:r>
            <w:r w:rsidR="00CA3389" w:rsidRPr="00B06434">
              <w:rPr>
                <w:rFonts w:ascii="Times New Roman" w:eastAsia="Times New Roman" w:hAnsi="Times New Roman" w:cs="Times New Roman"/>
                <w:color w:val="000000" w:themeColor="text1"/>
                <w:sz w:val="24"/>
                <w:szCs w:val="24"/>
                <w:lang w:eastAsia="lv-LV"/>
              </w:rPr>
              <w:t>s veikt papildu risku novērtējumu</w:t>
            </w:r>
            <w:r w:rsidR="00B06434" w:rsidRPr="00B06434">
              <w:rPr>
                <w:rFonts w:ascii="Times New Roman" w:eastAsia="Times New Roman" w:hAnsi="Times New Roman" w:cs="Times New Roman"/>
                <w:color w:val="000000" w:themeColor="text1"/>
                <w:sz w:val="24"/>
                <w:szCs w:val="24"/>
                <w:lang w:eastAsia="lv-LV"/>
              </w:rPr>
              <w:t>;</w:t>
            </w:r>
          </w:p>
          <w:p w14:paraId="693FFD81" w14:textId="07AB76A0" w:rsidR="0068376C" w:rsidRDefault="00B06434" w:rsidP="00754658">
            <w:pPr>
              <w:pStyle w:val="ListParagraph"/>
              <w:numPr>
                <w:ilvl w:val="0"/>
                <w:numId w:val="16"/>
              </w:numPr>
              <w:spacing w:after="120" w:line="240" w:lineRule="auto"/>
              <w:contextualSpacing w:val="0"/>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p</w:t>
            </w:r>
            <w:r w:rsidR="00B90CB4" w:rsidRPr="00B06434">
              <w:rPr>
                <w:rFonts w:ascii="Times New Roman" w:eastAsia="Times New Roman" w:hAnsi="Times New Roman" w:cs="Times New Roman"/>
                <w:color w:val="000000" w:themeColor="text1"/>
                <w:sz w:val="24"/>
                <w:szCs w:val="24"/>
                <w:lang w:eastAsia="lv-LV"/>
              </w:rPr>
              <w:t xml:space="preserve">ārējie </w:t>
            </w:r>
            <w:r w:rsidR="00E333F8">
              <w:rPr>
                <w:rFonts w:ascii="Times New Roman" w:eastAsia="Times New Roman" w:hAnsi="Times New Roman" w:cs="Times New Roman"/>
                <w:color w:val="000000" w:themeColor="text1"/>
                <w:sz w:val="24"/>
                <w:szCs w:val="24"/>
                <w:lang w:eastAsia="lv-LV"/>
              </w:rPr>
              <w:t>S</w:t>
            </w:r>
            <w:r w:rsidR="00B90CB4" w:rsidRPr="00B06434">
              <w:rPr>
                <w:rFonts w:ascii="Times New Roman" w:eastAsia="Times New Roman" w:hAnsi="Times New Roman" w:cs="Times New Roman"/>
                <w:color w:val="000000" w:themeColor="text1"/>
                <w:sz w:val="24"/>
                <w:szCs w:val="24"/>
                <w:lang w:eastAsia="lv-LV"/>
              </w:rPr>
              <w:t xml:space="preserve">abiedrības darbību ietekmējošie riski papildināti ar valsts risku, kas pamatojams ar to, ka par </w:t>
            </w:r>
            <w:r w:rsidR="009C4386">
              <w:rPr>
                <w:rFonts w:ascii="Times New Roman" w:eastAsia="Times New Roman" w:hAnsi="Times New Roman" w:cs="Times New Roman"/>
                <w:color w:val="000000" w:themeColor="text1"/>
                <w:sz w:val="24"/>
                <w:szCs w:val="24"/>
                <w:lang w:eastAsia="lv-LV"/>
              </w:rPr>
              <w:t>S</w:t>
            </w:r>
            <w:r w:rsidR="00B90CB4" w:rsidRPr="00B06434">
              <w:rPr>
                <w:rFonts w:ascii="Times New Roman" w:eastAsia="Times New Roman" w:hAnsi="Times New Roman" w:cs="Times New Roman"/>
                <w:color w:val="000000" w:themeColor="text1"/>
                <w:sz w:val="24"/>
                <w:szCs w:val="24"/>
                <w:lang w:eastAsia="lv-LV"/>
              </w:rPr>
              <w:t>abiedrības biedr</w:t>
            </w:r>
            <w:r w:rsidR="003F75AD">
              <w:rPr>
                <w:rFonts w:ascii="Times New Roman" w:eastAsia="Times New Roman" w:hAnsi="Times New Roman" w:cs="Times New Roman"/>
                <w:color w:val="000000" w:themeColor="text1"/>
                <w:sz w:val="24"/>
                <w:szCs w:val="24"/>
                <w:lang w:eastAsia="lv-LV"/>
              </w:rPr>
              <w:t>iem</w:t>
            </w:r>
            <w:r w:rsidR="00B90CB4" w:rsidRPr="00B06434">
              <w:rPr>
                <w:rFonts w:ascii="Times New Roman" w:eastAsia="Times New Roman" w:hAnsi="Times New Roman" w:cs="Times New Roman"/>
                <w:color w:val="000000" w:themeColor="text1"/>
                <w:sz w:val="24"/>
                <w:szCs w:val="24"/>
                <w:lang w:eastAsia="lv-LV"/>
              </w:rPr>
              <w:t xml:space="preserve"> var kļūt personas, kuru </w:t>
            </w:r>
            <w:r w:rsidR="007770E5" w:rsidRPr="00B06434">
              <w:rPr>
                <w:rFonts w:ascii="Times New Roman" w:eastAsia="Times New Roman" w:hAnsi="Times New Roman" w:cs="Times New Roman"/>
                <w:color w:val="000000" w:themeColor="text1"/>
                <w:sz w:val="24"/>
                <w:szCs w:val="24"/>
                <w:lang w:eastAsia="lv-LV"/>
              </w:rPr>
              <w:t>rezidences vai reģistrācijas valsts nav Latvijas Republika</w:t>
            </w:r>
            <w:r w:rsidR="0068376C">
              <w:rPr>
                <w:rFonts w:ascii="Times New Roman" w:eastAsia="Times New Roman" w:hAnsi="Times New Roman" w:cs="Times New Roman"/>
                <w:color w:val="000000" w:themeColor="text1"/>
                <w:sz w:val="24"/>
                <w:szCs w:val="24"/>
                <w:lang w:eastAsia="lv-LV"/>
              </w:rPr>
              <w:t>;</w:t>
            </w:r>
          </w:p>
          <w:p w14:paraId="3572FF75" w14:textId="1F54920F" w:rsidR="002B4DEA" w:rsidRDefault="0068376C" w:rsidP="00754658">
            <w:pPr>
              <w:pStyle w:val="ListParagraph"/>
              <w:numPr>
                <w:ilvl w:val="0"/>
                <w:numId w:val="16"/>
              </w:numPr>
              <w:spacing w:after="120" w:line="240" w:lineRule="auto"/>
              <w:contextualSpacing w:val="0"/>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v</w:t>
            </w:r>
            <w:r w:rsidR="00C904E0" w:rsidRPr="0068376C">
              <w:rPr>
                <w:rFonts w:ascii="Times New Roman" w:eastAsia="Times New Roman" w:hAnsi="Times New Roman" w:cs="Times New Roman"/>
                <w:color w:val="000000" w:themeColor="text1"/>
                <w:sz w:val="24"/>
                <w:szCs w:val="24"/>
                <w:lang w:eastAsia="lv-LV"/>
              </w:rPr>
              <w:t xml:space="preserve">isām </w:t>
            </w:r>
            <w:r w:rsidR="009C4386">
              <w:rPr>
                <w:rFonts w:ascii="Times New Roman" w:eastAsia="Times New Roman" w:hAnsi="Times New Roman" w:cs="Times New Roman"/>
                <w:color w:val="000000" w:themeColor="text1"/>
                <w:sz w:val="24"/>
                <w:szCs w:val="24"/>
                <w:lang w:eastAsia="lv-LV"/>
              </w:rPr>
              <w:t>S</w:t>
            </w:r>
            <w:r w:rsidR="00C904E0" w:rsidRPr="0068376C">
              <w:rPr>
                <w:rFonts w:ascii="Times New Roman" w:eastAsia="Times New Roman" w:hAnsi="Times New Roman" w:cs="Times New Roman"/>
                <w:color w:val="000000" w:themeColor="text1"/>
                <w:sz w:val="24"/>
                <w:szCs w:val="24"/>
                <w:lang w:eastAsia="lv-LV"/>
              </w:rPr>
              <w:t xml:space="preserve">abiedrībām neatkarīgi no to nozīmīguma </w:t>
            </w:r>
            <w:r>
              <w:rPr>
                <w:rFonts w:ascii="Times New Roman" w:eastAsia="Times New Roman" w:hAnsi="Times New Roman" w:cs="Times New Roman"/>
                <w:color w:val="000000" w:themeColor="text1"/>
                <w:sz w:val="24"/>
                <w:szCs w:val="24"/>
                <w:lang w:eastAsia="lv-LV"/>
              </w:rPr>
              <w:t xml:space="preserve">tiek </w:t>
            </w:r>
            <w:r w:rsidR="002B4DEA" w:rsidRPr="0068376C">
              <w:rPr>
                <w:rFonts w:ascii="Times New Roman" w:eastAsia="Times New Roman" w:hAnsi="Times New Roman" w:cs="Times New Roman"/>
                <w:color w:val="000000" w:themeColor="text1"/>
                <w:sz w:val="24"/>
                <w:szCs w:val="24"/>
                <w:lang w:eastAsia="lv-LV"/>
              </w:rPr>
              <w:t xml:space="preserve">samazināts administratīvais slogs, atceļot prasību ne retāk kā reizi gadā pārskatīt </w:t>
            </w:r>
            <w:r w:rsidR="001D7DB1">
              <w:rPr>
                <w:rFonts w:ascii="Times New Roman" w:eastAsia="Times New Roman" w:hAnsi="Times New Roman" w:cs="Times New Roman"/>
                <w:color w:val="000000" w:themeColor="text1"/>
                <w:sz w:val="24"/>
                <w:szCs w:val="24"/>
                <w:lang w:eastAsia="lv-LV"/>
              </w:rPr>
              <w:t>politikas un procedūras</w:t>
            </w:r>
            <w:r w:rsidR="002B4DEA" w:rsidRPr="0068376C">
              <w:rPr>
                <w:rFonts w:ascii="Times New Roman" w:eastAsia="Times New Roman" w:hAnsi="Times New Roman" w:cs="Times New Roman"/>
                <w:color w:val="000000" w:themeColor="text1"/>
                <w:sz w:val="24"/>
                <w:szCs w:val="24"/>
                <w:lang w:eastAsia="lv-LV"/>
              </w:rPr>
              <w:t xml:space="preserve">. Noteikumu projektā </w:t>
            </w:r>
            <w:r>
              <w:rPr>
                <w:rFonts w:ascii="Times New Roman" w:eastAsia="Times New Roman" w:hAnsi="Times New Roman" w:cs="Times New Roman"/>
                <w:color w:val="000000" w:themeColor="text1"/>
                <w:sz w:val="24"/>
                <w:szCs w:val="24"/>
                <w:lang w:eastAsia="lv-LV"/>
              </w:rPr>
              <w:t>paredzēts</w:t>
            </w:r>
            <w:r w:rsidR="002B4DEA" w:rsidRPr="0068376C">
              <w:rPr>
                <w:rFonts w:ascii="Times New Roman" w:eastAsia="Times New Roman" w:hAnsi="Times New Roman" w:cs="Times New Roman"/>
                <w:color w:val="000000" w:themeColor="text1"/>
                <w:sz w:val="24"/>
                <w:szCs w:val="24"/>
                <w:lang w:eastAsia="lv-LV"/>
              </w:rPr>
              <w:t xml:space="preserve">, ka </w:t>
            </w:r>
            <w:r w:rsidR="009C4386">
              <w:rPr>
                <w:rFonts w:ascii="Times New Roman" w:eastAsia="Times New Roman" w:hAnsi="Times New Roman" w:cs="Times New Roman"/>
                <w:color w:val="000000" w:themeColor="text1"/>
                <w:sz w:val="24"/>
                <w:szCs w:val="24"/>
                <w:lang w:eastAsia="lv-LV"/>
              </w:rPr>
              <w:t>S</w:t>
            </w:r>
            <w:r w:rsidR="002B4DEA" w:rsidRPr="0068376C">
              <w:rPr>
                <w:rFonts w:ascii="Times New Roman" w:eastAsia="Times New Roman" w:hAnsi="Times New Roman" w:cs="Times New Roman"/>
                <w:color w:val="000000" w:themeColor="text1"/>
                <w:sz w:val="24"/>
                <w:szCs w:val="24"/>
                <w:lang w:eastAsia="lv-LV"/>
              </w:rPr>
              <w:t>abiedrība šo procesu veic regulāri, atbilstoši pārmaiņām tās darbībā</w:t>
            </w:r>
            <w:r w:rsidR="003F75AD">
              <w:rPr>
                <w:rFonts w:ascii="Times New Roman" w:eastAsia="Times New Roman" w:hAnsi="Times New Roman" w:cs="Times New Roman"/>
                <w:color w:val="000000" w:themeColor="text1"/>
                <w:sz w:val="24"/>
                <w:szCs w:val="24"/>
                <w:lang w:eastAsia="lv-LV"/>
              </w:rPr>
              <w:t xml:space="preserve"> un</w:t>
            </w:r>
            <w:r w:rsidR="002B4DEA" w:rsidRPr="0068376C">
              <w:rPr>
                <w:rFonts w:ascii="Times New Roman" w:eastAsia="Times New Roman" w:hAnsi="Times New Roman" w:cs="Times New Roman"/>
                <w:color w:val="000000" w:themeColor="text1"/>
                <w:sz w:val="24"/>
                <w:szCs w:val="24"/>
                <w:lang w:eastAsia="lv-LV"/>
              </w:rPr>
              <w:t xml:space="preserve"> to ietekmējošos ārējos apstākļos. Sabiedrība pati var noteikt iekšējo normatīvo dokumentu (politiku, procedūru utt.) pārskatīšanas regularitāti, saglabājot to apstiprināšanas kārtību atbilstošā vadības līmenī (padome (</w:t>
            </w:r>
            <w:r w:rsidR="00BB28B2">
              <w:rPr>
                <w:rFonts w:ascii="Times New Roman" w:eastAsia="Times New Roman" w:hAnsi="Times New Roman" w:cs="Times New Roman"/>
                <w:color w:val="000000" w:themeColor="text1"/>
                <w:sz w:val="24"/>
                <w:szCs w:val="24"/>
                <w:lang w:eastAsia="lv-LV"/>
              </w:rPr>
              <w:t xml:space="preserve">biedru </w:t>
            </w:r>
            <w:r w:rsidR="00D06B03">
              <w:rPr>
                <w:rFonts w:ascii="Times New Roman" w:eastAsia="Times New Roman" w:hAnsi="Times New Roman" w:cs="Times New Roman"/>
                <w:color w:val="000000" w:themeColor="text1"/>
                <w:sz w:val="24"/>
                <w:szCs w:val="24"/>
                <w:lang w:eastAsia="lv-LV"/>
              </w:rPr>
              <w:t>kop</w:t>
            </w:r>
            <w:r w:rsidR="00C904E0" w:rsidRPr="0068376C">
              <w:rPr>
                <w:rFonts w:ascii="Times New Roman" w:eastAsia="Times New Roman" w:hAnsi="Times New Roman" w:cs="Times New Roman"/>
                <w:color w:val="000000" w:themeColor="text1"/>
                <w:sz w:val="24"/>
                <w:szCs w:val="24"/>
                <w:lang w:eastAsia="lv-LV"/>
              </w:rPr>
              <w:t>sapulce)</w:t>
            </w:r>
            <w:r w:rsidR="002B4DEA" w:rsidRPr="0068376C">
              <w:rPr>
                <w:rFonts w:ascii="Times New Roman" w:eastAsia="Times New Roman" w:hAnsi="Times New Roman" w:cs="Times New Roman"/>
                <w:color w:val="000000" w:themeColor="text1"/>
                <w:sz w:val="24"/>
                <w:szCs w:val="24"/>
                <w:lang w:eastAsia="lv-LV"/>
              </w:rPr>
              <w:t>, valde)</w:t>
            </w:r>
            <w:r>
              <w:rPr>
                <w:rFonts w:ascii="Times New Roman" w:eastAsia="Times New Roman" w:hAnsi="Times New Roman" w:cs="Times New Roman"/>
                <w:color w:val="000000" w:themeColor="text1"/>
                <w:sz w:val="24"/>
                <w:szCs w:val="24"/>
                <w:lang w:eastAsia="lv-LV"/>
              </w:rPr>
              <w:t>;</w:t>
            </w:r>
          </w:p>
          <w:p w14:paraId="4E3DDB19" w14:textId="0D1C390E" w:rsidR="004C3CB6" w:rsidRDefault="00C904E0" w:rsidP="00754658">
            <w:pPr>
              <w:pStyle w:val="ListParagraph"/>
              <w:numPr>
                <w:ilvl w:val="0"/>
                <w:numId w:val="16"/>
              </w:numPr>
              <w:spacing w:after="120" w:line="240" w:lineRule="auto"/>
              <w:contextualSpacing w:val="0"/>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ar mērķi samazināt administratīvo slogu</w:t>
            </w:r>
            <w:r w:rsidR="0068376C">
              <w:rPr>
                <w:rFonts w:ascii="Times New Roman" w:eastAsia="Times New Roman" w:hAnsi="Times New Roman" w:cs="Times New Roman"/>
                <w:color w:val="000000" w:themeColor="text1"/>
                <w:sz w:val="24"/>
                <w:szCs w:val="24"/>
                <w:lang w:eastAsia="lv-LV"/>
              </w:rPr>
              <w:t xml:space="preserve"> visām </w:t>
            </w:r>
            <w:r w:rsidR="009C4386">
              <w:rPr>
                <w:rFonts w:ascii="Times New Roman" w:eastAsia="Times New Roman" w:hAnsi="Times New Roman" w:cs="Times New Roman"/>
                <w:color w:val="000000" w:themeColor="text1"/>
                <w:sz w:val="24"/>
                <w:szCs w:val="24"/>
                <w:lang w:eastAsia="lv-LV"/>
              </w:rPr>
              <w:t>S</w:t>
            </w:r>
            <w:r w:rsidR="0068376C">
              <w:rPr>
                <w:rFonts w:ascii="Times New Roman" w:eastAsia="Times New Roman" w:hAnsi="Times New Roman" w:cs="Times New Roman"/>
                <w:color w:val="000000" w:themeColor="text1"/>
                <w:sz w:val="24"/>
                <w:szCs w:val="24"/>
                <w:lang w:eastAsia="lv-LV"/>
              </w:rPr>
              <w:t xml:space="preserve">abiedrībām </w:t>
            </w:r>
            <w:r>
              <w:rPr>
                <w:rFonts w:ascii="Times New Roman" w:eastAsia="Times New Roman" w:hAnsi="Times New Roman" w:cs="Times New Roman"/>
                <w:color w:val="000000" w:themeColor="text1"/>
                <w:sz w:val="24"/>
                <w:szCs w:val="24"/>
                <w:lang w:eastAsia="lv-LV"/>
              </w:rPr>
              <w:t xml:space="preserve">atcelta prasība dokumentēt un uzturēt jaunu finanšu pakalpojumu ieviešanas politiku, ja </w:t>
            </w:r>
            <w:r w:rsidR="009C4386">
              <w:rPr>
                <w:rFonts w:ascii="Times New Roman" w:eastAsia="Times New Roman" w:hAnsi="Times New Roman" w:cs="Times New Roman"/>
                <w:color w:val="000000" w:themeColor="text1"/>
                <w:sz w:val="24"/>
                <w:szCs w:val="24"/>
                <w:lang w:eastAsia="lv-LV"/>
              </w:rPr>
              <w:t>S</w:t>
            </w:r>
            <w:r>
              <w:rPr>
                <w:rFonts w:ascii="Times New Roman" w:eastAsia="Times New Roman" w:hAnsi="Times New Roman" w:cs="Times New Roman"/>
                <w:color w:val="000000" w:themeColor="text1"/>
                <w:sz w:val="24"/>
                <w:szCs w:val="24"/>
                <w:lang w:eastAsia="lv-LV"/>
              </w:rPr>
              <w:t xml:space="preserve">abiedrība neplāno ieviest vai uzsākt jauna finanšu pakalpojuma sniegšanu vai ieviest būtiskas izmaiņas esošajos finanšu pakalpojumos. </w:t>
            </w:r>
            <w:r w:rsidR="009C4386">
              <w:rPr>
                <w:rFonts w:ascii="Times New Roman" w:eastAsia="Times New Roman" w:hAnsi="Times New Roman" w:cs="Times New Roman"/>
                <w:color w:val="000000" w:themeColor="text1"/>
                <w:sz w:val="24"/>
                <w:szCs w:val="24"/>
                <w:lang w:eastAsia="lv-LV"/>
              </w:rPr>
              <w:t>S</w:t>
            </w:r>
            <w:r>
              <w:rPr>
                <w:rFonts w:ascii="Times New Roman" w:eastAsia="Times New Roman" w:hAnsi="Times New Roman" w:cs="Times New Roman"/>
                <w:color w:val="000000" w:themeColor="text1"/>
                <w:sz w:val="24"/>
                <w:szCs w:val="24"/>
                <w:lang w:eastAsia="lv-LV"/>
              </w:rPr>
              <w:t>abiedrībām saglabāta prasība definēt, kas ir jauns finanšu pakalpojums vai būtiskas izmaiņas esošajos finanšu pakalpojumos. Līdz ar to izstrādāt un ieviest pilnu dokumentāciju un procesu jaunu pakalpojumu sniegšanas jomā būs nepieciešams tikai</w:t>
            </w:r>
            <w:r w:rsidR="0068376C">
              <w:rPr>
                <w:rFonts w:ascii="Times New Roman" w:eastAsia="Times New Roman" w:hAnsi="Times New Roman" w:cs="Times New Roman"/>
                <w:color w:val="000000" w:themeColor="text1"/>
                <w:sz w:val="24"/>
                <w:szCs w:val="24"/>
                <w:lang w:eastAsia="lv-LV"/>
              </w:rPr>
              <w:t xml:space="preserve"> tad</w:t>
            </w:r>
            <w:r>
              <w:rPr>
                <w:rFonts w:ascii="Times New Roman" w:eastAsia="Times New Roman" w:hAnsi="Times New Roman" w:cs="Times New Roman"/>
                <w:color w:val="000000" w:themeColor="text1"/>
                <w:sz w:val="24"/>
                <w:szCs w:val="24"/>
                <w:lang w:eastAsia="lv-LV"/>
              </w:rPr>
              <w:t xml:space="preserve">, ja </w:t>
            </w:r>
            <w:r w:rsidR="009C4386">
              <w:rPr>
                <w:rFonts w:ascii="Times New Roman" w:eastAsia="Times New Roman" w:hAnsi="Times New Roman" w:cs="Times New Roman"/>
                <w:color w:val="000000" w:themeColor="text1"/>
                <w:sz w:val="24"/>
                <w:szCs w:val="24"/>
                <w:lang w:eastAsia="lv-LV"/>
              </w:rPr>
              <w:t>S</w:t>
            </w:r>
            <w:r>
              <w:rPr>
                <w:rFonts w:ascii="Times New Roman" w:eastAsia="Times New Roman" w:hAnsi="Times New Roman" w:cs="Times New Roman"/>
                <w:color w:val="000000" w:themeColor="text1"/>
                <w:sz w:val="24"/>
                <w:szCs w:val="24"/>
                <w:lang w:eastAsia="lv-LV"/>
              </w:rPr>
              <w:t>abiedrība konstatēs, ka plānotās pārmaiņas atbilst</w:t>
            </w:r>
            <w:r w:rsidR="003F75AD">
              <w:rPr>
                <w:rFonts w:ascii="Times New Roman" w:eastAsia="Times New Roman" w:hAnsi="Times New Roman" w:cs="Times New Roman"/>
                <w:color w:val="000000" w:themeColor="text1"/>
                <w:sz w:val="24"/>
                <w:szCs w:val="24"/>
                <w:lang w:eastAsia="lv-LV"/>
              </w:rPr>
              <w:t xml:space="preserve"> tās</w:t>
            </w:r>
            <w:r>
              <w:rPr>
                <w:rFonts w:ascii="Times New Roman" w:eastAsia="Times New Roman" w:hAnsi="Times New Roman" w:cs="Times New Roman"/>
                <w:color w:val="000000" w:themeColor="text1"/>
                <w:sz w:val="24"/>
                <w:szCs w:val="24"/>
                <w:lang w:eastAsia="lv-LV"/>
              </w:rPr>
              <w:t xml:space="preserve"> paš</w:t>
            </w:r>
            <w:r w:rsidR="003F75AD">
              <w:rPr>
                <w:rFonts w:ascii="Times New Roman" w:eastAsia="Times New Roman" w:hAnsi="Times New Roman" w:cs="Times New Roman"/>
                <w:color w:val="000000" w:themeColor="text1"/>
                <w:sz w:val="24"/>
                <w:szCs w:val="24"/>
                <w:lang w:eastAsia="lv-LV"/>
              </w:rPr>
              <w:t>as</w:t>
            </w:r>
            <w:r>
              <w:rPr>
                <w:rFonts w:ascii="Times New Roman" w:eastAsia="Times New Roman" w:hAnsi="Times New Roman" w:cs="Times New Roman"/>
                <w:color w:val="000000" w:themeColor="text1"/>
                <w:sz w:val="24"/>
                <w:szCs w:val="24"/>
                <w:lang w:eastAsia="lv-LV"/>
              </w:rPr>
              <w:t xml:space="preserve"> noteiktajām definīcijām un kritērijiem</w:t>
            </w:r>
            <w:r w:rsidR="0068376C">
              <w:rPr>
                <w:rFonts w:ascii="Times New Roman" w:eastAsia="Times New Roman" w:hAnsi="Times New Roman" w:cs="Times New Roman"/>
                <w:color w:val="000000" w:themeColor="text1"/>
                <w:sz w:val="24"/>
                <w:szCs w:val="24"/>
                <w:lang w:eastAsia="lv-LV"/>
              </w:rPr>
              <w:t>;</w:t>
            </w:r>
          </w:p>
          <w:p w14:paraId="769223C9" w14:textId="0EC58011" w:rsidR="00BB28B2" w:rsidRPr="009A5923" w:rsidRDefault="009A5923" w:rsidP="00754658">
            <w:pPr>
              <w:pStyle w:val="ListParagraph"/>
              <w:numPr>
                <w:ilvl w:val="0"/>
                <w:numId w:val="16"/>
              </w:numPr>
              <w:spacing w:after="120" w:line="240" w:lineRule="auto"/>
              <w:contextualSpacing w:val="0"/>
              <w:jc w:val="both"/>
              <w:rPr>
                <w:rFonts w:ascii="Times New Roman" w:eastAsia="Times New Roman" w:hAnsi="Times New Roman" w:cs="Times New Roman"/>
                <w:color w:val="000000" w:themeColor="text1"/>
                <w:sz w:val="24"/>
                <w:szCs w:val="24"/>
                <w:lang w:eastAsia="lv-LV"/>
              </w:rPr>
            </w:pPr>
            <w:r w:rsidRPr="009A5923">
              <w:rPr>
                <w:rFonts w:ascii="Times New Roman" w:eastAsia="Times New Roman" w:hAnsi="Times New Roman" w:cs="Times New Roman"/>
                <w:color w:val="000000" w:themeColor="text1"/>
                <w:sz w:val="24"/>
                <w:szCs w:val="24"/>
                <w:lang w:eastAsia="lv-LV"/>
              </w:rPr>
              <w:t xml:space="preserve">noteikumu projektā veiktas izmaiņas nodaļā par grāmatvedības organizāciju, nosakot, ka visus darījumus katru </w:t>
            </w:r>
            <w:r w:rsidR="007406AE">
              <w:rPr>
                <w:rFonts w:ascii="Times New Roman" w:eastAsia="Times New Roman" w:hAnsi="Times New Roman" w:cs="Times New Roman"/>
                <w:color w:val="000000" w:themeColor="text1"/>
                <w:sz w:val="24"/>
                <w:szCs w:val="24"/>
                <w:lang w:eastAsia="lv-LV"/>
              </w:rPr>
              <w:t xml:space="preserve">darba </w:t>
            </w:r>
            <w:r w:rsidRPr="009A5923">
              <w:rPr>
                <w:rFonts w:ascii="Times New Roman" w:eastAsia="Times New Roman" w:hAnsi="Times New Roman" w:cs="Times New Roman"/>
                <w:color w:val="000000" w:themeColor="text1"/>
                <w:sz w:val="24"/>
                <w:szCs w:val="24"/>
                <w:lang w:eastAsia="lv-LV"/>
              </w:rPr>
              <w:t>dienu apstrādā arī</w:t>
            </w:r>
            <w:r w:rsidR="007406AE">
              <w:rPr>
                <w:rFonts w:ascii="Times New Roman" w:eastAsia="Times New Roman" w:hAnsi="Times New Roman" w:cs="Times New Roman"/>
                <w:color w:val="000000" w:themeColor="text1"/>
                <w:sz w:val="24"/>
                <w:szCs w:val="24"/>
                <w:lang w:eastAsia="lv-LV"/>
              </w:rPr>
              <w:t xml:space="preserve"> tās</w:t>
            </w:r>
            <w:r w:rsidRPr="009A5923">
              <w:rPr>
                <w:rFonts w:ascii="Times New Roman" w:eastAsia="Times New Roman" w:hAnsi="Times New Roman" w:cs="Times New Roman"/>
                <w:color w:val="000000" w:themeColor="text1"/>
                <w:sz w:val="24"/>
                <w:szCs w:val="24"/>
                <w:lang w:eastAsia="lv-LV"/>
              </w:rPr>
              <w:t xml:space="preserve"> Sabiedrības, kuras sniedz kreditēšanas pakalpojumus </w:t>
            </w:r>
            <w:r>
              <w:rPr>
                <w:rFonts w:ascii="Times New Roman" w:eastAsia="Times New Roman" w:hAnsi="Times New Roman" w:cs="Times New Roman"/>
                <w:color w:val="000000" w:themeColor="text1"/>
                <w:sz w:val="24"/>
                <w:szCs w:val="24"/>
                <w:lang w:eastAsia="lv-LV"/>
              </w:rPr>
              <w:t>Likuma</w:t>
            </w:r>
            <w:r w:rsidRPr="009A5923">
              <w:rPr>
                <w:rFonts w:ascii="Times New Roman" w:hAnsi="Times New Roman" w:cs="Times New Roman"/>
                <w:sz w:val="24"/>
                <w:szCs w:val="24"/>
              </w:rPr>
              <w:t xml:space="preserve"> 5. panta piektās daļas 2. un 3. punktā minētajām personām</w:t>
            </w:r>
            <w:r>
              <w:rPr>
                <w:rFonts w:ascii="Times New Roman" w:hAnsi="Times New Roman" w:cs="Times New Roman"/>
                <w:sz w:val="24"/>
                <w:szCs w:val="24"/>
              </w:rPr>
              <w:t xml:space="preserve">. Prasība papildināta, </w:t>
            </w:r>
            <w:r w:rsidR="007406AE">
              <w:rPr>
                <w:rFonts w:ascii="Times New Roman" w:hAnsi="Times New Roman" w:cs="Times New Roman"/>
                <w:sz w:val="24"/>
                <w:szCs w:val="24"/>
              </w:rPr>
              <w:t>ņemot vērā 2025.</w:t>
            </w:r>
            <w:r w:rsidR="00F703B1">
              <w:rPr>
                <w:rFonts w:ascii="Times New Roman" w:hAnsi="Times New Roman" w:cs="Times New Roman"/>
                <w:sz w:val="24"/>
                <w:szCs w:val="24"/>
              </w:rPr>
              <w:t> </w:t>
            </w:r>
            <w:r w:rsidR="007406AE">
              <w:rPr>
                <w:rFonts w:ascii="Times New Roman" w:hAnsi="Times New Roman" w:cs="Times New Roman"/>
                <w:sz w:val="24"/>
                <w:szCs w:val="24"/>
              </w:rPr>
              <w:t>gada 5.</w:t>
            </w:r>
            <w:r w:rsidR="00F703B1">
              <w:rPr>
                <w:rFonts w:ascii="Times New Roman" w:hAnsi="Times New Roman" w:cs="Times New Roman"/>
                <w:sz w:val="24"/>
                <w:szCs w:val="24"/>
              </w:rPr>
              <w:t> </w:t>
            </w:r>
            <w:r w:rsidR="007406AE">
              <w:rPr>
                <w:rFonts w:ascii="Times New Roman" w:hAnsi="Times New Roman" w:cs="Times New Roman"/>
                <w:sz w:val="24"/>
                <w:szCs w:val="24"/>
              </w:rPr>
              <w:t xml:space="preserve">jūnija grozījumus </w:t>
            </w:r>
            <w:r>
              <w:rPr>
                <w:rFonts w:ascii="Times New Roman" w:hAnsi="Times New Roman" w:cs="Times New Roman"/>
                <w:sz w:val="24"/>
                <w:szCs w:val="24"/>
              </w:rPr>
              <w:t>Likuma 23.</w:t>
            </w:r>
            <w:r w:rsidR="00F703B1">
              <w:rPr>
                <w:rFonts w:ascii="Times New Roman" w:hAnsi="Times New Roman" w:cs="Times New Roman"/>
                <w:sz w:val="24"/>
                <w:szCs w:val="24"/>
              </w:rPr>
              <w:t> </w:t>
            </w:r>
            <w:r>
              <w:rPr>
                <w:rFonts w:ascii="Times New Roman" w:hAnsi="Times New Roman" w:cs="Times New Roman"/>
                <w:sz w:val="24"/>
                <w:szCs w:val="24"/>
              </w:rPr>
              <w:t xml:space="preserve">panta otrajā daļā attiecībā uz </w:t>
            </w:r>
            <w:r w:rsidR="00C653C7">
              <w:rPr>
                <w:rFonts w:ascii="Times New Roman" w:hAnsi="Times New Roman" w:cs="Times New Roman"/>
                <w:sz w:val="24"/>
                <w:szCs w:val="24"/>
              </w:rPr>
              <w:t xml:space="preserve">neatkarīgām </w:t>
            </w:r>
            <w:r>
              <w:rPr>
                <w:rFonts w:ascii="Times New Roman" w:hAnsi="Times New Roman" w:cs="Times New Roman"/>
                <w:sz w:val="24"/>
                <w:szCs w:val="24"/>
              </w:rPr>
              <w:t xml:space="preserve">gada pārskata pārbaudēm, ko veic zvērināts revidents vai zvērinātu revidentu komercsabiedrība. Vienlaikus </w:t>
            </w:r>
            <w:r w:rsidR="007406AE">
              <w:rPr>
                <w:rFonts w:ascii="Times New Roman" w:hAnsi="Times New Roman" w:cs="Times New Roman"/>
                <w:sz w:val="24"/>
                <w:szCs w:val="24"/>
              </w:rPr>
              <w:t xml:space="preserve">ar </w:t>
            </w:r>
            <w:r>
              <w:rPr>
                <w:rFonts w:ascii="Times New Roman" w:hAnsi="Times New Roman" w:cs="Times New Roman"/>
                <w:sz w:val="24"/>
                <w:szCs w:val="24"/>
              </w:rPr>
              <w:t>noteikumu projekt</w:t>
            </w:r>
            <w:r w:rsidR="007406AE">
              <w:rPr>
                <w:rFonts w:ascii="Times New Roman" w:hAnsi="Times New Roman" w:cs="Times New Roman"/>
                <w:sz w:val="24"/>
                <w:szCs w:val="24"/>
              </w:rPr>
              <w:t>u</w:t>
            </w:r>
            <w:r>
              <w:rPr>
                <w:rFonts w:ascii="Times New Roman" w:hAnsi="Times New Roman" w:cs="Times New Roman"/>
                <w:sz w:val="24"/>
                <w:szCs w:val="24"/>
              </w:rPr>
              <w:t xml:space="preserve"> ir atcelta </w:t>
            </w:r>
            <w:r w:rsidR="007406AE">
              <w:rPr>
                <w:rFonts w:ascii="Times New Roman" w:hAnsi="Times New Roman" w:cs="Times New Roman"/>
                <w:sz w:val="24"/>
                <w:szCs w:val="24"/>
              </w:rPr>
              <w:t>Noteikumos Nr.</w:t>
            </w:r>
            <w:r w:rsidR="00F703B1">
              <w:rPr>
                <w:rFonts w:ascii="Times New Roman" w:hAnsi="Times New Roman" w:cs="Times New Roman"/>
                <w:sz w:val="24"/>
                <w:szCs w:val="24"/>
              </w:rPr>
              <w:t> </w:t>
            </w:r>
            <w:r w:rsidR="007406AE">
              <w:rPr>
                <w:rFonts w:ascii="Times New Roman" w:hAnsi="Times New Roman" w:cs="Times New Roman"/>
                <w:sz w:val="24"/>
                <w:szCs w:val="24"/>
              </w:rPr>
              <w:t xml:space="preserve">285 šobrīd ietvertā </w:t>
            </w:r>
            <w:r>
              <w:rPr>
                <w:rFonts w:ascii="Times New Roman" w:hAnsi="Times New Roman" w:cs="Times New Roman"/>
                <w:sz w:val="24"/>
                <w:szCs w:val="24"/>
              </w:rPr>
              <w:t xml:space="preserve">prasība katras </w:t>
            </w:r>
            <w:r w:rsidR="007406AE">
              <w:rPr>
                <w:rFonts w:ascii="Times New Roman" w:hAnsi="Times New Roman" w:cs="Times New Roman"/>
                <w:sz w:val="24"/>
                <w:szCs w:val="24"/>
              </w:rPr>
              <w:t xml:space="preserve">darba </w:t>
            </w:r>
            <w:r>
              <w:rPr>
                <w:rFonts w:ascii="Times New Roman" w:hAnsi="Times New Roman" w:cs="Times New Roman"/>
                <w:sz w:val="24"/>
                <w:szCs w:val="24"/>
              </w:rPr>
              <w:t>dienas beigās sagatavot bilanci</w:t>
            </w:r>
            <w:r w:rsidR="00B234BB">
              <w:rPr>
                <w:rFonts w:ascii="Times New Roman" w:hAnsi="Times New Roman" w:cs="Times New Roman"/>
                <w:sz w:val="24"/>
                <w:szCs w:val="24"/>
              </w:rPr>
              <w:t>;</w:t>
            </w:r>
          </w:p>
          <w:p w14:paraId="1599A738" w14:textId="49CEC592" w:rsidR="0068376C" w:rsidRPr="00B234BB" w:rsidRDefault="009C4386" w:rsidP="00754658">
            <w:pPr>
              <w:pStyle w:val="ListParagraph"/>
              <w:numPr>
                <w:ilvl w:val="0"/>
                <w:numId w:val="16"/>
              </w:numPr>
              <w:spacing w:after="120" w:line="240" w:lineRule="auto"/>
              <w:contextualSpacing w:val="0"/>
              <w:jc w:val="both"/>
              <w:rPr>
                <w:rFonts w:ascii="Times New Roman" w:eastAsia="Times New Roman" w:hAnsi="Times New Roman" w:cs="Times New Roman"/>
                <w:color w:val="000000" w:themeColor="text1"/>
                <w:sz w:val="24"/>
                <w:szCs w:val="24"/>
                <w:lang w:eastAsia="lv-LV"/>
              </w:rPr>
            </w:pPr>
            <w:r w:rsidRPr="00B234BB">
              <w:rPr>
                <w:rFonts w:ascii="Times New Roman" w:eastAsia="Times New Roman" w:hAnsi="Times New Roman" w:cs="Times New Roman"/>
                <w:color w:val="000000" w:themeColor="text1"/>
                <w:sz w:val="24"/>
                <w:szCs w:val="24"/>
                <w:lang w:eastAsia="lv-LV"/>
              </w:rPr>
              <w:t>S</w:t>
            </w:r>
            <w:r w:rsidR="00E45B03" w:rsidRPr="00B234BB">
              <w:rPr>
                <w:rFonts w:ascii="Times New Roman" w:eastAsia="Times New Roman" w:hAnsi="Times New Roman" w:cs="Times New Roman"/>
                <w:color w:val="000000" w:themeColor="text1"/>
                <w:sz w:val="24"/>
                <w:szCs w:val="24"/>
                <w:lang w:eastAsia="lv-LV"/>
              </w:rPr>
              <w:t xml:space="preserve">abiedrības padomes (ja tāda izveidota) funkcijas papildinātas ar pienākumu </w:t>
            </w:r>
            <w:r w:rsidR="00651370" w:rsidRPr="00B234BB">
              <w:rPr>
                <w:rFonts w:ascii="Times New Roman" w:eastAsia="Times New Roman" w:hAnsi="Times New Roman" w:cs="Times New Roman"/>
                <w:color w:val="000000" w:themeColor="text1"/>
                <w:sz w:val="24"/>
                <w:szCs w:val="24"/>
                <w:lang w:eastAsia="lv-LV"/>
              </w:rPr>
              <w:t>apstiprināt darb</w:t>
            </w:r>
            <w:r w:rsidR="00D06B03" w:rsidRPr="00B234BB">
              <w:rPr>
                <w:rFonts w:ascii="Times New Roman" w:eastAsia="Times New Roman" w:hAnsi="Times New Roman" w:cs="Times New Roman"/>
                <w:color w:val="000000" w:themeColor="text1"/>
                <w:sz w:val="24"/>
                <w:szCs w:val="24"/>
                <w:lang w:eastAsia="lv-LV"/>
              </w:rPr>
              <w:t>īb</w:t>
            </w:r>
            <w:r w:rsidR="00651370" w:rsidRPr="00B234BB">
              <w:rPr>
                <w:rFonts w:ascii="Times New Roman" w:eastAsia="Times New Roman" w:hAnsi="Times New Roman" w:cs="Times New Roman"/>
                <w:color w:val="000000" w:themeColor="text1"/>
                <w:sz w:val="24"/>
                <w:szCs w:val="24"/>
                <w:lang w:eastAsia="lv-LV"/>
              </w:rPr>
              <w:t>a</w:t>
            </w:r>
            <w:r w:rsidR="00D06B03" w:rsidRPr="00B234BB">
              <w:rPr>
                <w:rFonts w:ascii="Times New Roman" w:eastAsia="Times New Roman" w:hAnsi="Times New Roman" w:cs="Times New Roman"/>
                <w:color w:val="000000" w:themeColor="text1"/>
                <w:sz w:val="24"/>
                <w:szCs w:val="24"/>
                <w:lang w:eastAsia="lv-LV"/>
              </w:rPr>
              <w:t>s</w:t>
            </w:r>
            <w:r w:rsidR="00651370" w:rsidRPr="00B234BB">
              <w:rPr>
                <w:rFonts w:ascii="Times New Roman" w:eastAsia="Times New Roman" w:hAnsi="Times New Roman" w:cs="Times New Roman"/>
                <w:color w:val="000000" w:themeColor="text1"/>
                <w:sz w:val="24"/>
                <w:szCs w:val="24"/>
                <w:lang w:eastAsia="lv-LV"/>
              </w:rPr>
              <w:t xml:space="preserve"> plānus un </w:t>
            </w:r>
            <w:r w:rsidRPr="00B234BB">
              <w:rPr>
                <w:rFonts w:ascii="Times New Roman" w:eastAsia="Times New Roman" w:hAnsi="Times New Roman" w:cs="Times New Roman"/>
                <w:color w:val="000000" w:themeColor="text1"/>
                <w:sz w:val="24"/>
                <w:szCs w:val="24"/>
                <w:lang w:eastAsia="lv-LV"/>
              </w:rPr>
              <w:t>S</w:t>
            </w:r>
            <w:r w:rsidR="00E45B03" w:rsidRPr="00B234BB">
              <w:rPr>
                <w:rFonts w:ascii="Times New Roman" w:eastAsia="Times New Roman" w:hAnsi="Times New Roman" w:cs="Times New Roman"/>
                <w:color w:val="000000" w:themeColor="text1"/>
                <w:sz w:val="24"/>
                <w:szCs w:val="24"/>
                <w:lang w:eastAsia="lv-LV"/>
              </w:rPr>
              <w:t>abiedrības stratēģiju (ja tādas izveide ir nepieciešama), t</w:t>
            </w:r>
            <w:r w:rsidR="003F75AD">
              <w:rPr>
                <w:rFonts w:ascii="Times New Roman" w:eastAsia="Times New Roman" w:hAnsi="Times New Roman" w:cs="Times New Roman"/>
                <w:color w:val="000000" w:themeColor="text1"/>
                <w:sz w:val="24"/>
                <w:szCs w:val="24"/>
                <w:lang w:eastAsia="lv-LV"/>
              </w:rPr>
              <w:t>.</w:t>
            </w:r>
            <w:r w:rsidR="00F703B1">
              <w:rPr>
                <w:rFonts w:ascii="Times New Roman" w:eastAsia="Times New Roman" w:hAnsi="Times New Roman" w:cs="Times New Roman"/>
                <w:color w:val="000000" w:themeColor="text1"/>
                <w:sz w:val="24"/>
                <w:szCs w:val="24"/>
                <w:lang w:eastAsia="lv-LV"/>
              </w:rPr>
              <w:t> </w:t>
            </w:r>
            <w:r w:rsidR="003F75AD">
              <w:rPr>
                <w:rFonts w:ascii="Times New Roman" w:eastAsia="Times New Roman" w:hAnsi="Times New Roman" w:cs="Times New Roman"/>
                <w:color w:val="000000" w:themeColor="text1"/>
                <w:sz w:val="24"/>
                <w:szCs w:val="24"/>
                <w:lang w:eastAsia="lv-LV"/>
              </w:rPr>
              <w:t>sk.</w:t>
            </w:r>
            <w:r w:rsidR="00E45B03" w:rsidRPr="00B234BB">
              <w:rPr>
                <w:rFonts w:ascii="Times New Roman" w:eastAsia="Times New Roman" w:hAnsi="Times New Roman" w:cs="Times New Roman"/>
                <w:color w:val="000000" w:themeColor="text1"/>
                <w:sz w:val="24"/>
                <w:szCs w:val="24"/>
                <w:lang w:eastAsia="lv-LV"/>
              </w:rPr>
              <w:t xml:space="preserve"> darbības mērķus un prioritātes. </w:t>
            </w:r>
            <w:r w:rsidR="009171F4" w:rsidRPr="00B234BB">
              <w:rPr>
                <w:rFonts w:ascii="Times New Roman" w:eastAsia="Times New Roman" w:hAnsi="Times New Roman" w:cs="Times New Roman"/>
                <w:color w:val="000000" w:themeColor="text1"/>
                <w:sz w:val="24"/>
                <w:szCs w:val="24"/>
                <w:lang w:eastAsia="lv-LV"/>
              </w:rPr>
              <w:t xml:space="preserve">Sabiedrības stratēģija ir augstākā līmeņa dokuments, kas nosaka </w:t>
            </w:r>
            <w:r w:rsidRPr="00B234BB">
              <w:rPr>
                <w:rFonts w:ascii="Times New Roman" w:eastAsia="Times New Roman" w:hAnsi="Times New Roman" w:cs="Times New Roman"/>
                <w:color w:val="000000" w:themeColor="text1"/>
                <w:sz w:val="24"/>
                <w:szCs w:val="24"/>
                <w:lang w:eastAsia="lv-LV"/>
              </w:rPr>
              <w:t>S</w:t>
            </w:r>
            <w:r w:rsidR="009171F4" w:rsidRPr="00B234BB">
              <w:rPr>
                <w:rFonts w:ascii="Times New Roman" w:eastAsia="Times New Roman" w:hAnsi="Times New Roman" w:cs="Times New Roman"/>
                <w:color w:val="000000" w:themeColor="text1"/>
                <w:sz w:val="24"/>
                <w:szCs w:val="24"/>
                <w:lang w:eastAsia="lv-LV"/>
              </w:rPr>
              <w:t>abiedrības ilgtermiņa</w:t>
            </w:r>
            <w:r w:rsidR="003F75AD">
              <w:rPr>
                <w:rFonts w:ascii="Times New Roman" w:eastAsia="Times New Roman" w:hAnsi="Times New Roman" w:cs="Times New Roman"/>
                <w:color w:val="000000" w:themeColor="text1"/>
                <w:sz w:val="24"/>
                <w:szCs w:val="24"/>
                <w:lang w:eastAsia="lv-LV"/>
              </w:rPr>
              <w:t xml:space="preserve"> darbības</w:t>
            </w:r>
            <w:r w:rsidR="009171F4" w:rsidRPr="00B234BB">
              <w:rPr>
                <w:rFonts w:ascii="Times New Roman" w:eastAsia="Times New Roman" w:hAnsi="Times New Roman" w:cs="Times New Roman"/>
                <w:color w:val="000000" w:themeColor="text1"/>
                <w:sz w:val="24"/>
                <w:szCs w:val="24"/>
                <w:lang w:eastAsia="lv-LV"/>
              </w:rPr>
              <w:t xml:space="preserve"> virzienus, mērķus, labas pārvaldības un risku pārvaldīšanas ietvaru. Padomes pienākums ir apstiprināt stratēģiskos virzienus un mērķus, kā arī uzraudzīt, kā </w:t>
            </w:r>
            <w:r w:rsidRPr="00B234BB">
              <w:rPr>
                <w:rFonts w:ascii="Times New Roman" w:eastAsia="Times New Roman" w:hAnsi="Times New Roman" w:cs="Times New Roman"/>
                <w:color w:val="000000" w:themeColor="text1"/>
                <w:sz w:val="24"/>
                <w:szCs w:val="24"/>
                <w:lang w:eastAsia="lv-LV"/>
              </w:rPr>
              <w:t>S</w:t>
            </w:r>
            <w:r w:rsidR="009171F4" w:rsidRPr="00B234BB">
              <w:rPr>
                <w:rFonts w:ascii="Times New Roman" w:eastAsia="Times New Roman" w:hAnsi="Times New Roman" w:cs="Times New Roman"/>
                <w:color w:val="000000" w:themeColor="text1"/>
                <w:sz w:val="24"/>
                <w:szCs w:val="24"/>
                <w:lang w:eastAsia="lv-LV"/>
              </w:rPr>
              <w:t xml:space="preserve">abiedrības valde, vadot </w:t>
            </w:r>
            <w:r w:rsidRPr="00B234BB">
              <w:rPr>
                <w:rFonts w:ascii="Times New Roman" w:eastAsia="Times New Roman" w:hAnsi="Times New Roman" w:cs="Times New Roman"/>
                <w:color w:val="000000" w:themeColor="text1"/>
                <w:sz w:val="24"/>
                <w:szCs w:val="24"/>
                <w:lang w:eastAsia="lv-LV"/>
              </w:rPr>
              <w:t>S</w:t>
            </w:r>
            <w:r w:rsidR="009171F4" w:rsidRPr="00B234BB">
              <w:rPr>
                <w:rFonts w:ascii="Times New Roman" w:eastAsia="Times New Roman" w:hAnsi="Times New Roman" w:cs="Times New Roman"/>
                <w:color w:val="000000" w:themeColor="text1"/>
                <w:sz w:val="24"/>
                <w:szCs w:val="24"/>
                <w:lang w:eastAsia="lv-LV"/>
              </w:rPr>
              <w:t>abiedrības ikdienas darbu, nodrošina stratēģijā noteiktā ieviešanu</w:t>
            </w:r>
            <w:r w:rsidR="0068376C" w:rsidRPr="00B234BB">
              <w:rPr>
                <w:rFonts w:ascii="Times New Roman" w:eastAsia="Times New Roman" w:hAnsi="Times New Roman" w:cs="Times New Roman"/>
                <w:color w:val="000000" w:themeColor="text1"/>
                <w:sz w:val="24"/>
                <w:szCs w:val="24"/>
                <w:lang w:eastAsia="lv-LV"/>
              </w:rPr>
              <w:t>;</w:t>
            </w:r>
          </w:p>
          <w:p w14:paraId="50C13F06" w14:textId="5F0FB282" w:rsidR="009171F4" w:rsidRPr="00B234BB" w:rsidRDefault="0068376C" w:rsidP="00754658">
            <w:pPr>
              <w:pStyle w:val="ListParagraph"/>
              <w:numPr>
                <w:ilvl w:val="0"/>
                <w:numId w:val="16"/>
              </w:numPr>
              <w:spacing w:after="120" w:line="240" w:lineRule="auto"/>
              <w:contextualSpacing w:val="0"/>
              <w:jc w:val="both"/>
              <w:rPr>
                <w:rFonts w:ascii="Times New Roman" w:eastAsia="Times New Roman" w:hAnsi="Times New Roman" w:cs="Times New Roman"/>
                <w:color w:val="000000" w:themeColor="text1"/>
                <w:sz w:val="24"/>
                <w:szCs w:val="24"/>
                <w:lang w:eastAsia="lv-LV"/>
              </w:rPr>
            </w:pPr>
            <w:r w:rsidRPr="00B234BB">
              <w:rPr>
                <w:rFonts w:ascii="Times New Roman" w:eastAsia="Times New Roman" w:hAnsi="Times New Roman" w:cs="Times New Roman"/>
                <w:color w:val="000000" w:themeColor="text1"/>
                <w:sz w:val="24"/>
                <w:szCs w:val="24"/>
                <w:lang w:eastAsia="lv-LV"/>
              </w:rPr>
              <w:t>v</w:t>
            </w:r>
            <w:r w:rsidR="009171F4" w:rsidRPr="00B234BB">
              <w:rPr>
                <w:rFonts w:ascii="Times New Roman" w:eastAsia="Times New Roman" w:hAnsi="Times New Roman" w:cs="Times New Roman"/>
                <w:color w:val="000000" w:themeColor="text1"/>
                <w:sz w:val="24"/>
                <w:szCs w:val="24"/>
                <w:lang w:eastAsia="lv-LV"/>
              </w:rPr>
              <w:t xml:space="preserve">aldes funkcijas papildinātas ar pienākumu ne tikai nodrošināt </w:t>
            </w:r>
            <w:r w:rsidR="009C4386" w:rsidRPr="00B234BB">
              <w:rPr>
                <w:rFonts w:ascii="Times New Roman" w:eastAsia="Times New Roman" w:hAnsi="Times New Roman" w:cs="Times New Roman"/>
                <w:color w:val="000000" w:themeColor="text1"/>
                <w:sz w:val="24"/>
                <w:szCs w:val="24"/>
                <w:lang w:eastAsia="lv-LV"/>
              </w:rPr>
              <w:t>S</w:t>
            </w:r>
            <w:r w:rsidR="009171F4" w:rsidRPr="00B234BB">
              <w:rPr>
                <w:rFonts w:ascii="Times New Roman" w:eastAsia="Times New Roman" w:hAnsi="Times New Roman" w:cs="Times New Roman"/>
                <w:color w:val="000000" w:themeColor="text1"/>
                <w:sz w:val="24"/>
                <w:szCs w:val="24"/>
                <w:lang w:eastAsia="lv-LV"/>
              </w:rPr>
              <w:t>abiedrības personāla atbilstošu kvalifikāciju un pieredzi, bet arī veicināt esošo zināšanu pilnveidi</w:t>
            </w:r>
            <w:r w:rsidRPr="00B234BB">
              <w:rPr>
                <w:rFonts w:ascii="Times New Roman" w:eastAsia="Times New Roman" w:hAnsi="Times New Roman" w:cs="Times New Roman"/>
                <w:color w:val="000000" w:themeColor="text1"/>
                <w:sz w:val="24"/>
                <w:szCs w:val="24"/>
                <w:lang w:eastAsia="lv-LV"/>
              </w:rPr>
              <w:t>;</w:t>
            </w:r>
          </w:p>
          <w:p w14:paraId="1C7E3198" w14:textId="1435586D" w:rsidR="004D6871" w:rsidRPr="00B234BB" w:rsidRDefault="0068376C" w:rsidP="00754658">
            <w:pPr>
              <w:pStyle w:val="ListParagraph"/>
              <w:numPr>
                <w:ilvl w:val="0"/>
                <w:numId w:val="16"/>
              </w:numPr>
              <w:spacing w:after="120" w:line="240" w:lineRule="auto"/>
              <w:contextualSpacing w:val="0"/>
              <w:jc w:val="both"/>
              <w:rPr>
                <w:rFonts w:ascii="Times New Roman" w:eastAsia="Times New Roman" w:hAnsi="Times New Roman" w:cs="Times New Roman"/>
                <w:color w:val="000000" w:themeColor="text1"/>
                <w:sz w:val="24"/>
                <w:szCs w:val="24"/>
                <w:lang w:eastAsia="lv-LV"/>
              </w:rPr>
            </w:pPr>
            <w:r w:rsidRPr="00B234BB">
              <w:rPr>
                <w:rFonts w:ascii="Times New Roman" w:eastAsia="Times New Roman" w:hAnsi="Times New Roman" w:cs="Times New Roman"/>
                <w:color w:val="000000" w:themeColor="text1"/>
                <w:sz w:val="24"/>
                <w:szCs w:val="24"/>
                <w:lang w:eastAsia="lv-LV"/>
              </w:rPr>
              <w:t>m</w:t>
            </w:r>
            <w:r w:rsidR="00C342C5" w:rsidRPr="00B234BB">
              <w:rPr>
                <w:rFonts w:ascii="Times New Roman" w:eastAsia="Times New Roman" w:hAnsi="Times New Roman" w:cs="Times New Roman"/>
                <w:color w:val="000000" w:themeColor="text1"/>
                <w:sz w:val="24"/>
                <w:szCs w:val="24"/>
                <w:lang w:eastAsia="lv-LV"/>
              </w:rPr>
              <w:t xml:space="preserve">ainīta prasība par </w:t>
            </w:r>
            <w:r w:rsidR="009C4386" w:rsidRPr="00B234BB">
              <w:rPr>
                <w:rFonts w:ascii="Times New Roman" w:eastAsia="Times New Roman" w:hAnsi="Times New Roman" w:cs="Times New Roman"/>
                <w:color w:val="000000" w:themeColor="text1"/>
                <w:sz w:val="24"/>
                <w:szCs w:val="24"/>
                <w:lang w:eastAsia="lv-LV"/>
              </w:rPr>
              <w:t>S</w:t>
            </w:r>
            <w:r w:rsidR="00C342C5" w:rsidRPr="00B234BB">
              <w:rPr>
                <w:rFonts w:ascii="Times New Roman" w:eastAsia="Times New Roman" w:hAnsi="Times New Roman" w:cs="Times New Roman"/>
                <w:color w:val="000000" w:themeColor="text1"/>
                <w:sz w:val="24"/>
                <w:szCs w:val="24"/>
                <w:lang w:eastAsia="lv-LV"/>
              </w:rPr>
              <w:t>abiedrības darbībai piemītoš</w:t>
            </w:r>
            <w:r w:rsidR="00894E25" w:rsidRPr="00B234BB">
              <w:rPr>
                <w:rFonts w:ascii="Times New Roman" w:eastAsia="Times New Roman" w:hAnsi="Times New Roman" w:cs="Times New Roman"/>
                <w:color w:val="000000" w:themeColor="text1"/>
                <w:sz w:val="24"/>
                <w:szCs w:val="24"/>
                <w:lang w:eastAsia="lv-LV"/>
              </w:rPr>
              <w:t>o</w:t>
            </w:r>
            <w:r w:rsidR="00C342C5" w:rsidRPr="00B234BB">
              <w:rPr>
                <w:rFonts w:ascii="Times New Roman" w:eastAsia="Times New Roman" w:hAnsi="Times New Roman" w:cs="Times New Roman"/>
                <w:color w:val="000000" w:themeColor="text1"/>
                <w:sz w:val="24"/>
                <w:szCs w:val="24"/>
                <w:lang w:eastAsia="lv-LV"/>
              </w:rPr>
              <w:t xml:space="preserve"> būtisko risku atbilstības </w:t>
            </w:r>
            <w:r w:rsidR="00894E25" w:rsidRPr="00B234BB">
              <w:rPr>
                <w:rFonts w:ascii="Times New Roman" w:eastAsia="Times New Roman" w:hAnsi="Times New Roman" w:cs="Times New Roman"/>
                <w:color w:val="000000" w:themeColor="text1"/>
                <w:sz w:val="24"/>
                <w:szCs w:val="24"/>
                <w:lang w:eastAsia="lv-LV"/>
              </w:rPr>
              <w:t xml:space="preserve">novērtēšanu. Tā kā </w:t>
            </w:r>
            <w:r w:rsidR="00C342C5" w:rsidRPr="00B234BB">
              <w:rPr>
                <w:rFonts w:ascii="Times New Roman" w:eastAsia="Times New Roman" w:hAnsi="Times New Roman" w:cs="Times New Roman"/>
                <w:color w:val="000000" w:themeColor="text1"/>
                <w:sz w:val="24"/>
                <w:szCs w:val="24"/>
                <w:lang w:eastAsia="lv-LV"/>
              </w:rPr>
              <w:t>mazāk nozīmīg</w:t>
            </w:r>
            <w:r w:rsidR="00894E25" w:rsidRPr="00B234BB">
              <w:rPr>
                <w:rFonts w:ascii="Times New Roman" w:eastAsia="Times New Roman" w:hAnsi="Times New Roman" w:cs="Times New Roman"/>
                <w:color w:val="000000" w:themeColor="text1"/>
                <w:sz w:val="24"/>
                <w:szCs w:val="24"/>
                <w:lang w:eastAsia="lv-LV"/>
              </w:rPr>
              <w:t>ām</w:t>
            </w:r>
            <w:r w:rsidR="00C342C5" w:rsidRPr="00B234BB">
              <w:rPr>
                <w:rFonts w:ascii="Times New Roman" w:eastAsia="Times New Roman" w:hAnsi="Times New Roman" w:cs="Times New Roman"/>
                <w:color w:val="000000" w:themeColor="text1"/>
                <w:sz w:val="24"/>
                <w:szCs w:val="24"/>
                <w:lang w:eastAsia="lv-LV"/>
              </w:rPr>
              <w:t xml:space="preserve"> </w:t>
            </w:r>
            <w:r w:rsidR="009C4386" w:rsidRPr="00B234BB">
              <w:rPr>
                <w:rFonts w:ascii="Times New Roman" w:eastAsia="Times New Roman" w:hAnsi="Times New Roman" w:cs="Times New Roman"/>
                <w:color w:val="000000" w:themeColor="text1"/>
                <w:sz w:val="24"/>
                <w:szCs w:val="24"/>
                <w:lang w:eastAsia="lv-LV"/>
              </w:rPr>
              <w:t>S</w:t>
            </w:r>
            <w:r w:rsidR="00C342C5" w:rsidRPr="00B234BB">
              <w:rPr>
                <w:rFonts w:ascii="Times New Roman" w:eastAsia="Times New Roman" w:hAnsi="Times New Roman" w:cs="Times New Roman"/>
                <w:color w:val="000000" w:themeColor="text1"/>
                <w:sz w:val="24"/>
                <w:szCs w:val="24"/>
                <w:lang w:eastAsia="lv-LV"/>
              </w:rPr>
              <w:t>abiedrīb</w:t>
            </w:r>
            <w:r w:rsidR="00894E25" w:rsidRPr="00B234BB">
              <w:rPr>
                <w:rFonts w:ascii="Times New Roman" w:eastAsia="Times New Roman" w:hAnsi="Times New Roman" w:cs="Times New Roman"/>
                <w:color w:val="000000" w:themeColor="text1"/>
                <w:sz w:val="24"/>
                <w:szCs w:val="24"/>
                <w:lang w:eastAsia="lv-LV"/>
              </w:rPr>
              <w:t>ām</w:t>
            </w:r>
            <w:r w:rsidR="00C342C5" w:rsidRPr="00B234BB">
              <w:rPr>
                <w:rFonts w:ascii="Times New Roman" w:eastAsia="Times New Roman" w:hAnsi="Times New Roman" w:cs="Times New Roman"/>
                <w:color w:val="000000" w:themeColor="text1"/>
                <w:sz w:val="24"/>
                <w:szCs w:val="24"/>
                <w:lang w:eastAsia="lv-LV"/>
              </w:rPr>
              <w:t xml:space="preserve"> vairs nebūs </w:t>
            </w:r>
            <w:r w:rsidR="00986CF3" w:rsidRPr="00B234BB">
              <w:rPr>
                <w:rFonts w:ascii="Times New Roman" w:eastAsia="Times New Roman" w:hAnsi="Times New Roman" w:cs="Times New Roman"/>
                <w:color w:val="000000" w:themeColor="text1"/>
                <w:sz w:val="24"/>
                <w:szCs w:val="24"/>
                <w:lang w:eastAsia="lv-LV"/>
              </w:rPr>
              <w:t>pienākum</w:t>
            </w:r>
            <w:r w:rsidR="00894E25" w:rsidRPr="00B234BB">
              <w:rPr>
                <w:rFonts w:ascii="Times New Roman" w:eastAsia="Times New Roman" w:hAnsi="Times New Roman" w:cs="Times New Roman"/>
                <w:color w:val="000000" w:themeColor="text1"/>
                <w:sz w:val="24"/>
                <w:szCs w:val="24"/>
                <w:lang w:eastAsia="lv-LV"/>
              </w:rPr>
              <w:t>a</w:t>
            </w:r>
            <w:r w:rsidR="00986CF3" w:rsidRPr="00B234BB">
              <w:rPr>
                <w:rFonts w:ascii="Times New Roman" w:eastAsia="Times New Roman" w:hAnsi="Times New Roman" w:cs="Times New Roman"/>
                <w:color w:val="000000" w:themeColor="text1"/>
                <w:sz w:val="24"/>
                <w:szCs w:val="24"/>
                <w:lang w:eastAsia="lv-LV"/>
              </w:rPr>
              <w:t xml:space="preserve"> atsevišķi izveidot </w:t>
            </w:r>
            <w:r w:rsidR="00C342C5" w:rsidRPr="00B234BB">
              <w:rPr>
                <w:rFonts w:ascii="Times New Roman" w:eastAsia="Times New Roman" w:hAnsi="Times New Roman" w:cs="Times New Roman"/>
                <w:color w:val="000000" w:themeColor="text1"/>
                <w:sz w:val="24"/>
                <w:szCs w:val="24"/>
                <w:lang w:eastAsia="lv-LV"/>
              </w:rPr>
              <w:t>stratēģij</w:t>
            </w:r>
            <w:r w:rsidR="00986CF3" w:rsidRPr="00B234BB">
              <w:rPr>
                <w:rFonts w:ascii="Times New Roman" w:eastAsia="Times New Roman" w:hAnsi="Times New Roman" w:cs="Times New Roman"/>
                <w:color w:val="000000" w:themeColor="text1"/>
                <w:sz w:val="24"/>
                <w:szCs w:val="24"/>
                <w:lang w:eastAsia="lv-LV"/>
              </w:rPr>
              <w:t xml:space="preserve">u, </w:t>
            </w:r>
            <w:r w:rsidR="00C342C5" w:rsidRPr="00B234BB">
              <w:rPr>
                <w:rFonts w:ascii="Times New Roman" w:eastAsia="Times New Roman" w:hAnsi="Times New Roman" w:cs="Times New Roman"/>
                <w:color w:val="000000" w:themeColor="text1"/>
                <w:sz w:val="24"/>
                <w:szCs w:val="24"/>
                <w:lang w:eastAsia="lv-LV"/>
              </w:rPr>
              <w:t xml:space="preserve">mainītā prasība nosaka, ka </w:t>
            </w:r>
            <w:r w:rsidR="002B1705" w:rsidRPr="00B234BB">
              <w:rPr>
                <w:rFonts w:ascii="Times New Roman" w:eastAsia="Times New Roman" w:hAnsi="Times New Roman" w:cs="Times New Roman"/>
                <w:color w:val="000000" w:themeColor="text1"/>
                <w:sz w:val="24"/>
                <w:szCs w:val="24"/>
                <w:lang w:eastAsia="lv-LV"/>
              </w:rPr>
              <w:t>r</w:t>
            </w:r>
            <w:r w:rsidR="00C342C5" w:rsidRPr="00B234BB">
              <w:rPr>
                <w:rFonts w:ascii="Times New Roman" w:eastAsia="Times New Roman" w:hAnsi="Times New Roman" w:cs="Times New Roman"/>
                <w:color w:val="000000" w:themeColor="text1"/>
                <w:sz w:val="24"/>
                <w:szCs w:val="24"/>
                <w:lang w:eastAsia="lv-LV"/>
              </w:rPr>
              <w:t>evīzijas funkcija</w:t>
            </w:r>
            <w:r w:rsidR="00894E25" w:rsidRPr="00B234BB">
              <w:rPr>
                <w:rFonts w:ascii="Times New Roman" w:eastAsia="Times New Roman" w:hAnsi="Times New Roman" w:cs="Times New Roman"/>
                <w:color w:val="000000" w:themeColor="text1"/>
                <w:sz w:val="24"/>
                <w:szCs w:val="24"/>
                <w:lang w:eastAsia="lv-LV"/>
              </w:rPr>
              <w:t>s veicējam</w:t>
            </w:r>
            <w:r w:rsidR="00C342C5" w:rsidRPr="00B234BB">
              <w:rPr>
                <w:rFonts w:ascii="Times New Roman" w:eastAsia="Times New Roman" w:hAnsi="Times New Roman" w:cs="Times New Roman"/>
                <w:color w:val="000000" w:themeColor="text1"/>
                <w:sz w:val="24"/>
                <w:szCs w:val="24"/>
                <w:lang w:eastAsia="lv-LV"/>
              </w:rPr>
              <w:t xml:space="preserve"> </w:t>
            </w:r>
            <w:r w:rsidR="00B32FD9" w:rsidRPr="00B234BB">
              <w:rPr>
                <w:rFonts w:ascii="Times New Roman" w:eastAsia="Times New Roman" w:hAnsi="Times New Roman" w:cs="Times New Roman"/>
                <w:color w:val="000000" w:themeColor="text1"/>
                <w:sz w:val="24"/>
                <w:szCs w:val="24"/>
                <w:lang w:eastAsia="lv-LV"/>
              </w:rPr>
              <w:t>jā</w:t>
            </w:r>
            <w:r w:rsidR="00C342C5" w:rsidRPr="00B234BB">
              <w:rPr>
                <w:rFonts w:ascii="Times New Roman" w:eastAsia="Times New Roman" w:hAnsi="Times New Roman" w:cs="Times New Roman"/>
                <w:color w:val="000000" w:themeColor="text1"/>
                <w:sz w:val="24"/>
                <w:szCs w:val="24"/>
                <w:lang w:eastAsia="lv-LV"/>
              </w:rPr>
              <w:t xml:space="preserve">pārliecinās, vai </w:t>
            </w:r>
            <w:r w:rsidR="00361591" w:rsidRPr="00B234BB">
              <w:rPr>
                <w:rFonts w:ascii="Times New Roman" w:eastAsia="Times New Roman" w:hAnsi="Times New Roman" w:cs="Times New Roman"/>
                <w:color w:val="000000" w:themeColor="text1"/>
                <w:sz w:val="24"/>
                <w:szCs w:val="24"/>
                <w:lang w:eastAsia="lv-LV"/>
              </w:rPr>
              <w:t>S</w:t>
            </w:r>
            <w:r w:rsidR="00C342C5" w:rsidRPr="00B234BB">
              <w:rPr>
                <w:rFonts w:ascii="Times New Roman" w:eastAsia="Times New Roman" w:hAnsi="Times New Roman" w:cs="Times New Roman"/>
                <w:color w:val="000000" w:themeColor="text1"/>
                <w:sz w:val="24"/>
                <w:szCs w:val="24"/>
                <w:lang w:eastAsia="lv-LV"/>
              </w:rPr>
              <w:t xml:space="preserve">abiedrības darbība būtisko risku pārvaldīšanā atbilst iekšējos </w:t>
            </w:r>
            <w:r w:rsidR="00B32FD9" w:rsidRPr="00B234BB">
              <w:rPr>
                <w:rFonts w:ascii="Times New Roman" w:eastAsia="Times New Roman" w:hAnsi="Times New Roman" w:cs="Times New Roman"/>
                <w:color w:val="000000" w:themeColor="text1"/>
                <w:sz w:val="24"/>
                <w:szCs w:val="24"/>
                <w:lang w:eastAsia="lv-LV"/>
              </w:rPr>
              <w:t xml:space="preserve">dokumentos </w:t>
            </w:r>
            <w:r w:rsidR="00C342C5" w:rsidRPr="00B234BB">
              <w:rPr>
                <w:rFonts w:ascii="Times New Roman" w:eastAsia="Times New Roman" w:hAnsi="Times New Roman" w:cs="Times New Roman"/>
                <w:color w:val="000000" w:themeColor="text1"/>
                <w:sz w:val="24"/>
                <w:szCs w:val="24"/>
                <w:lang w:eastAsia="lv-LV"/>
              </w:rPr>
              <w:t>(stratēģijā, politikās, procedūrās utt.) definētajam</w:t>
            </w:r>
            <w:r w:rsidR="004D6871" w:rsidRPr="00B234BB">
              <w:rPr>
                <w:rFonts w:ascii="Times New Roman" w:eastAsia="Times New Roman" w:hAnsi="Times New Roman" w:cs="Times New Roman"/>
                <w:color w:val="000000" w:themeColor="text1"/>
                <w:sz w:val="24"/>
                <w:szCs w:val="24"/>
                <w:lang w:eastAsia="lv-LV"/>
              </w:rPr>
              <w:t>;</w:t>
            </w:r>
          </w:p>
          <w:p w14:paraId="60867157" w14:textId="6C3A711F" w:rsidR="00F0253E" w:rsidRPr="00B234BB" w:rsidRDefault="004D6871" w:rsidP="00754658">
            <w:pPr>
              <w:pStyle w:val="ListParagraph"/>
              <w:numPr>
                <w:ilvl w:val="0"/>
                <w:numId w:val="16"/>
              </w:numPr>
              <w:spacing w:after="120" w:line="240" w:lineRule="auto"/>
              <w:ind w:left="419" w:hanging="357"/>
              <w:contextualSpacing w:val="0"/>
              <w:jc w:val="both"/>
              <w:rPr>
                <w:rFonts w:ascii="Times New Roman" w:eastAsia="Times New Roman" w:hAnsi="Times New Roman" w:cs="Times New Roman"/>
                <w:color w:val="000000" w:themeColor="text1"/>
                <w:sz w:val="24"/>
                <w:szCs w:val="24"/>
                <w:lang w:eastAsia="lv-LV"/>
              </w:rPr>
            </w:pPr>
            <w:r w:rsidRPr="00B234BB">
              <w:rPr>
                <w:rFonts w:ascii="Times New Roman" w:eastAsia="Times New Roman" w:hAnsi="Times New Roman" w:cs="Times New Roman"/>
                <w:color w:val="000000" w:themeColor="text1"/>
                <w:sz w:val="24"/>
                <w:szCs w:val="24"/>
                <w:lang w:eastAsia="lv-LV"/>
              </w:rPr>
              <w:t>noteikumi papildināti ar prasību novērtēt interešu konfliktu pārvaldības praksi revīzijas funkcijas ietvaros</w:t>
            </w:r>
            <w:r w:rsidR="00F0253E" w:rsidRPr="00B234BB">
              <w:rPr>
                <w:rFonts w:ascii="Times New Roman" w:eastAsia="Times New Roman" w:hAnsi="Times New Roman" w:cs="Times New Roman"/>
                <w:color w:val="000000" w:themeColor="text1"/>
                <w:sz w:val="24"/>
                <w:szCs w:val="24"/>
                <w:lang w:eastAsia="lv-LV"/>
              </w:rPr>
              <w:t xml:space="preserve">. Jaunā prasība ir pamatojama ar uzraudzības procesā veikto klātienes un neklātienes pārbaužu rezultātiem, kas izgaismoja vairākas </w:t>
            </w:r>
            <w:r w:rsidR="00361591" w:rsidRPr="00B234BB">
              <w:rPr>
                <w:rFonts w:ascii="Times New Roman" w:eastAsia="Times New Roman" w:hAnsi="Times New Roman" w:cs="Times New Roman"/>
                <w:color w:val="000000" w:themeColor="text1"/>
                <w:sz w:val="24"/>
                <w:szCs w:val="24"/>
                <w:lang w:eastAsia="lv-LV"/>
              </w:rPr>
              <w:t>S</w:t>
            </w:r>
            <w:r w:rsidR="00F0253E" w:rsidRPr="00B234BB">
              <w:rPr>
                <w:rFonts w:ascii="Times New Roman" w:eastAsia="Times New Roman" w:hAnsi="Times New Roman" w:cs="Times New Roman"/>
                <w:color w:val="000000" w:themeColor="text1"/>
                <w:sz w:val="24"/>
                <w:szCs w:val="24"/>
                <w:lang w:eastAsia="lv-LV"/>
              </w:rPr>
              <w:t>abiedrības un situācijas, kurās interešu konflikt</w:t>
            </w:r>
            <w:r w:rsidR="003F75AD">
              <w:rPr>
                <w:rFonts w:ascii="Times New Roman" w:eastAsia="Times New Roman" w:hAnsi="Times New Roman" w:cs="Times New Roman"/>
                <w:color w:val="000000" w:themeColor="text1"/>
                <w:sz w:val="24"/>
                <w:szCs w:val="24"/>
                <w:lang w:eastAsia="lv-LV"/>
              </w:rPr>
              <w:t>s</w:t>
            </w:r>
            <w:r w:rsidR="00F0253E" w:rsidRPr="00B234BB">
              <w:rPr>
                <w:rFonts w:ascii="Times New Roman" w:eastAsia="Times New Roman" w:hAnsi="Times New Roman" w:cs="Times New Roman"/>
                <w:color w:val="000000" w:themeColor="text1"/>
                <w:sz w:val="24"/>
                <w:szCs w:val="24"/>
                <w:lang w:eastAsia="lv-LV"/>
              </w:rPr>
              <w:t xml:space="preserve"> bija acīmredzams, taču</w:t>
            </w:r>
            <w:r w:rsidR="00986CF3" w:rsidRPr="00B234BB">
              <w:rPr>
                <w:rFonts w:ascii="Times New Roman" w:eastAsia="Times New Roman" w:hAnsi="Times New Roman" w:cs="Times New Roman"/>
                <w:color w:val="000000" w:themeColor="text1"/>
                <w:sz w:val="24"/>
                <w:szCs w:val="24"/>
                <w:lang w:eastAsia="lv-LV"/>
              </w:rPr>
              <w:t xml:space="preserve"> t</w:t>
            </w:r>
            <w:r w:rsidR="003F75AD">
              <w:rPr>
                <w:rFonts w:ascii="Times New Roman" w:eastAsia="Times New Roman" w:hAnsi="Times New Roman" w:cs="Times New Roman"/>
                <w:color w:val="000000" w:themeColor="text1"/>
                <w:sz w:val="24"/>
                <w:szCs w:val="24"/>
                <w:lang w:eastAsia="lv-LV"/>
              </w:rPr>
              <w:t>a</w:t>
            </w:r>
            <w:r w:rsidR="00986CF3" w:rsidRPr="00B234BB">
              <w:rPr>
                <w:rFonts w:ascii="Times New Roman" w:eastAsia="Times New Roman" w:hAnsi="Times New Roman" w:cs="Times New Roman"/>
                <w:color w:val="000000" w:themeColor="text1"/>
                <w:sz w:val="24"/>
                <w:szCs w:val="24"/>
                <w:lang w:eastAsia="lv-LV"/>
              </w:rPr>
              <w:t>s</w:t>
            </w:r>
            <w:r w:rsidR="00F0253E" w:rsidRPr="00B234BB">
              <w:rPr>
                <w:rFonts w:ascii="Times New Roman" w:eastAsia="Times New Roman" w:hAnsi="Times New Roman" w:cs="Times New Roman"/>
                <w:color w:val="000000" w:themeColor="text1"/>
                <w:sz w:val="24"/>
                <w:szCs w:val="24"/>
                <w:lang w:eastAsia="lv-LV"/>
              </w:rPr>
              <w:t xml:space="preserve"> netika pietiekami novērtēts, ņemts vērā un novērsts, kas mazina iekšējās kontroles sistēmas efektivitāti un grauj korporatīvās vērtības.</w:t>
            </w:r>
          </w:p>
        </w:tc>
      </w:tr>
      <w:tr w:rsidR="000B4E0A" w:rsidRPr="000B4E0A" w14:paraId="5E047A73" w14:textId="77777777" w:rsidTr="00444DAD">
        <w:trPr>
          <w:trHeight w:val="567"/>
        </w:trPr>
        <w:tc>
          <w:tcPr>
            <w:tcW w:w="1405" w:type="pct"/>
            <w:hideMark/>
          </w:tcPr>
          <w:p w14:paraId="392312D0" w14:textId="77777777" w:rsidR="00A42788" w:rsidRPr="00E253DA" w:rsidRDefault="00A42788" w:rsidP="00365394">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Leģitīmais mērķis</w:t>
            </w:r>
          </w:p>
          <w:p w14:paraId="76383DF1" w14:textId="1469C7CF" w:rsidR="00CA28AB" w:rsidRPr="00DD709E" w:rsidRDefault="00CA28AB" w:rsidP="00365394">
            <w:pPr>
              <w:spacing w:after="0" w:line="240" w:lineRule="auto"/>
              <w:rPr>
                <w:rFonts w:ascii="Times New Roman" w:eastAsia="Times New Roman" w:hAnsi="Times New Roman" w:cs="Times New Roman"/>
                <w:b/>
                <w:bCs/>
                <w:color w:val="4472C4" w:themeColor="accent1"/>
                <w:sz w:val="24"/>
                <w:szCs w:val="24"/>
                <w:lang w:eastAsia="lv-LV"/>
              </w:rPr>
            </w:pPr>
          </w:p>
        </w:tc>
        <w:tc>
          <w:tcPr>
            <w:tcW w:w="3595" w:type="pct"/>
          </w:tcPr>
          <w:p w14:paraId="0921D461" w14:textId="77777777"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Noteikumu projekta leģitīmais mērķis ir citu personu tiesību aizsardzība un sabiedrības labklājības nodrošināšana. </w:t>
            </w:r>
          </w:p>
          <w:p w14:paraId="71DD3F36" w14:textId="0F86E2E0"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Šo </w:t>
            </w:r>
            <w:r w:rsidR="00114D16" w:rsidRPr="00093F6A">
              <w:rPr>
                <w:rFonts w:ascii="Times New Roman" w:eastAsia="Times New Roman" w:hAnsi="Times New Roman" w:cs="Times New Roman"/>
                <w:iCs/>
                <w:color w:val="000000" w:themeColor="text1"/>
                <w:sz w:val="24"/>
                <w:szCs w:val="24"/>
                <w:lang w:eastAsia="lv-LV"/>
              </w:rPr>
              <w:t>pamattiesību</w:t>
            </w:r>
            <w:r w:rsidRPr="00093F6A">
              <w:rPr>
                <w:rFonts w:ascii="Times New Roman" w:eastAsia="Times New Roman" w:hAnsi="Times New Roman" w:cs="Times New Roman"/>
                <w:iCs/>
                <w:color w:val="000000" w:themeColor="text1"/>
                <w:sz w:val="24"/>
                <w:szCs w:val="24"/>
                <w:lang w:eastAsia="lv-LV"/>
              </w:rPr>
              <w:t xml:space="preserve">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konkrēto finanšu tirgus dalībnieku tiesisku un sabiedrības interesēm atbilstošu darbību.</w:t>
            </w:r>
          </w:p>
          <w:p w14:paraId="4FCF00BD" w14:textId="77777777"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Indivīdam kā finanšu tirgus sistēmas daļai 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dalībniekam.</w:t>
            </w:r>
          </w:p>
          <w:p w14:paraId="535C31E5" w14:textId="503A2F83" w:rsidR="00093F6A" w:rsidRPr="00093F6A" w:rsidRDefault="00093F6A" w:rsidP="00093F6A">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Nosakot </w:t>
            </w:r>
            <w:r w:rsidR="0030095A">
              <w:rPr>
                <w:rFonts w:ascii="Times New Roman" w:eastAsia="Times New Roman" w:hAnsi="Times New Roman" w:cs="Times New Roman"/>
                <w:iCs/>
                <w:color w:val="000000" w:themeColor="text1"/>
                <w:sz w:val="24"/>
                <w:szCs w:val="24"/>
                <w:lang w:eastAsia="lv-LV"/>
              </w:rPr>
              <w:t xml:space="preserve">finanšu </w:t>
            </w:r>
            <w:r w:rsidRPr="00093F6A">
              <w:rPr>
                <w:rFonts w:ascii="Times New Roman" w:eastAsia="Times New Roman" w:hAnsi="Times New Roman" w:cs="Times New Roman"/>
                <w:iCs/>
                <w:color w:val="000000" w:themeColor="text1"/>
                <w:sz w:val="24"/>
                <w:szCs w:val="24"/>
                <w:lang w:eastAsia="lv-LV"/>
              </w:rPr>
              <w:t xml:space="preserve">tirgus dalībniekiem prasības un veicot </w:t>
            </w:r>
            <w:r w:rsidR="00DD6DA2">
              <w:rPr>
                <w:rFonts w:ascii="Times New Roman" w:eastAsia="Times New Roman" w:hAnsi="Times New Roman" w:cs="Times New Roman"/>
                <w:iCs/>
                <w:color w:val="000000" w:themeColor="text1"/>
                <w:sz w:val="24"/>
                <w:szCs w:val="24"/>
                <w:lang w:eastAsia="lv-LV"/>
              </w:rPr>
              <w:t xml:space="preserve">šo </w:t>
            </w:r>
            <w:r w:rsidRPr="00093F6A">
              <w:rPr>
                <w:rFonts w:ascii="Times New Roman" w:eastAsia="Times New Roman" w:hAnsi="Times New Roman" w:cs="Times New Roman"/>
                <w:iCs/>
                <w:color w:val="000000" w:themeColor="text1"/>
                <w:sz w:val="24"/>
                <w:szCs w:val="24"/>
                <w:lang w:eastAsia="lv-LV"/>
              </w:rPr>
              <w:t>prasību ievērošanas pārbaudes, Latvijas Banka nodrošina tai Latvijas Bankas likumā noteikto pienākumu</w:t>
            </w:r>
            <w:r w:rsidR="00DD6DA2">
              <w:rPr>
                <w:rFonts w:ascii="Times New Roman" w:eastAsia="Times New Roman" w:hAnsi="Times New Roman" w:cs="Times New Roman"/>
                <w:iCs/>
                <w:color w:val="000000" w:themeColor="text1"/>
                <w:sz w:val="24"/>
                <w:szCs w:val="24"/>
                <w:lang w:eastAsia="lv-LV"/>
              </w:rPr>
              <w:t> –</w:t>
            </w:r>
            <w:r w:rsidRPr="00093F6A">
              <w:rPr>
                <w:rFonts w:ascii="Times New Roman" w:eastAsia="Times New Roman" w:hAnsi="Times New Roman" w:cs="Times New Roman"/>
                <w:iCs/>
                <w:color w:val="000000" w:themeColor="text1"/>
                <w:sz w:val="24"/>
                <w:szCs w:val="24"/>
                <w:lang w:eastAsia="lv-LV"/>
              </w:rPr>
              <w:t xml:space="preserve"> veicināt ieguldītāju un noguldītāju interešu aizsardzību un finanšu tirgus ilgtspējīgu attīstību un stabilitāti</w:t>
            </w:r>
            <w:r w:rsidR="00DD6DA2">
              <w:rPr>
                <w:rFonts w:ascii="Times New Roman" w:eastAsia="Times New Roman" w:hAnsi="Times New Roman" w:cs="Times New Roman"/>
                <w:iCs/>
                <w:color w:val="000000" w:themeColor="text1"/>
                <w:sz w:val="24"/>
                <w:szCs w:val="24"/>
                <w:lang w:eastAsia="lv-LV"/>
              </w:rPr>
              <w:t> –</w:t>
            </w:r>
            <w:r w:rsidRPr="00093F6A">
              <w:rPr>
                <w:rFonts w:ascii="Times New Roman" w:eastAsia="Times New Roman" w:hAnsi="Times New Roman" w:cs="Times New Roman"/>
                <w:iCs/>
                <w:color w:val="000000" w:themeColor="text1"/>
                <w:sz w:val="24"/>
                <w:szCs w:val="24"/>
                <w:lang w:eastAsia="lv-LV"/>
              </w:rPr>
              <w:t xml:space="preserve"> izpildi.</w:t>
            </w:r>
          </w:p>
          <w:p w14:paraId="66AD4387" w14:textId="0E45B02A" w:rsidR="00420EDF" w:rsidRPr="004A712C" w:rsidRDefault="00093F6A" w:rsidP="006B649E">
            <w:pPr>
              <w:spacing w:after="120" w:line="240" w:lineRule="auto"/>
              <w:jc w:val="both"/>
              <w:rPr>
                <w:rFonts w:ascii="Times New Roman" w:eastAsia="Times New Roman" w:hAnsi="Times New Roman" w:cs="Times New Roman"/>
                <w:iCs/>
                <w:color w:val="000000" w:themeColor="text1"/>
                <w:sz w:val="24"/>
                <w:szCs w:val="24"/>
                <w:lang w:eastAsia="lv-LV"/>
              </w:rPr>
            </w:pPr>
            <w:r w:rsidRPr="00093F6A">
              <w:rPr>
                <w:rFonts w:ascii="Times New Roman" w:eastAsia="Times New Roman" w:hAnsi="Times New Roman" w:cs="Times New Roman"/>
                <w:iCs/>
                <w:color w:val="000000" w:themeColor="text1"/>
                <w:sz w:val="24"/>
                <w:szCs w:val="24"/>
                <w:lang w:eastAsia="lv-LV"/>
              </w:rPr>
              <w:t xml:space="preserve">Noteikumu projekts nepieciešams, lai veicinātu vienotu un precīzu </w:t>
            </w:r>
            <w:r w:rsidR="00361591">
              <w:rPr>
                <w:rFonts w:ascii="Times New Roman" w:eastAsia="Times New Roman" w:hAnsi="Times New Roman" w:cs="Times New Roman"/>
                <w:iCs/>
                <w:color w:val="000000" w:themeColor="text1"/>
                <w:sz w:val="24"/>
                <w:szCs w:val="24"/>
                <w:lang w:eastAsia="lv-LV"/>
              </w:rPr>
              <w:t>S</w:t>
            </w:r>
            <w:r w:rsidR="002157ED">
              <w:rPr>
                <w:rFonts w:ascii="Times New Roman" w:eastAsia="Times New Roman" w:hAnsi="Times New Roman" w:cs="Times New Roman"/>
                <w:iCs/>
                <w:color w:val="000000" w:themeColor="text1"/>
                <w:sz w:val="24"/>
                <w:szCs w:val="24"/>
                <w:lang w:eastAsia="lv-LV"/>
              </w:rPr>
              <w:t xml:space="preserve">abiedrībām </w:t>
            </w:r>
            <w:r w:rsidRPr="00093F6A">
              <w:rPr>
                <w:rFonts w:ascii="Times New Roman" w:eastAsia="Times New Roman" w:hAnsi="Times New Roman" w:cs="Times New Roman"/>
                <w:iCs/>
                <w:color w:val="000000" w:themeColor="text1"/>
                <w:sz w:val="24"/>
                <w:szCs w:val="24"/>
                <w:lang w:eastAsia="lv-LV"/>
              </w:rPr>
              <w:t xml:space="preserve">saistošo regulējošo prasību piemērošanu iekšējās kontroles </w:t>
            </w:r>
            <w:r w:rsidRPr="007D23E9">
              <w:rPr>
                <w:rFonts w:ascii="Times New Roman" w:eastAsia="Times New Roman" w:hAnsi="Times New Roman" w:cs="Times New Roman"/>
                <w:iCs/>
                <w:color w:val="000000" w:themeColor="text1"/>
                <w:sz w:val="24"/>
                <w:szCs w:val="24"/>
                <w:lang w:eastAsia="lv-LV"/>
              </w:rPr>
              <w:t>sistēmas izveidošanas jomā</w:t>
            </w:r>
            <w:r w:rsidRPr="00093F6A">
              <w:rPr>
                <w:rFonts w:ascii="Times New Roman" w:eastAsia="Times New Roman" w:hAnsi="Times New Roman" w:cs="Times New Roman"/>
                <w:iCs/>
                <w:color w:val="000000" w:themeColor="text1"/>
                <w:sz w:val="24"/>
                <w:szCs w:val="24"/>
                <w:lang w:eastAsia="lv-LV"/>
              </w:rPr>
              <w:t>.</w:t>
            </w:r>
          </w:p>
        </w:tc>
      </w:tr>
      <w:tr w:rsidR="00D63F50" w:rsidRPr="000B4E0A" w14:paraId="039121D7" w14:textId="77777777" w:rsidTr="00444DAD">
        <w:trPr>
          <w:trHeight w:val="567"/>
        </w:trPr>
        <w:tc>
          <w:tcPr>
            <w:tcW w:w="1405" w:type="pct"/>
            <w:hideMark/>
          </w:tcPr>
          <w:p w14:paraId="2EABB69F"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Samērīgums</w:t>
            </w:r>
          </w:p>
          <w:p w14:paraId="6CDA7E8B" w14:textId="11957B66"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7DE64E7F" w14:textId="58A70EC9"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Nosakot vienotas prasības </w:t>
            </w:r>
            <w:r w:rsidR="002157ED">
              <w:rPr>
                <w:rFonts w:ascii="Times New Roman" w:eastAsia="Times New Roman" w:hAnsi="Times New Roman" w:cs="Times New Roman"/>
                <w:sz w:val="24"/>
                <w:szCs w:val="24"/>
                <w:lang w:eastAsia="lv-LV"/>
              </w:rPr>
              <w:t xml:space="preserve">iekšējās kontroles </w:t>
            </w:r>
            <w:r w:rsidR="007513D9">
              <w:rPr>
                <w:rFonts w:ascii="Times New Roman" w:eastAsia="Times New Roman" w:hAnsi="Times New Roman" w:cs="Times New Roman"/>
                <w:sz w:val="24"/>
                <w:szCs w:val="24"/>
                <w:lang w:eastAsia="lv-LV"/>
              </w:rPr>
              <w:t xml:space="preserve">sistēmas </w:t>
            </w:r>
            <w:r w:rsidR="007513D9" w:rsidRPr="007D23E9">
              <w:rPr>
                <w:rFonts w:ascii="Times New Roman" w:eastAsia="Times New Roman" w:hAnsi="Times New Roman" w:cs="Times New Roman"/>
                <w:sz w:val="24"/>
                <w:szCs w:val="24"/>
                <w:lang w:eastAsia="lv-LV"/>
              </w:rPr>
              <w:t>izveidošanai</w:t>
            </w:r>
            <w:r w:rsidR="00252D00" w:rsidRPr="007D23E9">
              <w:rPr>
                <w:rFonts w:ascii="Times New Roman" w:eastAsia="Times New Roman" w:hAnsi="Times New Roman" w:cs="Times New Roman"/>
                <w:sz w:val="24"/>
                <w:szCs w:val="24"/>
                <w:lang w:eastAsia="lv-LV"/>
              </w:rPr>
              <w:t>,</w:t>
            </w:r>
            <w:r w:rsidR="007513D9" w:rsidRPr="007D23E9">
              <w:rPr>
                <w:rFonts w:ascii="Times New Roman" w:eastAsia="Times New Roman" w:hAnsi="Times New Roman" w:cs="Times New Roman"/>
                <w:sz w:val="24"/>
                <w:szCs w:val="24"/>
                <w:lang w:eastAsia="lv-LV"/>
              </w:rPr>
              <w:t xml:space="preserve"> t</w:t>
            </w:r>
            <w:r w:rsidR="00252D00" w:rsidRPr="007D23E9">
              <w:rPr>
                <w:rFonts w:ascii="Times New Roman" w:eastAsia="Times New Roman" w:hAnsi="Times New Roman" w:cs="Times New Roman"/>
                <w:sz w:val="24"/>
                <w:szCs w:val="24"/>
                <w:lang w:eastAsia="lv-LV"/>
              </w:rPr>
              <w:t>i</w:t>
            </w:r>
            <w:r w:rsidRPr="007D23E9">
              <w:rPr>
                <w:rFonts w:ascii="Times New Roman" w:eastAsia="Times New Roman" w:hAnsi="Times New Roman" w:cs="Times New Roman"/>
                <w:sz w:val="24"/>
                <w:szCs w:val="24"/>
                <w:lang w:eastAsia="lv-LV"/>
              </w:rPr>
              <w:t>ek</w:t>
            </w:r>
            <w:r w:rsidRPr="00E7052B">
              <w:rPr>
                <w:rFonts w:ascii="Times New Roman" w:eastAsia="Times New Roman" w:hAnsi="Times New Roman" w:cs="Times New Roman"/>
                <w:sz w:val="24"/>
                <w:szCs w:val="24"/>
                <w:lang w:eastAsia="lv-LV"/>
              </w:rPr>
              <w:t xml:space="preserve"> nodrošināta vienota </w:t>
            </w:r>
            <w:r w:rsidR="0030095A">
              <w:rPr>
                <w:rFonts w:ascii="Times New Roman" w:eastAsia="Times New Roman" w:hAnsi="Times New Roman" w:cs="Times New Roman"/>
                <w:sz w:val="24"/>
                <w:szCs w:val="24"/>
                <w:lang w:eastAsia="lv-LV"/>
              </w:rPr>
              <w:t xml:space="preserve">finanšu </w:t>
            </w:r>
            <w:r w:rsidR="00D73E39">
              <w:rPr>
                <w:rFonts w:ascii="Times New Roman" w:eastAsia="Times New Roman" w:hAnsi="Times New Roman" w:cs="Times New Roman"/>
                <w:sz w:val="24"/>
                <w:szCs w:val="24"/>
                <w:lang w:eastAsia="lv-LV"/>
              </w:rPr>
              <w:t xml:space="preserve">tirgus dalībnieku </w:t>
            </w:r>
            <w:r w:rsidRPr="00E7052B">
              <w:rPr>
                <w:rFonts w:ascii="Times New Roman" w:eastAsia="Times New Roman" w:hAnsi="Times New Roman" w:cs="Times New Roman"/>
                <w:sz w:val="24"/>
                <w:szCs w:val="24"/>
                <w:lang w:eastAsia="lv-LV"/>
              </w:rPr>
              <w:t>izpratne un pieeja regulējošo prasību interpretācijai un piemērošanai</w:t>
            </w:r>
            <w:r w:rsidR="00B61AAF">
              <w:rPr>
                <w:rFonts w:ascii="Times New Roman" w:eastAsia="Times New Roman" w:hAnsi="Times New Roman" w:cs="Times New Roman"/>
                <w:sz w:val="24"/>
                <w:szCs w:val="24"/>
                <w:lang w:eastAsia="lv-LV"/>
              </w:rPr>
              <w:t xml:space="preserve">, kas ir būtisks faktors, lai </w:t>
            </w:r>
            <w:r w:rsidRPr="00E7052B">
              <w:rPr>
                <w:rFonts w:ascii="Times New Roman" w:eastAsia="Times New Roman" w:hAnsi="Times New Roman" w:cs="Times New Roman"/>
                <w:sz w:val="24"/>
                <w:szCs w:val="24"/>
                <w:lang w:eastAsia="lv-LV"/>
              </w:rPr>
              <w:t>nodrošinātu finanšu tirgus stabilitāti</w:t>
            </w:r>
            <w:r w:rsidR="00B61AAF">
              <w:rPr>
                <w:rFonts w:ascii="Times New Roman" w:eastAsia="Times New Roman" w:hAnsi="Times New Roman" w:cs="Times New Roman"/>
                <w:sz w:val="24"/>
                <w:szCs w:val="24"/>
                <w:lang w:eastAsia="lv-LV"/>
              </w:rPr>
              <w:t>.</w:t>
            </w:r>
          </w:p>
          <w:p w14:paraId="075E696F" w14:textId="3F10D1A7"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Līdz ar to atbilstošākais veids, kā noteikt </w:t>
            </w:r>
            <w:r w:rsidR="0030095A">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dalībniekiem </w:t>
            </w:r>
            <w:r w:rsidRPr="00E7052B">
              <w:rPr>
                <w:rFonts w:ascii="Times New Roman" w:eastAsia="Times New Roman" w:hAnsi="Times New Roman" w:cs="Times New Roman"/>
                <w:sz w:val="24"/>
                <w:szCs w:val="24"/>
                <w:lang w:eastAsia="lv-LV"/>
              </w:rPr>
              <w:t>vienotas</w:t>
            </w:r>
            <w:r>
              <w:rPr>
                <w:rFonts w:ascii="Times New Roman" w:eastAsia="Times New Roman" w:hAnsi="Times New Roman" w:cs="Times New Roman"/>
                <w:sz w:val="24"/>
                <w:szCs w:val="24"/>
                <w:lang w:eastAsia="lv-LV"/>
              </w:rPr>
              <w:t xml:space="preserve"> prasības</w:t>
            </w:r>
            <w:r w:rsidRPr="00E7052B">
              <w:rPr>
                <w:rFonts w:ascii="Times New Roman" w:eastAsia="Times New Roman" w:hAnsi="Times New Roman" w:cs="Times New Roman"/>
                <w:sz w:val="24"/>
                <w:szCs w:val="24"/>
                <w:lang w:eastAsia="lv-LV"/>
              </w:rPr>
              <w:t xml:space="preserve"> </w:t>
            </w:r>
            <w:r w:rsidR="00624E00">
              <w:rPr>
                <w:rFonts w:ascii="Times New Roman" w:eastAsia="Times New Roman" w:hAnsi="Times New Roman" w:cs="Times New Roman"/>
                <w:sz w:val="24"/>
                <w:szCs w:val="24"/>
                <w:lang w:eastAsia="lv-LV"/>
              </w:rPr>
              <w:t xml:space="preserve">iekšējās kontroles sistēmas </w:t>
            </w:r>
            <w:r w:rsidR="00B61AAF">
              <w:rPr>
                <w:rFonts w:ascii="Times New Roman" w:eastAsia="Times New Roman" w:hAnsi="Times New Roman" w:cs="Times New Roman"/>
                <w:sz w:val="24"/>
                <w:szCs w:val="24"/>
                <w:lang w:eastAsia="lv-LV"/>
              </w:rPr>
              <w:t>izveidošanai</w:t>
            </w:r>
            <w:r w:rsidR="00252D00">
              <w:rPr>
                <w:rFonts w:ascii="Times New Roman" w:eastAsia="Times New Roman" w:hAnsi="Times New Roman" w:cs="Times New Roman"/>
                <w:sz w:val="24"/>
                <w:szCs w:val="24"/>
                <w:lang w:eastAsia="lv-LV"/>
              </w:rPr>
              <w:t>,</w:t>
            </w:r>
            <w:r w:rsidRPr="00E7052B">
              <w:rPr>
                <w:rFonts w:ascii="Times New Roman" w:eastAsia="Times New Roman" w:hAnsi="Times New Roman" w:cs="Times New Roman"/>
                <w:sz w:val="24"/>
                <w:szCs w:val="24"/>
                <w:lang w:eastAsia="lv-LV"/>
              </w:rPr>
              <w:t xml:space="preserve"> ir izdot </w:t>
            </w:r>
            <w:r w:rsidR="0030374D">
              <w:rPr>
                <w:rFonts w:ascii="Times New Roman" w:eastAsia="Times New Roman" w:hAnsi="Times New Roman" w:cs="Times New Roman"/>
                <w:sz w:val="24"/>
                <w:szCs w:val="24"/>
                <w:lang w:eastAsia="lv-LV"/>
              </w:rPr>
              <w:t>t</w:t>
            </w:r>
            <w:r w:rsidR="00624E00">
              <w:rPr>
                <w:rFonts w:ascii="Times New Roman" w:eastAsia="Times New Roman" w:hAnsi="Times New Roman" w:cs="Times New Roman"/>
                <w:sz w:val="24"/>
                <w:szCs w:val="24"/>
                <w:lang w:eastAsia="lv-LV"/>
              </w:rPr>
              <w:t xml:space="preserve">iem </w:t>
            </w:r>
            <w:r w:rsidRPr="00E7052B">
              <w:rPr>
                <w:rFonts w:ascii="Times New Roman" w:eastAsia="Times New Roman" w:hAnsi="Times New Roman" w:cs="Times New Roman"/>
                <w:sz w:val="24"/>
                <w:szCs w:val="24"/>
                <w:lang w:eastAsia="lv-LV"/>
              </w:rPr>
              <w:t>saistošus noteikumus. Citas alternatīvas jautājuma noregulēšanai un vienotu prasību noteikšanai nebūtu efektīvas un nesasniegtu izvirzīto mērķi, jo nenodrošinātu vienveidīgu piemērošanu.</w:t>
            </w:r>
          </w:p>
          <w:p w14:paraId="39DB235B" w14:textId="661F10C0" w:rsidR="004A712C"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w:t>
            </w:r>
            <w:r w:rsidR="00361591">
              <w:rPr>
                <w:rFonts w:ascii="Times New Roman" w:eastAsia="Times New Roman" w:hAnsi="Times New Roman" w:cs="Times New Roman"/>
                <w:sz w:val="24"/>
                <w:szCs w:val="24"/>
                <w:lang w:eastAsia="lv-LV"/>
              </w:rPr>
              <w:t>S</w:t>
            </w:r>
            <w:r w:rsidR="002157ED">
              <w:rPr>
                <w:rFonts w:ascii="Times New Roman" w:eastAsia="Times New Roman" w:hAnsi="Times New Roman" w:cs="Times New Roman"/>
                <w:sz w:val="24"/>
                <w:szCs w:val="24"/>
                <w:lang w:eastAsia="lv-LV"/>
              </w:rPr>
              <w:t xml:space="preserve">abiedrībām </w:t>
            </w:r>
            <w:r w:rsidRPr="00E7052B">
              <w:rPr>
                <w:rFonts w:ascii="Times New Roman" w:eastAsia="Times New Roman" w:hAnsi="Times New Roman" w:cs="Times New Roman"/>
                <w:sz w:val="24"/>
                <w:szCs w:val="24"/>
                <w:lang w:eastAsia="lv-LV"/>
              </w:rPr>
              <w:t xml:space="preserve">juridiski saistoši. Turklāt noteikumu </w:t>
            </w:r>
            <w:r>
              <w:rPr>
                <w:rFonts w:ascii="Times New Roman" w:eastAsia="Times New Roman" w:hAnsi="Times New Roman" w:cs="Times New Roman"/>
                <w:sz w:val="24"/>
                <w:szCs w:val="24"/>
                <w:lang w:eastAsia="lv-LV"/>
              </w:rPr>
              <w:t xml:space="preserve">projekta </w:t>
            </w:r>
            <w:r w:rsidRPr="00E7052B">
              <w:rPr>
                <w:rFonts w:ascii="Times New Roman" w:eastAsia="Times New Roman" w:hAnsi="Times New Roman" w:cs="Times New Roman"/>
                <w:sz w:val="24"/>
                <w:szCs w:val="24"/>
                <w:lang w:eastAsia="lv-LV"/>
              </w:rPr>
              <w:t>izstrādi pilnvarojošā norma skaidri norāda uz noteikumu izstrādi</w:t>
            </w:r>
            <w:r w:rsidR="004A712C">
              <w:rPr>
                <w:rFonts w:ascii="Times New Roman" w:eastAsia="Times New Roman" w:hAnsi="Times New Roman" w:cs="Times New Roman"/>
                <w:sz w:val="24"/>
                <w:szCs w:val="24"/>
                <w:lang w:eastAsia="lv-LV"/>
              </w:rPr>
              <w:t xml:space="preserve">, kas </w:t>
            </w:r>
            <w:r w:rsidR="004A712C" w:rsidRPr="004A712C">
              <w:rPr>
                <w:rFonts w:ascii="Times New Roman" w:eastAsia="Times New Roman" w:hAnsi="Times New Roman" w:cs="Times New Roman"/>
                <w:sz w:val="24"/>
                <w:szCs w:val="24"/>
                <w:lang w:eastAsia="lv-LV"/>
              </w:rPr>
              <w:t>ļau</w:t>
            </w:r>
            <w:r w:rsidR="004A712C">
              <w:rPr>
                <w:rFonts w:ascii="Times New Roman" w:eastAsia="Times New Roman" w:hAnsi="Times New Roman" w:cs="Times New Roman"/>
                <w:sz w:val="24"/>
                <w:szCs w:val="24"/>
                <w:lang w:eastAsia="lv-LV"/>
              </w:rPr>
              <w:t xml:space="preserve">j </w:t>
            </w:r>
            <w:r w:rsidR="004A712C" w:rsidRPr="004A712C">
              <w:rPr>
                <w:rFonts w:ascii="Times New Roman" w:eastAsia="Times New Roman" w:hAnsi="Times New Roman" w:cs="Times New Roman"/>
                <w:sz w:val="24"/>
                <w:szCs w:val="24"/>
                <w:lang w:eastAsia="lv-LV"/>
              </w:rPr>
              <w:t xml:space="preserve">Latvijas Bankai ne tikai efektīvāk īstenot no Latvijas Bankas likuma izrietošās tiesības un pienākumus </w:t>
            </w:r>
            <w:r w:rsidR="0030095A">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dalībnieku </w:t>
            </w:r>
            <w:r w:rsidR="004A712C" w:rsidRPr="004A712C">
              <w:rPr>
                <w:rFonts w:ascii="Times New Roman" w:eastAsia="Times New Roman" w:hAnsi="Times New Roman" w:cs="Times New Roman"/>
                <w:sz w:val="24"/>
                <w:szCs w:val="24"/>
                <w:lang w:eastAsia="lv-LV"/>
              </w:rPr>
              <w:t xml:space="preserve">uzraudzībā, bet arī veicinās </w:t>
            </w:r>
            <w:r w:rsidR="00361591">
              <w:rPr>
                <w:rFonts w:ascii="Times New Roman" w:eastAsia="Times New Roman" w:hAnsi="Times New Roman" w:cs="Times New Roman"/>
                <w:sz w:val="24"/>
                <w:szCs w:val="24"/>
                <w:lang w:eastAsia="lv-LV"/>
              </w:rPr>
              <w:t>S</w:t>
            </w:r>
            <w:r w:rsidR="00624E00">
              <w:rPr>
                <w:rFonts w:ascii="Times New Roman" w:eastAsia="Times New Roman" w:hAnsi="Times New Roman" w:cs="Times New Roman"/>
                <w:sz w:val="24"/>
                <w:szCs w:val="24"/>
                <w:lang w:eastAsia="lv-LV"/>
              </w:rPr>
              <w:t>abiedrību biedru</w:t>
            </w:r>
            <w:r w:rsidR="002157ED">
              <w:rPr>
                <w:rFonts w:ascii="Times New Roman" w:eastAsia="Times New Roman" w:hAnsi="Times New Roman" w:cs="Times New Roman"/>
                <w:sz w:val="24"/>
                <w:szCs w:val="24"/>
                <w:lang w:eastAsia="lv-LV"/>
              </w:rPr>
              <w:t xml:space="preserve"> </w:t>
            </w:r>
            <w:r w:rsidR="004A712C" w:rsidRPr="004A712C">
              <w:rPr>
                <w:rFonts w:ascii="Times New Roman" w:eastAsia="Times New Roman" w:hAnsi="Times New Roman" w:cs="Times New Roman"/>
                <w:sz w:val="24"/>
                <w:szCs w:val="24"/>
                <w:lang w:eastAsia="lv-LV"/>
              </w:rPr>
              <w:t>interešu aizsardzību.</w:t>
            </w:r>
          </w:p>
          <w:p w14:paraId="4BFF6E36" w14:textId="45E3C6C5" w:rsidR="00D63F50" w:rsidRPr="00E7052B"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Vienlaikus ar noteikumu projektu tiek noteiktas prasības, kuras Latvijas Banka uzraudzības ietvaros var kontrolēt un nepieciešamības gadījumā par konkrētu prasību pārkāpumu </w:t>
            </w:r>
            <w:r w:rsidR="00DD6DA2" w:rsidRPr="00E7052B">
              <w:rPr>
                <w:rFonts w:ascii="Times New Roman" w:eastAsia="Times New Roman" w:hAnsi="Times New Roman" w:cs="Times New Roman"/>
                <w:sz w:val="24"/>
                <w:szCs w:val="24"/>
                <w:lang w:eastAsia="lv-LV"/>
              </w:rPr>
              <w:t xml:space="preserve">piemērot </w:t>
            </w:r>
            <w:r w:rsidR="00361591">
              <w:rPr>
                <w:rFonts w:ascii="Times New Roman" w:eastAsia="Times New Roman" w:hAnsi="Times New Roman" w:cs="Times New Roman"/>
                <w:sz w:val="24"/>
                <w:szCs w:val="24"/>
                <w:lang w:eastAsia="lv-LV"/>
              </w:rPr>
              <w:t>S</w:t>
            </w:r>
            <w:r w:rsidR="002157ED">
              <w:rPr>
                <w:rFonts w:ascii="Times New Roman" w:eastAsia="Times New Roman" w:hAnsi="Times New Roman" w:cs="Times New Roman"/>
                <w:sz w:val="24"/>
                <w:szCs w:val="24"/>
                <w:lang w:eastAsia="lv-LV"/>
              </w:rPr>
              <w:t xml:space="preserve">abiedrībai </w:t>
            </w:r>
            <w:r w:rsidRPr="00E7052B">
              <w:rPr>
                <w:rFonts w:ascii="Times New Roman" w:eastAsia="Times New Roman" w:hAnsi="Times New Roman" w:cs="Times New Roman"/>
                <w:sz w:val="24"/>
                <w:szCs w:val="24"/>
                <w:lang w:eastAsia="lv-LV"/>
              </w:rPr>
              <w:t>korektīvos pasākumus vai sankcijas</w:t>
            </w:r>
            <w:r w:rsidR="002157ED">
              <w:rPr>
                <w:rFonts w:ascii="Times New Roman" w:eastAsia="Times New Roman" w:hAnsi="Times New Roman" w:cs="Times New Roman"/>
                <w:sz w:val="24"/>
                <w:szCs w:val="24"/>
                <w:lang w:eastAsia="lv-LV"/>
              </w:rPr>
              <w:t>.</w:t>
            </w:r>
          </w:p>
          <w:p w14:paraId="15358280" w14:textId="0127EF55" w:rsidR="00D63F50" w:rsidRPr="00B61AAF" w:rsidRDefault="00D63F50" w:rsidP="006B649E">
            <w:pPr>
              <w:spacing w:after="12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Respektīvi, normatīvais akts kopumā un tajā ietvertās tiesību normas atbilst samērīguma principam, jo, pirmkārt, ar noteikumu projekta ieviešanu tiek sasniegts leģitīmais mērķis (citu personu tiesību un sabiedrības labklājības aizsardzība). Otrkārt, nepastāv tādi alternatīvi līdzekļi, kas sasniegtu leģitīmo mērķi tādā pašā kvalitātē.</w:t>
            </w:r>
            <w:r>
              <w:rPr>
                <w:rFonts w:ascii="Times New Roman" w:eastAsia="Times New Roman" w:hAnsi="Times New Roman" w:cs="Times New Roman"/>
                <w:sz w:val="24"/>
                <w:szCs w:val="24"/>
                <w:lang w:eastAsia="lv-LV"/>
              </w:rPr>
              <w:t xml:space="preserve"> Treškārt, sabiedrības labums no normatīvā akta prasību piemērošanas ir lielāks par nelielu papildu slogu un resursu ieguldījumu, kas </w:t>
            </w:r>
            <w:r w:rsidRPr="00E7052B">
              <w:rPr>
                <w:rFonts w:ascii="Times New Roman" w:eastAsia="Times New Roman" w:hAnsi="Times New Roman" w:cs="Times New Roman"/>
                <w:sz w:val="24"/>
                <w:szCs w:val="24"/>
                <w:lang w:eastAsia="lv-LV"/>
              </w:rPr>
              <w:t>konkrētaj</w:t>
            </w:r>
            <w:r w:rsidR="00624E00">
              <w:rPr>
                <w:rFonts w:ascii="Times New Roman" w:eastAsia="Times New Roman" w:hAnsi="Times New Roman" w:cs="Times New Roman"/>
                <w:sz w:val="24"/>
                <w:szCs w:val="24"/>
                <w:lang w:eastAsia="lv-LV"/>
              </w:rPr>
              <w:t xml:space="preserve">iem </w:t>
            </w:r>
            <w:r w:rsidR="0030095A">
              <w:rPr>
                <w:rFonts w:ascii="Times New Roman" w:eastAsia="Times New Roman" w:hAnsi="Times New Roman" w:cs="Times New Roman"/>
                <w:sz w:val="24"/>
                <w:szCs w:val="24"/>
                <w:lang w:eastAsia="lv-LV"/>
              </w:rPr>
              <w:t xml:space="preserve">finanšu </w:t>
            </w:r>
            <w:r w:rsidR="00624E00">
              <w:rPr>
                <w:rFonts w:ascii="Times New Roman" w:eastAsia="Times New Roman" w:hAnsi="Times New Roman" w:cs="Times New Roman"/>
                <w:sz w:val="24"/>
                <w:szCs w:val="24"/>
                <w:lang w:eastAsia="lv-LV"/>
              </w:rPr>
              <w:t xml:space="preserve">tirgus dalībniekiem </w:t>
            </w:r>
            <w:r w:rsidRPr="00E7052B">
              <w:rPr>
                <w:rFonts w:ascii="Times New Roman" w:eastAsia="Times New Roman" w:hAnsi="Times New Roman" w:cs="Times New Roman"/>
                <w:sz w:val="24"/>
                <w:szCs w:val="24"/>
                <w:lang w:eastAsia="lv-LV"/>
              </w:rPr>
              <w:t>varētu rasties ar uzliktajiem pienākumiem</w:t>
            </w:r>
            <w:r w:rsidR="00DD6DA2">
              <w:rPr>
                <w:rFonts w:ascii="Times New Roman" w:eastAsia="Times New Roman" w:hAnsi="Times New Roman" w:cs="Times New Roman"/>
                <w:sz w:val="24"/>
                <w:szCs w:val="24"/>
                <w:lang w:eastAsia="lv-LV"/>
              </w:rPr>
              <w:t>,</w:t>
            </w:r>
            <w:r w:rsidR="00B61AAF" w:rsidRPr="00E7052B">
              <w:rPr>
                <w:rFonts w:ascii="Times New Roman" w:eastAsia="Times New Roman" w:hAnsi="Times New Roman" w:cs="Times New Roman"/>
                <w:sz w:val="24"/>
                <w:szCs w:val="24"/>
                <w:lang w:eastAsia="lv-LV"/>
              </w:rPr>
              <w:t xml:space="preserve"> un tos atsver sagaidāmie ilgtermiņa ieguvumi stabilāka finanšu sektora veidā.</w:t>
            </w:r>
          </w:p>
        </w:tc>
      </w:tr>
      <w:tr w:rsidR="00D63F50" w:rsidRPr="000B4E0A" w14:paraId="457D6A2B" w14:textId="77777777" w:rsidTr="00444DAD">
        <w:trPr>
          <w:trHeight w:val="567"/>
        </w:trPr>
        <w:tc>
          <w:tcPr>
            <w:tcW w:w="1405" w:type="pct"/>
            <w:hideMark/>
          </w:tcPr>
          <w:p w14:paraId="167B9358"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71CBECED" w14:textId="06C03345"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374D264D" w14:textId="114EC168" w:rsidR="00D63F50" w:rsidRPr="00317A94" w:rsidRDefault="00D368CD"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color w:val="000000" w:themeColor="text1"/>
                <w:sz w:val="24"/>
                <w:szCs w:val="24"/>
                <w:lang w:eastAsia="lv-LV"/>
              </w:rPr>
              <w:t xml:space="preserve">Noteikumu projektā </w:t>
            </w:r>
            <w:r>
              <w:rPr>
                <w:rFonts w:ascii="Times New Roman" w:eastAsia="Times New Roman" w:hAnsi="Times New Roman" w:cs="Times New Roman"/>
                <w:iCs/>
                <w:color w:val="000000" w:themeColor="text1"/>
                <w:sz w:val="24"/>
                <w:szCs w:val="24"/>
                <w:lang w:eastAsia="lv-LV"/>
              </w:rPr>
              <w:t>paredzēts, ka tas stāsies spēkā 2025. gada 1. oktobrī, lai nodrošinātu, ka tas stājas spēkā vienlaikus ar Latvijas Bankas noteikumu projektu "</w:t>
            </w:r>
            <w:r w:rsidRPr="005D0C40">
              <w:rPr>
                <w:rFonts w:ascii="Times New Roman" w:eastAsia="Times New Roman" w:hAnsi="Times New Roman" w:cs="Times New Roman"/>
                <w:color w:val="000000"/>
                <w:sz w:val="24"/>
                <w:szCs w:val="24"/>
                <w:lang w:eastAsia="lv-LV"/>
              </w:rPr>
              <w:t xml:space="preserve">Krājaizdevu sabiedrību </w:t>
            </w:r>
            <w:r>
              <w:rPr>
                <w:rFonts w:ascii="Times New Roman" w:eastAsia="Times New Roman" w:hAnsi="Times New Roman" w:cs="Times New Roman"/>
                <w:color w:val="000000"/>
                <w:sz w:val="24"/>
                <w:szCs w:val="24"/>
                <w:lang w:eastAsia="lv-LV"/>
              </w:rPr>
              <w:t>kredītriska pārvaldīšanas noteikumi</w:t>
            </w:r>
            <w:r w:rsidRPr="005D0C40">
              <w:rPr>
                <w:rFonts w:ascii="Times New Roman" w:eastAsia="Times New Roman" w:hAnsi="Times New Roman" w:cs="Times New Roman"/>
                <w:color w:val="000000"/>
                <w:sz w:val="24"/>
                <w:szCs w:val="24"/>
                <w:lang w:eastAsia="lv-LV"/>
              </w:rPr>
              <w:t>"</w:t>
            </w:r>
            <w:r>
              <w:rPr>
                <w:rFonts w:ascii="Times New Roman" w:eastAsia="Times New Roman" w:hAnsi="Times New Roman" w:cs="Times New Roman"/>
                <w:color w:val="000000"/>
                <w:sz w:val="24"/>
                <w:szCs w:val="24"/>
                <w:lang w:eastAsia="lv-LV"/>
              </w:rPr>
              <w:t>.</w:t>
            </w:r>
          </w:p>
        </w:tc>
      </w:tr>
      <w:tr w:rsidR="00D63F50" w:rsidRPr="000B4E0A" w14:paraId="29A97663" w14:textId="77777777" w:rsidTr="00444DAD">
        <w:trPr>
          <w:trHeight w:val="567"/>
        </w:trPr>
        <w:tc>
          <w:tcPr>
            <w:tcW w:w="1405" w:type="pct"/>
            <w:hideMark/>
          </w:tcPr>
          <w:p w14:paraId="5B9C5F6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Ietekme uz Latvijas Bankas budžetu</w:t>
            </w:r>
          </w:p>
          <w:p w14:paraId="014B1A80" w14:textId="1DD0501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3944460A" w14:textId="3E437B49" w:rsidR="00D63F50" w:rsidRPr="00CA0DE3" w:rsidRDefault="00D63F50" w:rsidP="006B649E">
            <w:pPr>
              <w:spacing w:after="120" w:line="240" w:lineRule="auto"/>
              <w:jc w:val="both"/>
              <w:rPr>
                <w:rFonts w:ascii="Times New Roman" w:eastAsia="Times New Roman" w:hAnsi="Times New Roman" w:cs="Times New Roman"/>
                <w:color w:val="000000" w:themeColor="text1"/>
                <w:sz w:val="24"/>
                <w:szCs w:val="24"/>
                <w:lang w:eastAsia="lv-LV"/>
              </w:rPr>
            </w:pPr>
            <w:r w:rsidRPr="00CA0DE3">
              <w:rPr>
                <w:rFonts w:ascii="Times New Roman" w:eastAsia="Times New Roman" w:hAnsi="Times New Roman" w:cs="Times New Roman"/>
                <w:color w:val="000000" w:themeColor="text1"/>
                <w:sz w:val="24"/>
                <w:szCs w:val="24"/>
                <w:lang w:eastAsia="lv-LV"/>
              </w:rPr>
              <w:t>Normatīvā akta izdošana neietekmēs Latvijas Bankas budžeta ieņēmumus un izdevumus</w:t>
            </w:r>
            <w:r w:rsidR="00D40E90">
              <w:rPr>
                <w:rFonts w:ascii="Times New Roman" w:eastAsia="Times New Roman" w:hAnsi="Times New Roman" w:cs="Times New Roman"/>
                <w:color w:val="000000" w:themeColor="text1"/>
                <w:sz w:val="24"/>
                <w:szCs w:val="24"/>
                <w:lang w:eastAsia="lv-LV"/>
              </w:rPr>
              <w:t>.</w:t>
            </w:r>
          </w:p>
        </w:tc>
      </w:tr>
      <w:tr w:rsidR="00D63F50" w:rsidRPr="000B4E0A" w14:paraId="74F122AB" w14:textId="77777777" w:rsidTr="00444DAD">
        <w:trPr>
          <w:trHeight w:val="567"/>
        </w:trPr>
        <w:tc>
          <w:tcPr>
            <w:tcW w:w="1405" w:type="pct"/>
            <w:hideMark/>
          </w:tcPr>
          <w:p w14:paraId="50B93F09"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Administratīvā sloga un izmaksu novērtējums (tirgus dalībniekiem)</w:t>
            </w:r>
          </w:p>
          <w:p w14:paraId="652F8FE6" w14:textId="1904302F"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6CB065E2" w14:textId="5F4B2E43" w:rsidR="00D63F50" w:rsidRPr="00317A94" w:rsidRDefault="00D63F50" w:rsidP="006B649E">
            <w:pPr>
              <w:spacing w:after="120" w:line="240" w:lineRule="auto"/>
              <w:jc w:val="both"/>
              <w:rPr>
                <w:rFonts w:ascii="Times New Roman" w:eastAsia="Times New Roman" w:hAnsi="Times New Roman" w:cs="Times New Roman"/>
                <w:sz w:val="24"/>
                <w:szCs w:val="24"/>
                <w:lang w:eastAsia="lv-LV"/>
              </w:rPr>
            </w:pPr>
            <w:r w:rsidRPr="002703B1">
              <w:rPr>
                <w:rFonts w:ascii="Times New Roman" w:eastAsia="Times New Roman" w:hAnsi="Times New Roman" w:cs="Times New Roman"/>
                <w:sz w:val="24"/>
                <w:szCs w:val="24"/>
                <w:lang w:eastAsia="lv-LV"/>
              </w:rPr>
              <w:t xml:space="preserve">Ar </w:t>
            </w:r>
            <w:r w:rsidRPr="00A97597">
              <w:rPr>
                <w:rFonts w:ascii="Times New Roman" w:eastAsia="Times New Roman" w:hAnsi="Times New Roman" w:cs="Times New Roman"/>
                <w:sz w:val="24"/>
                <w:szCs w:val="24"/>
                <w:lang w:eastAsia="lv-LV"/>
              </w:rPr>
              <w:t>noteikumu projekt</w:t>
            </w:r>
            <w:r>
              <w:rPr>
                <w:rFonts w:ascii="Times New Roman" w:eastAsia="Times New Roman" w:hAnsi="Times New Roman" w:cs="Times New Roman"/>
                <w:sz w:val="24"/>
                <w:szCs w:val="24"/>
                <w:lang w:eastAsia="lv-LV"/>
              </w:rPr>
              <w:t>u</w:t>
            </w:r>
            <w:r w:rsidRPr="00A97597">
              <w:rPr>
                <w:rFonts w:ascii="Times New Roman" w:eastAsia="Times New Roman" w:hAnsi="Times New Roman" w:cs="Times New Roman"/>
                <w:sz w:val="24"/>
                <w:szCs w:val="24"/>
                <w:lang w:eastAsia="lv-LV"/>
              </w:rPr>
              <w:t xml:space="preserve"> </w:t>
            </w:r>
            <w:r w:rsidR="0017020C">
              <w:rPr>
                <w:rFonts w:ascii="Times New Roman" w:eastAsia="Times New Roman" w:hAnsi="Times New Roman" w:cs="Times New Roman"/>
                <w:sz w:val="24"/>
                <w:szCs w:val="24"/>
                <w:lang w:eastAsia="lv-LV"/>
              </w:rPr>
              <w:t xml:space="preserve">mazāk nozīmīgām </w:t>
            </w:r>
            <w:r w:rsidR="00361591">
              <w:rPr>
                <w:rFonts w:ascii="Times New Roman" w:eastAsia="Times New Roman" w:hAnsi="Times New Roman" w:cs="Times New Roman"/>
                <w:sz w:val="24"/>
                <w:szCs w:val="24"/>
                <w:lang w:eastAsia="lv-LV"/>
              </w:rPr>
              <w:t>S</w:t>
            </w:r>
            <w:r w:rsidR="00114D16">
              <w:rPr>
                <w:rFonts w:ascii="Times New Roman" w:eastAsia="Times New Roman" w:hAnsi="Times New Roman" w:cs="Times New Roman"/>
                <w:sz w:val="24"/>
                <w:szCs w:val="24"/>
                <w:lang w:eastAsia="lv-LV"/>
              </w:rPr>
              <w:t xml:space="preserve">abiedrībām </w:t>
            </w:r>
            <w:r w:rsidR="00E46591">
              <w:rPr>
                <w:rFonts w:ascii="Times New Roman" w:eastAsia="Times New Roman" w:hAnsi="Times New Roman" w:cs="Times New Roman"/>
                <w:sz w:val="24"/>
                <w:szCs w:val="24"/>
                <w:lang w:eastAsia="lv-LV"/>
              </w:rPr>
              <w:t>tiek atvieglots administratīvais slogs</w:t>
            </w:r>
            <w:r w:rsidRPr="00D40E90">
              <w:rPr>
                <w:rFonts w:ascii="Times New Roman" w:eastAsia="Times New Roman" w:hAnsi="Times New Roman" w:cs="Times New Roman"/>
                <w:color w:val="000000" w:themeColor="text1"/>
                <w:sz w:val="24"/>
                <w:szCs w:val="24"/>
                <w:lang w:eastAsia="lv-LV"/>
              </w:rPr>
              <w:t>.</w:t>
            </w:r>
          </w:p>
        </w:tc>
      </w:tr>
      <w:tr w:rsidR="00D63F50" w:rsidRPr="000B4E0A" w14:paraId="5E6D0405" w14:textId="77777777" w:rsidTr="00444DAD">
        <w:trPr>
          <w:trHeight w:val="567"/>
        </w:trPr>
        <w:tc>
          <w:tcPr>
            <w:tcW w:w="1405" w:type="pct"/>
            <w:hideMark/>
          </w:tcPr>
          <w:p w14:paraId="2F4E3287"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378C981E" w14:textId="6DB40C71"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33839685" w14:textId="7F276740" w:rsidR="00DD6DA2" w:rsidRDefault="00DD6DA2" w:rsidP="006B649E">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Ar noteikumu projektu saistītie dokumenti:</w:t>
            </w:r>
          </w:p>
          <w:p w14:paraId="22B17541" w14:textId="6305BA65" w:rsidR="00093F6A" w:rsidRPr="00F703B1" w:rsidRDefault="0067277C" w:rsidP="00A36AB5">
            <w:pPr>
              <w:pStyle w:val="ListParagraph"/>
              <w:numPr>
                <w:ilvl w:val="0"/>
                <w:numId w:val="3"/>
              </w:numPr>
              <w:spacing w:after="120" w:line="240" w:lineRule="auto"/>
              <w:ind w:left="316"/>
              <w:jc w:val="both"/>
              <w:rPr>
                <w:rFonts w:ascii="Times New Roman" w:eastAsia="Times New Roman" w:hAnsi="Times New Roman" w:cs="Times New Roman"/>
                <w:sz w:val="24"/>
                <w:szCs w:val="24"/>
                <w:lang w:eastAsia="lv-LV"/>
              </w:rPr>
            </w:pPr>
            <w:hyperlink r:id="rId11" w:history="1">
              <w:r w:rsidRPr="00F703B1">
                <w:rPr>
                  <w:rStyle w:val="Hyperlink"/>
                  <w:rFonts w:ascii="Times New Roman" w:eastAsia="Times New Roman" w:hAnsi="Times New Roman" w:cs="Times New Roman"/>
                  <w:sz w:val="24"/>
                  <w:szCs w:val="24"/>
                  <w:lang w:eastAsia="lv-LV"/>
                </w:rPr>
                <w:t>Krājaizdevu sabiedrību likums;</w:t>
              </w:r>
            </w:hyperlink>
          </w:p>
          <w:p w14:paraId="411F2FDF" w14:textId="7BD8A896" w:rsidR="00D40E90" w:rsidRPr="00F703B1" w:rsidRDefault="008F4392" w:rsidP="008F4392">
            <w:pPr>
              <w:pStyle w:val="ListParagraph"/>
              <w:numPr>
                <w:ilvl w:val="0"/>
                <w:numId w:val="3"/>
              </w:numPr>
              <w:spacing w:after="120" w:line="240" w:lineRule="auto"/>
              <w:ind w:left="316"/>
              <w:jc w:val="both"/>
              <w:rPr>
                <w:rFonts w:ascii="Times New Roman" w:hAnsi="Times New Roman" w:cs="Times New Roman"/>
                <w:sz w:val="24"/>
                <w:szCs w:val="24"/>
              </w:rPr>
            </w:pPr>
            <w:hyperlink r:id="rId12" w:history="1">
              <w:r w:rsidRPr="00F703B1">
                <w:rPr>
                  <w:rStyle w:val="Hyperlink"/>
                  <w:rFonts w:ascii="Times New Roman" w:hAnsi="Times New Roman" w:cs="Times New Roman"/>
                  <w:sz w:val="24"/>
                  <w:szCs w:val="24"/>
                </w:rPr>
                <w:t>Kooperatīvo sabiedrību likums</w:t>
              </w:r>
            </w:hyperlink>
            <w:r w:rsidRPr="00F703B1">
              <w:rPr>
                <w:rFonts w:ascii="Times New Roman" w:hAnsi="Times New Roman" w:cs="Times New Roman"/>
                <w:sz w:val="24"/>
                <w:szCs w:val="24"/>
              </w:rPr>
              <w:t>;</w:t>
            </w:r>
          </w:p>
          <w:p w14:paraId="7DCAB6E4" w14:textId="2C416EBD" w:rsidR="008F4392" w:rsidRPr="00F703B1" w:rsidRDefault="008F4392" w:rsidP="008F4392">
            <w:pPr>
              <w:pStyle w:val="ListParagraph"/>
              <w:numPr>
                <w:ilvl w:val="0"/>
                <w:numId w:val="3"/>
              </w:numPr>
              <w:spacing w:after="120" w:line="240" w:lineRule="auto"/>
              <w:ind w:left="316"/>
              <w:jc w:val="both"/>
              <w:rPr>
                <w:rFonts w:ascii="Times New Roman" w:eastAsia="Times New Roman" w:hAnsi="Times New Roman" w:cs="Times New Roman"/>
                <w:sz w:val="24"/>
                <w:szCs w:val="24"/>
                <w:lang w:eastAsia="lv-LV"/>
              </w:rPr>
            </w:pPr>
            <w:hyperlink r:id="rId13" w:history="1">
              <w:r w:rsidRPr="00F703B1">
                <w:rPr>
                  <w:rStyle w:val="Hyperlink"/>
                  <w:rFonts w:ascii="Times New Roman" w:eastAsia="Times New Roman" w:hAnsi="Times New Roman" w:cs="Times New Roman"/>
                  <w:sz w:val="24"/>
                  <w:szCs w:val="24"/>
                  <w:lang w:eastAsia="lv-LV"/>
                </w:rPr>
                <w:t>Starptautisko un Latvijas Republikas nacionālo sankciju likums</w:t>
              </w:r>
            </w:hyperlink>
            <w:r w:rsidR="00A36AB5" w:rsidRPr="00754658">
              <w:rPr>
                <w:rFonts w:ascii="Times New Roman" w:hAnsi="Times New Roman" w:cs="Times New Roman"/>
                <w:sz w:val="24"/>
                <w:szCs w:val="24"/>
              </w:rPr>
              <w:t>;</w:t>
            </w:r>
          </w:p>
          <w:p w14:paraId="2BED43B0" w14:textId="155E5ADF" w:rsidR="00A36AB5" w:rsidRPr="00EB18F1" w:rsidRDefault="008F4392" w:rsidP="00754658">
            <w:pPr>
              <w:pStyle w:val="ListParagraph"/>
              <w:numPr>
                <w:ilvl w:val="0"/>
                <w:numId w:val="3"/>
              </w:numPr>
              <w:spacing w:after="120" w:line="240" w:lineRule="auto"/>
              <w:ind w:left="316"/>
              <w:jc w:val="both"/>
              <w:rPr>
                <w:rFonts w:ascii="Times New Roman" w:eastAsia="Times New Roman" w:hAnsi="Times New Roman" w:cs="Times New Roman"/>
                <w:sz w:val="24"/>
                <w:szCs w:val="24"/>
                <w:lang w:eastAsia="lv-LV"/>
              </w:rPr>
            </w:pPr>
            <w:hyperlink r:id="rId14" w:history="1">
              <w:r w:rsidRPr="00F703B1">
                <w:rPr>
                  <w:rStyle w:val="Hyperlink"/>
                  <w:rFonts w:ascii="Times New Roman" w:eastAsia="Times New Roman" w:hAnsi="Times New Roman" w:cs="Times New Roman"/>
                  <w:sz w:val="24"/>
                  <w:szCs w:val="24"/>
                  <w:lang w:eastAsia="lv-LV"/>
                </w:rPr>
                <w:t>Noziedzīgi iegūtu līdzekļu legalizācijas un terorisma un proliferācijas finansēšanas novēršanas likums</w:t>
              </w:r>
            </w:hyperlink>
            <w:r w:rsidR="008A6F02">
              <w:rPr>
                <w:rFonts w:ascii="Times New Roman" w:hAnsi="Times New Roman" w:cs="Times New Roman"/>
                <w:sz w:val="24"/>
                <w:szCs w:val="24"/>
              </w:rPr>
              <w:t>;</w:t>
            </w:r>
          </w:p>
          <w:p w14:paraId="27B485CD" w14:textId="12239D7D" w:rsidR="008A6F02" w:rsidRPr="00D06B03" w:rsidRDefault="008A6F02" w:rsidP="00754658">
            <w:pPr>
              <w:pStyle w:val="ListParagraph"/>
              <w:numPr>
                <w:ilvl w:val="0"/>
                <w:numId w:val="3"/>
              </w:numPr>
              <w:spacing w:after="120" w:line="240" w:lineRule="auto"/>
              <w:ind w:left="316"/>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Noteikumi Nr. 285.</w:t>
            </w:r>
          </w:p>
        </w:tc>
      </w:tr>
      <w:tr w:rsidR="00D63F50" w:rsidRPr="000B4E0A" w14:paraId="7B39A4DD" w14:textId="77777777" w:rsidTr="00444DAD">
        <w:trPr>
          <w:trHeight w:val="567"/>
        </w:trPr>
        <w:tc>
          <w:tcPr>
            <w:tcW w:w="1405" w:type="pct"/>
            <w:hideMark/>
          </w:tcPr>
          <w:p w14:paraId="0B99FFDD"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4A756E9D" w14:textId="65F5390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162166C3" w14:textId="41D27612" w:rsidR="00D63F50" w:rsidRPr="00317A94" w:rsidRDefault="00D63F50" w:rsidP="006B649E">
            <w:pPr>
              <w:spacing w:after="120" w:line="240" w:lineRule="auto"/>
              <w:rPr>
                <w:rFonts w:ascii="Times New Roman" w:eastAsia="Times New Roman" w:hAnsi="Times New Roman" w:cs="Times New Roman"/>
                <w:sz w:val="24"/>
                <w:szCs w:val="24"/>
                <w:lang w:eastAsia="lv-LV"/>
              </w:rPr>
            </w:pPr>
            <w:r w:rsidRPr="009F23B8">
              <w:rPr>
                <w:rFonts w:ascii="Times New Roman" w:eastAsia="Times New Roman" w:hAnsi="Times New Roman" w:cs="Times New Roman"/>
                <w:sz w:val="24"/>
                <w:szCs w:val="24"/>
                <w:lang w:eastAsia="lv-LV"/>
              </w:rPr>
              <w:t xml:space="preserve">Noteikumu projekts nav jāsaskaņo ar </w:t>
            </w:r>
            <w:r>
              <w:rPr>
                <w:rFonts w:ascii="Times New Roman" w:eastAsia="Times New Roman" w:hAnsi="Times New Roman" w:cs="Times New Roman"/>
                <w:sz w:val="24"/>
                <w:szCs w:val="24"/>
                <w:lang w:eastAsia="lv-LV"/>
              </w:rPr>
              <w:t>Eiropas Centrālo banku</w:t>
            </w:r>
            <w:r w:rsidR="00D40E90">
              <w:rPr>
                <w:rFonts w:ascii="Times New Roman" w:eastAsia="Times New Roman" w:hAnsi="Times New Roman" w:cs="Times New Roman"/>
                <w:sz w:val="24"/>
                <w:szCs w:val="24"/>
                <w:lang w:eastAsia="lv-LV"/>
              </w:rPr>
              <w:t>.</w:t>
            </w:r>
          </w:p>
        </w:tc>
      </w:tr>
      <w:tr w:rsidR="00D63F50" w:rsidRPr="000B4E0A" w14:paraId="79622963" w14:textId="77777777" w:rsidTr="00444DAD">
        <w:trPr>
          <w:trHeight w:val="567"/>
        </w:trPr>
        <w:tc>
          <w:tcPr>
            <w:tcW w:w="1405" w:type="pct"/>
            <w:hideMark/>
          </w:tcPr>
          <w:p w14:paraId="581D9633"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6D76A17A" w14:textId="2DF982D9"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3DAC44AC" w14:textId="65B0BF80" w:rsidR="000C05F6" w:rsidRDefault="00D63F50" w:rsidP="000C05F6">
            <w:pPr>
              <w:spacing w:after="120" w:line="240" w:lineRule="auto"/>
              <w:jc w:val="both"/>
              <w:rPr>
                <w:rFonts w:ascii="Times New Roman" w:eastAsia="Times New Roman" w:hAnsi="Times New Roman" w:cs="Times New Roman"/>
                <w:sz w:val="24"/>
                <w:szCs w:val="24"/>
                <w:lang w:eastAsia="lv-LV"/>
              </w:rPr>
            </w:pPr>
            <w:r w:rsidRPr="000C29D8">
              <w:rPr>
                <w:rFonts w:ascii="Times New Roman" w:eastAsia="Times New Roman" w:hAnsi="Times New Roman" w:cs="Times New Roman"/>
                <w:sz w:val="24"/>
                <w:szCs w:val="24"/>
                <w:lang w:eastAsia="lv-LV"/>
              </w:rPr>
              <w:t>Noteikumu projekt</w:t>
            </w:r>
            <w:r w:rsidR="000C05F6">
              <w:rPr>
                <w:rFonts w:ascii="Times New Roman" w:eastAsia="Times New Roman" w:hAnsi="Times New Roman" w:cs="Times New Roman"/>
                <w:sz w:val="24"/>
                <w:szCs w:val="24"/>
                <w:lang w:eastAsia="lv-LV"/>
              </w:rPr>
              <w:t>s</w:t>
            </w:r>
            <w:r w:rsidRPr="000C29D8">
              <w:rPr>
                <w:rFonts w:ascii="Times New Roman" w:eastAsia="Times New Roman" w:hAnsi="Times New Roman" w:cs="Times New Roman"/>
                <w:sz w:val="24"/>
                <w:szCs w:val="24"/>
                <w:lang w:eastAsia="lv-LV"/>
              </w:rPr>
              <w:t xml:space="preserve"> </w:t>
            </w:r>
            <w:r w:rsidR="000C05F6">
              <w:rPr>
                <w:rFonts w:ascii="Times New Roman" w:eastAsia="Times New Roman" w:hAnsi="Times New Roman" w:cs="Times New Roman"/>
                <w:sz w:val="24"/>
                <w:szCs w:val="24"/>
                <w:lang w:eastAsia="lv-LV"/>
              </w:rPr>
              <w:t>2025.</w:t>
            </w:r>
            <w:r w:rsidR="006A2061">
              <w:rPr>
                <w:rFonts w:ascii="Times New Roman" w:eastAsia="Times New Roman" w:hAnsi="Times New Roman" w:cs="Times New Roman"/>
                <w:sz w:val="24"/>
                <w:szCs w:val="24"/>
                <w:lang w:eastAsia="lv-LV"/>
              </w:rPr>
              <w:t> </w:t>
            </w:r>
            <w:r w:rsidR="000C05F6">
              <w:rPr>
                <w:rFonts w:ascii="Times New Roman" w:eastAsia="Times New Roman" w:hAnsi="Times New Roman" w:cs="Times New Roman"/>
                <w:sz w:val="24"/>
                <w:szCs w:val="24"/>
                <w:lang w:eastAsia="lv-LV"/>
              </w:rPr>
              <w:t>gada 30.</w:t>
            </w:r>
            <w:r w:rsidR="006A2061">
              <w:rPr>
                <w:rFonts w:ascii="Times New Roman" w:eastAsia="Times New Roman" w:hAnsi="Times New Roman" w:cs="Times New Roman"/>
                <w:sz w:val="24"/>
                <w:szCs w:val="24"/>
                <w:lang w:eastAsia="lv-LV"/>
              </w:rPr>
              <w:t> </w:t>
            </w:r>
            <w:r w:rsidR="000C05F6">
              <w:rPr>
                <w:rFonts w:ascii="Times New Roman" w:eastAsia="Times New Roman" w:hAnsi="Times New Roman" w:cs="Times New Roman"/>
                <w:sz w:val="24"/>
                <w:szCs w:val="24"/>
                <w:lang w:eastAsia="lv-LV"/>
              </w:rPr>
              <w:t xml:space="preserve">jūlijā </w:t>
            </w:r>
            <w:r w:rsidR="00EC2BFA">
              <w:rPr>
                <w:rFonts w:ascii="Times New Roman" w:eastAsia="Times New Roman" w:hAnsi="Times New Roman" w:cs="Times New Roman"/>
                <w:sz w:val="24"/>
                <w:szCs w:val="24"/>
                <w:lang w:eastAsia="lv-LV"/>
              </w:rPr>
              <w:t>tik</w:t>
            </w:r>
            <w:r w:rsidR="000C05F6">
              <w:rPr>
                <w:rFonts w:ascii="Times New Roman" w:eastAsia="Times New Roman" w:hAnsi="Times New Roman" w:cs="Times New Roman"/>
                <w:sz w:val="24"/>
                <w:szCs w:val="24"/>
                <w:lang w:eastAsia="lv-LV"/>
              </w:rPr>
              <w:t>a</w:t>
            </w:r>
            <w:r w:rsidR="00EC2BFA">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publicēts Latvijas Bankas tīmekļvietnes</w:t>
            </w:r>
            <w:r>
              <w:rPr>
                <w:rFonts w:ascii="Times New Roman" w:eastAsia="Times New Roman" w:hAnsi="Times New Roman" w:cs="Times New Roman"/>
                <w:sz w:val="24"/>
                <w:szCs w:val="24"/>
                <w:lang w:eastAsia="lv-LV"/>
              </w:rPr>
              <w:t xml:space="preserve"> </w:t>
            </w:r>
            <w:hyperlink r:id="rId15" w:history="1">
              <w:r w:rsidRPr="00481EB2">
                <w:rPr>
                  <w:rStyle w:val="Hyperlink"/>
                  <w:rFonts w:ascii="Times New Roman" w:eastAsia="Times New Roman" w:hAnsi="Times New Roman" w:cs="Times New Roman"/>
                  <w:sz w:val="24"/>
                  <w:szCs w:val="24"/>
                  <w:lang w:eastAsia="lv-LV"/>
                </w:rPr>
                <w:t>www.bank.lv</w:t>
              </w:r>
            </w:hyperlink>
            <w:r>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sadaļ</w:t>
            </w:r>
            <w:r w:rsidR="003246DF">
              <w:rPr>
                <w:rFonts w:ascii="Times New Roman" w:eastAsia="Times New Roman" w:hAnsi="Times New Roman" w:cs="Times New Roman"/>
                <w:sz w:val="24"/>
                <w:szCs w:val="24"/>
                <w:lang w:eastAsia="lv-LV"/>
              </w:rPr>
              <w:t>as "Tiesību akti" apakšsadaļā</w:t>
            </w:r>
            <w:r w:rsidRPr="000C29D8">
              <w:rPr>
                <w:rFonts w:ascii="Times New Roman" w:eastAsia="Times New Roman" w:hAnsi="Times New Roman" w:cs="Times New Roman"/>
                <w:sz w:val="24"/>
                <w:szCs w:val="24"/>
                <w:lang w:eastAsia="lv-LV"/>
              </w:rPr>
              <w:t xml:space="preserve"> "Sabiedrības līdzdalība"</w:t>
            </w:r>
            <w:r w:rsidR="000C05F6">
              <w:rPr>
                <w:rFonts w:ascii="Times New Roman" w:eastAsia="Times New Roman" w:hAnsi="Times New Roman" w:cs="Times New Roman"/>
                <w:sz w:val="24"/>
                <w:szCs w:val="24"/>
                <w:lang w:eastAsia="lv-LV"/>
              </w:rPr>
              <w:t>, aicinot priekšlikumus iesniegt līdz 2025.</w:t>
            </w:r>
            <w:r w:rsidR="006A2061">
              <w:rPr>
                <w:rFonts w:ascii="Times New Roman" w:eastAsia="Times New Roman" w:hAnsi="Times New Roman" w:cs="Times New Roman"/>
                <w:sz w:val="24"/>
                <w:szCs w:val="24"/>
                <w:lang w:eastAsia="lv-LV"/>
              </w:rPr>
              <w:t> </w:t>
            </w:r>
            <w:r w:rsidR="000C05F6">
              <w:rPr>
                <w:rFonts w:ascii="Times New Roman" w:eastAsia="Times New Roman" w:hAnsi="Times New Roman" w:cs="Times New Roman"/>
                <w:sz w:val="24"/>
                <w:szCs w:val="24"/>
                <w:lang w:eastAsia="lv-LV"/>
              </w:rPr>
              <w:t>gada 13.</w:t>
            </w:r>
            <w:r w:rsidR="006A2061">
              <w:rPr>
                <w:rFonts w:ascii="Times New Roman" w:eastAsia="Times New Roman" w:hAnsi="Times New Roman" w:cs="Times New Roman"/>
                <w:sz w:val="24"/>
                <w:szCs w:val="24"/>
                <w:lang w:eastAsia="lv-LV"/>
              </w:rPr>
              <w:t> </w:t>
            </w:r>
            <w:r w:rsidR="000C05F6">
              <w:rPr>
                <w:rFonts w:ascii="Times New Roman" w:eastAsia="Times New Roman" w:hAnsi="Times New Roman" w:cs="Times New Roman"/>
                <w:sz w:val="24"/>
                <w:szCs w:val="24"/>
                <w:lang w:eastAsia="lv-LV"/>
              </w:rPr>
              <w:t>augustam.</w:t>
            </w:r>
          </w:p>
          <w:p w14:paraId="7B1DB470" w14:textId="589C12D7" w:rsidR="00D63F50" w:rsidRPr="00317A94" w:rsidRDefault="00D63F50" w:rsidP="000C05F6">
            <w:pPr>
              <w:spacing w:after="120" w:line="240" w:lineRule="auto"/>
              <w:jc w:val="both"/>
              <w:rPr>
                <w:rFonts w:ascii="Times New Roman" w:eastAsia="Times New Roman" w:hAnsi="Times New Roman" w:cs="Times New Roman"/>
                <w:sz w:val="24"/>
                <w:szCs w:val="24"/>
                <w:lang w:eastAsia="lv-LV"/>
              </w:rPr>
            </w:pPr>
            <w:r w:rsidRPr="000C29D8">
              <w:rPr>
                <w:rFonts w:ascii="Times New Roman" w:eastAsia="Times New Roman" w:hAnsi="Times New Roman" w:cs="Times New Roman"/>
                <w:sz w:val="24"/>
                <w:szCs w:val="24"/>
                <w:lang w:eastAsia="lv-LV"/>
              </w:rPr>
              <w:t xml:space="preserve">Vienlaikus par </w:t>
            </w:r>
            <w:r>
              <w:rPr>
                <w:rFonts w:ascii="Times New Roman" w:eastAsia="Times New Roman" w:hAnsi="Times New Roman" w:cs="Times New Roman"/>
                <w:sz w:val="24"/>
                <w:szCs w:val="24"/>
                <w:lang w:eastAsia="lv-LV"/>
              </w:rPr>
              <w:t>n</w:t>
            </w:r>
            <w:r w:rsidRPr="000C29D8">
              <w:rPr>
                <w:rFonts w:ascii="Times New Roman" w:eastAsia="Times New Roman" w:hAnsi="Times New Roman" w:cs="Times New Roman"/>
                <w:sz w:val="24"/>
                <w:szCs w:val="24"/>
                <w:lang w:eastAsia="lv-LV"/>
              </w:rPr>
              <w:t>oteikumu projektu un notiekošo sabiedrības līdzdalību tik</w:t>
            </w:r>
            <w:r w:rsidR="00504CD1">
              <w:rPr>
                <w:rFonts w:ascii="Times New Roman" w:eastAsia="Times New Roman" w:hAnsi="Times New Roman" w:cs="Times New Roman"/>
                <w:sz w:val="24"/>
                <w:szCs w:val="24"/>
                <w:lang w:eastAsia="lv-LV"/>
              </w:rPr>
              <w:t>a</w:t>
            </w:r>
            <w:r w:rsidR="00630EDA">
              <w:rPr>
                <w:rFonts w:ascii="Times New Roman" w:eastAsia="Times New Roman" w:hAnsi="Times New Roman" w:cs="Times New Roman"/>
                <w:sz w:val="24"/>
                <w:szCs w:val="24"/>
                <w:lang w:eastAsia="lv-LV"/>
              </w:rPr>
              <w:t xml:space="preserve"> informēta </w:t>
            </w:r>
            <w:r w:rsidR="00630EDA" w:rsidRPr="00630EDA">
              <w:rPr>
                <w:rFonts w:ascii="Times New Roman" w:eastAsia="Times New Roman" w:hAnsi="Times New Roman" w:cs="Times New Roman"/>
                <w:sz w:val="24"/>
                <w:szCs w:val="24"/>
                <w:lang w:eastAsia="lv-LV"/>
              </w:rPr>
              <w:t>Krājaizdevu Apvienība</w:t>
            </w:r>
            <w:r w:rsidR="00E530E4">
              <w:rPr>
                <w:rFonts w:ascii="Times New Roman" w:eastAsia="Times New Roman" w:hAnsi="Times New Roman" w:cs="Times New Roman"/>
                <w:sz w:val="24"/>
                <w:szCs w:val="24"/>
                <w:lang w:eastAsia="lv-LV"/>
              </w:rPr>
              <w:t xml:space="preserve"> </w:t>
            </w:r>
            <w:r w:rsidR="00630EDA">
              <w:rPr>
                <w:rFonts w:ascii="Times New Roman" w:eastAsia="Times New Roman" w:hAnsi="Times New Roman" w:cs="Times New Roman"/>
                <w:sz w:val="24"/>
                <w:szCs w:val="24"/>
                <w:lang w:eastAsia="lv-LV"/>
              </w:rPr>
              <w:t xml:space="preserve">un </w:t>
            </w:r>
            <w:r w:rsidR="00630EDA" w:rsidRPr="00630EDA">
              <w:rPr>
                <w:rFonts w:ascii="Times New Roman" w:eastAsia="Times New Roman" w:hAnsi="Times New Roman" w:cs="Times New Roman"/>
                <w:sz w:val="24"/>
                <w:szCs w:val="24"/>
                <w:lang w:eastAsia="lv-LV"/>
              </w:rPr>
              <w:t>Latvijas Kooperatīvo krājaizdevu sabiedrību savienība</w:t>
            </w:r>
            <w:r w:rsidR="00361591">
              <w:rPr>
                <w:rFonts w:ascii="Times New Roman" w:eastAsia="Times New Roman" w:hAnsi="Times New Roman" w:cs="Times New Roman"/>
                <w:sz w:val="24"/>
                <w:szCs w:val="24"/>
                <w:lang w:eastAsia="lv-LV"/>
              </w:rPr>
              <w:t xml:space="preserve">, </w:t>
            </w:r>
            <w:r w:rsidR="00361591" w:rsidRPr="00894D21">
              <w:rPr>
                <w:rFonts w:ascii="Times New Roman" w:eastAsia="Times New Roman" w:hAnsi="Times New Roman" w:cs="Times New Roman"/>
                <w:sz w:val="24"/>
                <w:szCs w:val="24"/>
                <w:lang w:eastAsia="lv-LV"/>
              </w:rPr>
              <w:t xml:space="preserve">kā arī ārpus </w:t>
            </w:r>
            <w:r w:rsidR="008A6F02">
              <w:rPr>
                <w:rFonts w:ascii="Times New Roman" w:eastAsia="Times New Roman" w:hAnsi="Times New Roman" w:cs="Times New Roman"/>
                <w:sz w:val="24"/>
                <w:szCs w:val="24"/>
                <w:lang w:eastAsia="lv-LV"/>
              </w:rPr>
              <w:t>tām</w:t>
            </w:r>
            <w:r w:rsidR="008A6F02" w:rsidRPr="00894D21">
              <w:rPr>
                <w:rFonts w:ascii="Times New Roman" w:eastAsia="Times New Roman" w:hAnsi="Times New Roman" w:cs="Times New Roman"/>
                <w:sz w:val="24"/>
                <w:szCs w:val="24"/>
                <w:lang w:eastAsia="lv-LV"/>
              </w:rPr>
              <w:t xml:space="preserve"> </w:t>
            </w:r>
            <w:r w:rsidR="00361591" w:rsidRPr="00894D21">
              <w:rPr>
                <w:rFonts w:ascii="Times New Roman" w:eastAsia="Times New Roman" w:hAnsi="Times New Roman" w:cs="Times New Roman"/>
                <w:sz w:val="24"/>
                <w:szCs w:val="24"/>
                <w:lang w:eastAsia="lv-LV"/>
              </w:rPr>
              <w:t>esošie finanšu tirgus dalībnieki, kuriem būs saistoša noteikumu projektā ietverto prasību izpilde.</w:t>
            </w:r>
            <w:r w:rsidR="00630EDA">
              <w:rPr>
                <w:rFonts w:ascii="Times New Roman" w:eastAsia="Times New Roman" w:hAnsi="Times New Roman" w:cs="Times New Roman"/>
                <w:sz w:val="24"/>
                <w:szCs w:val="24"/>
                <w:lang w:eastAsia="lv-LV"/>
              </w:rPr>
              <w:t xml:space="preserve"> </w:t>
            </w:r>
          </w:p>
        </w:tc>
      </w:tr>
      <w:tr w:rsidR="00D63F50" w:rsidRPr="000B4E0A" w14:paraId="4A3E4A01" w14:textId="77777777" w:rsidTr="00444DAD">
        <w:trPr>
          <w:trHeight w:val="567"/>
        </w:trPr>
        <w:tc>
          <w:tcPr>
            <w:tcW w:w="1405" w:type="pct"/>
            <w:hideMark/>
          </w:tcPr>
          <w:p w14:paraId="11A86D20" w14:textId="77777777" w:rsidR="00D63F50" w:rsidRPr="00E253DA" w:rsidRDefault="00D63F50" w:rsidP="00D63F50">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45DABBFE" w14:textId="5EC04874" w:rsidR="00D63F50" w:rsidRPr="00E253DA" w:rsidRDefault="00D63F50" w:rsidP="00D63F50">
            <w:pPr>
              <w:spacing w:after="0" w:line="240" w:lineRule="auto"/>
              <w:rPr>
                <w:rFonts w:ascii="Times New Roman" w:eastAsia="Times New Roman" w:hAnsi="Times New Roman" w:cs="Times New Roman"/>
                <w:b/>
                <w:bCs/>
                <w:sz w:val="24"/>
                <w:szCs w:val="24"/>
                <w:lang w:eastAsia="lv-LV"/>
              </w:rPr>
            </w:pPr>
          </w:p>
        </w:tc>
        <w:tc>
          <w:tcPr>
            <w:tcW w:w="3595" w:type="pct"/>
          </w:tcPr>
          <w:p w14:paraId="736AD104" w14:textId="18E9186B" w:rsidR="00C1208C" w:rsidRPr="00317A94" w:rsidRDefault="000C05F6" w:rsidP="000C05F6">
            <w:pPr>
              <w:spacing w:after="120" w:line="240" w:lineRule="auto"/>
              <w:jc w:val="both"/>
              <w:rPr>
                <w:rFonts w:ascii="Times New Roman" w:eastAsia="Times New Roman" w:hAnsi="Times New Roman" w:cs="Times New Roman"/>
                <w:sz w:val="24"/>
                <w:szCs w:val="24"/>
                <w:lang w:eastAsia="lv-LV"/>
              </w:rPr>
            </w:pPr>
            <w:r w:rsidRPr="00D525C7">
              <w:rPr>
                <w:rFonts w:ascii="Times New Roman" w:eastAsia="Times New Roman" w:hAnsi="Times New Roman" w:cs="Times New Roman"/>
                <w:sz w:val="24"/>
                <w:szCs w:val="24"/>
                <w:lang w:eastAsia="lv-LV"/>
              </w:rPr>
              <w:t xml:space="preserve">Sabiedrības līdzdalības </w:t>
            </w:r>
            <w:r>
              <w:rPr>
                <w:rFonts w:ascii="Times New Roman" w:eastAsia="Times New Roman" w:hAnsi="Times New Roman" w:cs="Times New Roman"/>
                <w:sz w:val="24"/>
                <w:szCs w:val="24"/>
                <w:lang w:eastAsia="lv-LV"/>
              </w:rPr>
              <w:t xml:space="preserve">rezultātā </w:t>
            </w:r>
            <w:r w:rsidRPr="000A13F5">
              <w:rPr>
                <w:rFonts w:ascii="Times New Roman" w:eastAsia="Times New Roman" w:hAnsi="Times New Roman" w:cs="Times New Roman"/>
                <w:sz w:val="24"/>
                <w:szCs w:val="24"/>
                <w:lang w:eastAsia="lv-LV"/>
              </w:rPr>
              <w:t xml:space="preserve">par noteikumu projektu </w:t>
            </w:r>
            <w:r w:rsidRPr="00D525C7">
              <w:rPr>
                <w:rFonts w:ascii="Times New Roman" w:eastAsia="Times New Roman" w:hAnsi="Times New Roman" w:cs="Times New Roman"/>
                <w:sz w:val="24"/>
                <w:szCs w:val="24"/>
                <w:lang w:eastAsia="lv-LV"/>
              </w:rPr>
              <w:t xml:space="preserve">tika saņemti </w:t>
            </w:r>
            <w:r>
              <w:rPr>
                <w:rFonts w:ascii="Times New Roman" w:eastAsia="Times New Roman" w:hAnsi="Times New Roman" w:cs="Times New Roman"/>
                <w:sz w:val="24"/>
                <w:szCs w:val="24"/>
                <w:lang w:eastAsia="lv-LV"/>
              </w:rPr>
              <w:t xml:space="preserve">atsevišķi </w:t>
            </w:r>
            <w:r w:rsidRPr="00D525C7">
              <w:rPr>
                <w:rFonts w:ascii="Times New Roman" w:eastAsia="Times New Roman" w:hAnsi="Times New Roman" w:cs="Times New Roman"/>
                <w:sz w:val="24"/>
                <w:szCs w:val="24"/>
                <w:lang w:eastAsia="lv-LV"/>
              </w:rPr>
              <w:t>priekšlikumi</w:t>
            </w:r>
            <w:r>
              <w:rPr>
                <w:rFonts w:ascii="Times New Roman" w:eastAsia="Times New Roman" w:hAnsi="Times New Roman" w:cs="Times New Roman"/>
                <w:sz w:val="24"/>
                <w:szCs w:val="24"/>
                <w:lang w:eastAsia="lv-LV"/>
              </w:rPr>
              <w:t xml:space="preserve"> un iebildumi</w:t>
            </w:r>
            <w:r w:rsidRPr="00D525C7">
              <w:rPr>
                <w:rFonts w:ascii="Times New Roman" w:eastAsia="Times New Roman" w:hAnsi="Times New Roman" w:cs="Times New Roman"/>
                <w:sz w:val="24"/>
                <w:szCs w:val="24"/>
                <w:lang w:eastAsia="lv-LV"/>
              </w:rPr>
              <w:t xml:space="preserve">, kuri </w:t>
            </w:r>
            <w:r w:rsidR="004A03BA">
              <w:rPr>
                <w:rFonts w:ascii="Times New Roman" w:eastAsia="Times New Roman" w:hAnsi="Times New Roman" w:cs="Times New Roman"/>
                <w:sz w:val="24"/>
                <w:szCs w:val="24"/>
                <w:lang w:eastAsia="lv-LV"/>
              </w:rPr>
              <w:t>daļēji ņemti vērā</w:t>
            </w:r>
            <w:r w:rsidRPr="00D525C7">
              <w:rPr>
                <w:rFonts w:ascii="Times New Roman" w:eastAsia="Times New Roman" w:hAnsi="Times New Roman" w:cs="Times New Roman"/>
                <w:sz w:val="24"/>
                <w:szCs w:val="24"/>
                <w:lang w:eastAsia="lv-LV"/>
              </w:rPr>
              <w:t>.</w:t>
            </w:r>
            <w:r>
              <w:rPr>
                <w:rFonts w:ascii="Times New Roman" w:hAnsi="Times New Roman" w:cs="Times New Roman"/>
                <w:sz w:val="24"/>
                <w:szCs w:val="24"/>
                <w:lang w:eastAsia="lv-LV"/>
              </w:rPr>
              <w:t xml:space="preserve"> To</w:t>
            </w:r>
            <w:r w:rsidRPr="004E3F4A">
              <w:rPr>
                <w:rFonts w:ascii="Times New Roman" w:hAnsi="Times New Roman" w:cs="Times New Roman"/>
                <w:sz w:val="24"/>
                <w:szCs w:val="24"/>
                <w:lang w:eastAsia="lv-LV"/>
              </w:rPr>
              <w:t xml:space="preserve"> apkopojums ir pievienots anotācijas pielikumā.</w:t>
            </w:r>
          </w:p>
        </w:tc>
      </w:tr>
    </w:tbl>
    <w:p w14:paraId="27206774" w14:textId="135C1D00" w:rsidR="00C55B65" w:rsidRDefault="00C55B65" w:rsidP="00175148">
      <w:pPr>
        <w:spacing w:after="0" w:line="240" w:lineRule="auto"/>
        <w:rPr>
          <w:rFonts w:ascii="Times New Roman" w:hAnsi="Times New Roman" w:cs="Times New Roman"/>
          <w:sz w:val="24"/>
          <w:szCs w:val="24"/>
        </w:rPr>
      </w:pPr>
    </w:p>
    <w:p w14:paraId="4FD142C5" w14:textId="77777777" w:rsidR="00C55B65" w:rsidRDefault="00C55B65">
      <w:pPr>
        <w:rPr>
          <w:rFonts w:ascii="Times New Roman" w:hAnsi="Times New Roman" w:cs="Times New Roman"/>
          <w:sz w:val="24"/>
          <w:szCs w:val="24"/>
        </w:rPr>
      </w:pPr>
      <w:r>
        <w:rPr>
          <w:rFonts w:ascii="Times New Roman" w:hAnsi="Times New Roman" w:cs="Times New Roman"/>
          <w:sz w:val="24"/>
          <w:szCs w:val="24"/>
        </w:rPr>
        <w:br w:type="page"/>
      </w:r>
    </w:p>
    <w:p w14:paraId="635AFF40" w14:textId="77777777" w:rsidR="00C55B65" w:rsidRDefault="00C55B65" w:rsidP="00175148">
      <w:pPr>
        <w:spacing w:after="0" w:line="240" w:lineRule="auto"/>
        <w:rPr>
          <w:rFonts w:ascii="Times New Roman" w:hAnsi="Times New Roman" w:cs="Times New Roman"/>
          <w:sz w:val="24"/>
          <w:szCs w:val="24"/>
        </w:rPr>
        <w:sectPr w:rsidR="00C55B65" w:rsidSect="001D7DB1">
          <w:headerReference w:type="default" r:id="rId16"/>
          <w:pgSz w:w="11906" w:h="16838" w:code="9"/>
          <w:pgMar w:top="1134" w:right="1134" w:bottom="1134" w:left="1701" w:header="708" w:footer="708" w:gutter="0"/>
          <w:cols w:space="708"/>
          <w:titlePg/>
          <w:docGrid w:linePitch="360"/>
        </w:sectPr>
      </w:pPr>
    </w:p>
    <w:p w14:paraId="04936CBE" w14:textId="77777777" w:rsidR="00C55B65" w:rsidRPr="004F29B1" w:rsidRDefault="00C55B65" w:rsidP="00C55B65">
      <w:pPr>
        <w:pStyle w:val="NApielikums"/>
      </w:pPr>
      <w:r>
        <w:t>P</w:t>
      </w:r>
      <w:r w:rsidRPr="004F29B1">
        <w:t>ielikums</w:t>
      </w:r>
    </w:p>
    <w:p w14:paraId="26BF6162" w14:textId="77777777" w:rsidR="00C55B65" w:rsidRDefault="00F90B0A" w:rsidP="00C55B65">
      <w:pPr>
        <w:pStyle w:val="NApielikums"/>
      </w:pPr>
      <w:sdt>
        <w:sdtPr>
          <w:alias w:val="Autors"/>
          <w:tag w:val="Autors"/>
          <w:id w:val="-955019713"/>
          <w:placeholder>
            <w:docPart w:val="302698CD48F045EB80A761FB53C1F1E1"/>
          </w:placeholder>
          <w:comboBox>
            <w:listItem w:displayText="Latvijas Bankas padomes" w:value="Latvijas Bankas padomes"/>
            <w:listItem w:displayText="Latvijas Bankas prezidenta" w:value="Latvijas Bankas prezidenta"/>
          </w:comboBox>
        </w:sdtPr>
        <w:sdtEndPr/>
        <w:sdtContent>
          <w:r w:rsidR="00C55B65" w:rsidDel="00D87536">
            <w:t xml:space="preserve">Latvijas Bankas </w:t>
          </w:r>
          <w:r w:rsidR="00C55B65">
            <w:t>noteikumu projektam</w:t>
          </w:r>
        </w:sdtContent>
      </w:sdt>
      <w:r w:rsidR="00C55B65">
        <w:t xml:space="preserve"> </w:t>
      </w:r>
    </w:p>
    <w:p w14:paraId="1707B476" w14:textId="77777777" w:rsidR="00C55B65" w:rsidRPr="00351900" w:rsidRDefault="00C55B65" w:rsidP="00C55B65">
      <w:pPr>
        <w:pStyle w:val="NApielikums"/>
      </w:pPr>
    </w:p>
    <w:sdt>
      <w:sdtPr>
        <w:rPr>
          <w:rFonts w:ascii="Times New Roman" w:hAnsi="Times New Roman" w:cs="Times New Roman"/>
          <w:b/>
          <w:color w:val="000000" w:themeColor="text1"/>
          <w:sz w:val="24"/>
          <w:szCs w:val="24"/>
        </w:rPr>
        <w:id w:val="-1871525274"/>
        <w:placeholder>
          <w:docPart w:val="C37E4C8C84574674B108AF7E77DFB78E"/>
        </w:placeholder>
      </w:sdtPr>
      <w:sdtEndPr/>
      <w:sdtContent>
        <w:sdt>
          <w:sdtPr>
            <w:rPr>
              <w:rFonts w:ascii="Times New Roman" w:hAnsi="Times New Roman" w:cs="Times New Roman"/>
              <w:b/>
              <w:color w:val="000000" w:themeColor="text1"/>
              <w:sz w:val="24"/>
              <w:szCs w:val="24"/>
            </w:rPr>
            <w:id w:val="293333744"/>
            <w:placeholder>
              <w:docPart w:val="A252FE44433A4095A5814CEEA5A9ABFA"/>
            </w:placeholder>
          </w:sdtPr>
          <w:sdtEndPr/>
          <w:sdtContent>
            <w:sdt>
              <w:sdtPr>
                <w:rPr>
                  <w:rFonts w:ascii="Times New Roman" w:hAnsi="Times New Roman" w:cs="Times New Roman"/>
                  <w:b/>
                  <w:color w:val="000000" w:themeColor="text1"/>
                  <w:sz w:val="24"/>
                  <w:szCs w:val="24"/>
                </w:rPr>
                <w:id w:val="1472949152"/>
                <w:placeholder>
                  <w:docPart w:val="DC3233E89A6A4412B58DA91E8B6F9A2A"/>
                </w:placeholder>
              </w:sdtPr>
              <w:sdtEndPr/>
              <w:sdtContent>
                <w:p w14:paraId="1DA2CDC3" w14:textId="77777777" w:rsidR="00C55B65" w:rsidRPr="00594249" w:rsidRDefault="00C55B65" w:rsidP="00C55B65">
                  <w:pPr>
                    <w:spacing w:before="240"/>
                    <w:rPr>
                      <w:rFonts w:ascii="Times New Roman" w:hAnsi="Times New Roman" w:cs="Times New Roman"/>
                      <w:b/>
                      <w:color w:val="000000" w:themeColor="text1"/>
                      <w:sz w:val="24"/>
                      <w:szCs w:val="24"/>
                    </w:rPr>
                  </w:pPr>
                  <w:r w:rsidRPr="00594249">
                    <w:rPr>
                      <w:rFonts w:ascii="Times New Roman" w:hAnsi="Times New Roman" w:cs="Times New Roman"/>
                      <w:b/>
                      <w:color w:val="000000" w:themeColor="text1"/>
                      <w:sz w:val="24"/>
                      <w:szCs w:val="24"/>
                    </w:rPr>
                    <w:t xml:space="preserve">Sabiedrības līdzdalības laikā saņemto priekšlikumu par Latvijas Bankas noteikumu projektu </w:t>
                  </w:r>
                  <w:r w:rsidRPr="00594249">
                    <w:rPr>
                      <w:rFonts w:ascii="Times New Roman" w:hAnsi="Times New Roman" w:cs="Times New Roman"/>
                      <w:sz w:val="24"/>
                      <w:szCs w:val="24"/>
                    </w:rPr>
                    <w:t>"</w:t>
                  </w:r>
                  <w:r w:rsidRPr="00594249">
                    <w:rPr>
                      <w:rFonts w:ascii="Times New Roman" w:hAnsi="Times New Roman" w:cs="Times New Roman"/>
                      <w:b/>
                      <w:color w:val="000000" w:themeColor="text1"/>
                      <w:sz w:val="24"/>
                      <w:szCs w:val="24"/>
                    </w:rPr>
                    <w:t>Krājaizdevu sabiedrību iekšējās kontroles sistēmas noteikumi</w:t>
                  </w:r>
                  <w:r w:rsidRPr="00594249">
                    <w:rPr>
                      <w:rFonts w:ascii="Times New Roman" w:hAnsi="Times New Roman" w:cs="Times New Roman"/>
                      <w:sz w:val="24"/>
                      <w:szCs w:val="24"/>
                    </w:rPr>
                    <w:t>"</w:t>
                  </w:r>
                  <w:r w:rsidRPr="00594249">
                    <w:rPr>
                      <w:rFonts w:ascii="Times New Roman" w:hAnsi="Times New Roman" w:cs="Times New Roman"/>
                      <w:b/>
                      <w:color w:val="000000" w:themeColor="text1"/>
                      <w:sz w:val="24"/>
                      <w:szCs w:val="24"/>
                    </w:rPr>
                    <w:t xml:space="preserve"> apkopojums</w:t>
                  </w:r>
                </w:p>
              </w:sdtContent>
            </w:sdt>
          </w:sdtContent>
        </w:sdt>
      </w:sdtContent>
    </w:sdt>
    <w:p w14:paraId="09BC82D7" w14:textId="77777777" w:rsidR="00C55B65" w:rsidRPr="009035E3" w:rsidRDefault="00C55B65" w:rsidP="00C55B65">
      <w:pPr>
        <w:pStyle w:val="NApunkts1"/>
        <w:numPr>
          <w:ilvl w:val="0"/>
          <w:numId w:val="0"/>
        </w:numPr>
        <w:rPr>
          <w:bCs/>
        </w:rPr>
      </w:pPr>
    </w:p>
    <w:tbl>
      <w:tblPr>
        <w:tblW w:w="14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4252"/>
        <w:gridCol w:w="4820"/>
        <w:gridCol w:w="4401"/>
      </w:tblGrid>
      <w:tr w:rsidR="00C55B65" w:rsidRPr="00594249" w14:paraId="16A3F5E0" w14:textId="77777777" w:rsidTr="00FF22A2">
        <w:tc>
          <w:tcPr>
            <w:tcW w:w="846" w:type="dxa"/>
            <w:tcBorders>
              <w:top w:val="single" w:sz="4" w:space="0" w:color="auto"/>
              <w:left w:val="single" w:sz="4" w:space="0" w:color="auto"/>
              <w:bottom w:val="single" w:sz="4" w:space="0" w:color="auto"/>
              <w:right w:val="single" w:sz="4" w:space="0" w:color="auto"/>
            </w:tcBorders>
          </w:tcPr>
          <w:p w14:paraId="1FF43325" w14:textId="48AF85F0" w:rsidR="00C55B65" w:rsidRPr="00594249" w:rsidRDefault="00C55B65" w:rsidP="00594249">
            <w:pPr>
              <w:spacing w:line="240" w:lineRule="auto"/>
              <w:jc w:val="center"/>
              <w:rPr>
                <w:rFonts w:ascii="Times New Roman" w:hAnsi="Times New Roman" w:cs="Times New Roman"/>
                <w:b/>
                <w:sz w:val="24"/>
                <w:szCs w:val="24"/>
              </w:rPr>
            </w:pPr>
            <w:r w:rsidRPr="00594249">
              <w:rPr>
                <w:rFonts w:ascii="Times New Roman" w:hAnsi="Times New Roman" w:cs="Times New Roman"/>
                <w:b/>
                <w:sz w:val="24"/>
                <w:szCs w:val="24"/>
              </w:rPr>
              <w:t>Nr.</w:t>
            </w:r>
            <w:r w:rsidRPr="00594249">
              <w:rPr>
                <w:rFonts w:ascii="Times New Roman" w:hAnsi="Times New Roman" w:cs="Times New Roman"/>
                <w:b/>
                <w:sz w:val="24"/>
                <w:szCs w:val="24"/>
              </w:rPr>
              <w:br/>
              <w:t>p.</w:t>
            </w:r>
            <w:r w:rsidR="006A2061">
              <w:rPr>
                <w:rFonts w:ascii="Times New Roman" w:hAnsi="Times New Roman" w:cs="Times New Roman"/>
                <w:b/>
                <w:sz w:val="24"/>
                <w:szCs w:val="24"/>
              </w:rPr>
              <w:t> </w:t>
            </w:r>
            <w:r w:rsidRPr="00594249">
              <w:rPr>
                <w:rFonts w:ascii="Times New Roman" w:hAnsi="Times New Roman" w:cs="Times New Roman"/>
                <w:b/>
                <w:sz w:val="24"/>
                <w:szCs w:val="24"/>
              </w:rPr>
              <w:t>k.</w:t>
            </w:r>
          </w:p>
        </w:tc>
        <w:tc>
          <w:tcPr>
            <w:tcW w:w="4252" w:type="dxa"/>
            <w:tcBorders>
              <w:top w:val="single" w:sz="4" w:space="0" w:color="auto"/>
              <w:left w:val="single" w:sz="4" w:space="0" w:color="auto"/>
              <w:bottom w:val="single" w:sz="4" w:space="0" w:color="auto"/>
              <w:right w:val="single" w:sz="4" w:space="0" w:color="auto"/>
            </w:tcBorders>
            <w:hideMark/>
          </w:tcPr>
          <w:p w14:paraId="765ADF64" w14:textId="77777777" w:rsidR="00C55B65" w:rsidRPr="00594249" w:rsidRDefault="00C55B65" w:rsidP="00594249">
            <w:pPr>
              <w:spacing w:line="240" w:lineRule="auto"/>
              <w:jc w:val="center"/>
              <w:rPr>
                <w:rFonts w:ascii="Times New Roman" w:hAnsi="Times New Roman" w:cs="Times New Roman"/>
                <w:b/>
                <w:sz w:val="24"/>
                <w:szCs w:val="24"/>
              </w:rPr>
            </w:pPr>
            <w:r w:rsidRPr="00594249">
              <w:rPr>
                <w:rFonts w:ascii="Times New Roman" w:hAnsi="Times New Roman" w:cs="Times New Roman"/>
                <w:b/>
                <w:sz w:val="24"/>
                <w:szCs w:val="24"/>
              </w:rPr>
              <w:t xml:space="preserve">Sabiedrības līdzdalībai nodotā projekta redakcija </w:t>
            </w:r>
            <w:r w:rsidRPr="00594249">
              <w:rPr>
                <w:rFonts w:ascii="Times New Roman" w:hAnsi="Times New Roman" w:cs="Times New Roman"/>
                <w:b/>
                <w:iCs/>
                <w:sz w:val="24"/>
                <w:szCs w:val="24"/>
              </w:rPr>
              <w:t>(konkrēta punkta redakcija)</w:t>
            </w:r>
          </w:p>
        </w:tc>
        <w:tc>
          <w:tcPr>
            <w:tcW w:w="4820" w:type="dxa"/>
            <w:tcBorders>
              <w:top w:val="single" w:sz="4" w:space="0" w:color="auto"/>
              <w:left w:val="single" w:sz="4" w:space="0" w:color="auto"/>
              <w:bottom w:val="single" w:sz="4" w:space="0" w:color="auto"/>
              <w:right w:val="single" w:sz="4" w:space="0" w:color="auto"/>
            </w:tcBorders>
            <w:hideMark/>
          </w:tcPr>
          <w:p w14:paraId="1738EE13" w14:textId="1E5CE65F" w:rsidR="00C55B65" w:rsidRPr="00594249" w:rsidRDefault="00C55B65" w:rsidP="00594249">
            <w:pPr>
              <w:spacing w:line="240" w:lineRule="auto"/>
              <w:jc w:val="center"/>
              <w:rPr>
                <w:rFonts w:ascii="Times New Roman" w:hAnsi="Times New Roman" w:cs="Times New Roman"/>
                <w:b/>
                <w:sz w:val="24"/>
                <w:szCs w:val="24"/>
              </w:rPr>
            </w:pPr>
            <w:r w:rsidRPr="00594249">
              <w:rPr>
                <w:rFonts w:ascii="Times New Roman" w:hAnsi="Times New Roman" w:cs="Times New Roman"/>
                <w:b/>
                <w:sz w:val="24"/>
                <w:szCs w:val="24"/>
              </w:rPr>
              <w:t>Izteiktais iebildums</w:t>
            </w:r>
            <w:r w:rsidR="006A2061">
              <w:rPr>
                <w:rFonts w:ascii="Times New Roman" w:hAnsi="Times New Roman" w:cs="Times New Roman"/>
                <w:b/>
                <w:sz w:val="24"/>
                <w:szCs w:val="24"/>
              </w:rPr>
              <w:t xml:space="preserve"> </w:t>
            </w:r>
            <w:r w:rsidRPr="00594249">
              <w:rPr>
                <w:rFonts w:ascii="Times New Roman" w:hAnsi="Times New Roman" w:cs="Times New Roman"/>
                <w:b/>
                <w:sz w:val="24"/>
                <w:szCs w:val="24"/>
              </w:rPr>
              <w:t>(priekšlikums)</w:t>
            </w:r>
            <w:r w:rsidRPr="00594249">
              <w:rPr>
                <w:rFonts w:ascii="Times New Roman" w:hAnsi="Times New Roman" w:cs="Times New Roman"/>
                <w:b/>
                <w:iCs/>
                <w:sz w:val="24"/>
                <w:szCs w:val="24"/>
              </w:rPr>
              <w:t xml:space="preserve"> par projekta konkrēto punktu, norādot sabiedrības pārstāvi</w:t>
            </w:r>
          </w:p>
        </w:tc>
        <w:tc>
          <w:tcPr>
            <w:tcW w:w="4401" w:type="dxa"/>
            <w:tcBorders>
              <w:top w:val="single" w:sz="4" w:space="0" w:color="auto"/>
              <w:left w:val="single" w:sz="4" w:space="0" w:color="auto"/>
              <w:bottom w:val="single" w:sz="4" w:space="0" w:color="auto"/>
              <w:right w:val="single" w:sz="4" w:space="0" w:color="auto"/>
            </w:tcBorders>
            <w:hideMark/>
          </w:tcPr>
          <w:p w14:paraId="7E12145B" w14:textId="7B2599B7" w:rsidR="00C55B65" w:rsidRPr="00594249" w:rsidRDefault="00C55B65" w:rsidP="00594249">
            <w:pPr>
              <w:spacing w:line="240" w:lineRule="auto"/>
              <w:jc w:val="center"/>
              <w:rPr>
                <w:rFonts w:ascii="Times New Roman" w:hAnsi="Times New Roman" w:cs="Times New Roman"/>
                <w:b/>
                <w:sz w:val="24"/>
                <w:szCs w:val="24"/>
              </w:rPr>
            </w:pPr>
            <w:r w:rsidRPr="00594249">
              <w:rPr>
                <w:rFonts w:ascii="Times New Roman" w:hAnsi="Times New Roman" w:cs="Times New Roman"/>
                <w:b/>
                <w:iCs/>
                <w:sz w:val="24"/>
                <w:szCs w:val="24"/>
              </w:rPr>
              <w:t xml:space="preserve">Latvijas Bankas </w:t>
            </w:r>
            <w:r w:rsidRPr="00594249">
              <w:rPr>
                <w:rFonts w:ascii="Times New Roman" w:hAnsi="Times New Roman" w:cs="Times New Roman"/>
                <w:b/>
                <w:sz w:val="24"/>
                <w:szCs w:val="24"/>
              </w:rPr>
              <w:t>viedoklis par izteikto iebildumu</w:t>
            </w:r>
            <w:r w:rsidR="006A2061">
              <w:rPr>
                <w:rFonts w:ascii="Times New Roman" w:hAnsi="Times New Roman" w:cs="Times New Roman"/>
                <w:b/>
                <w:sz w:val="24"/>
                <w:szCs w:val="24"/>
              </w:rPr>
              <w:t xml:space="preserve"> </w:t>
            </w:r>
            <w:r w:rsidRPr="00594249">
              <w:rPr>
                <w:rFonts w:ascii="Times New Roman" w:hAnsi="Times New Roman" w:cs="Times New Roman"/>
                <w:b/>
                <w:sz w:val="24"/>
                <w:szCs w:val="24"/>
              </w:rPr>
              <w:t xml:space="preserve">(priekšlikumu) un </w:t>
            </w:r>
            <w:r w:rsidRPr="00594249">
              <w:rPr>
                <w:rFonts w:ascii="Times New Roman" w:hAnsi="Times New Roman" w:cs="Times New Roman"/>
                <w:b/>
                <w:iCs/>
                <w:sz w:val="24"/>
                <w:szCs w:val="24"/>
              </w:rPr>
              <w:t>norāde, vai tas ņemts vērā</w:t>
            </w:r>
          </w:p>
        </w:tc>
      </w:tr>
      <w:tr w:rsidR="00C55B65" w:rsidRPr="00594249" w14:paraId="23B23F9E" w14:textId="77777777" w:rsidTr="00FF22A2">
        <w:tc>
          <w:tcPr>
            <w:tcW w:w="846" w:type="dxa"/>
            <w:tcBorders>
              <w:top w:val="single" w:sz="4" w:space="0" w:color="auto"/>
              <w:left w:val="single" w:sz="4" w:space="0" w:color="auto"/>
              <w:bottom w:val="single" w:sz="4" w:space="0" w:color="auto"/>
              <w:right w:val="single" w:sz="4" w:space="0" w:color="auto"/>
            </w:tcBorders>
          </w:tcPr>
          <w:p w14:paraId="2B1C4DF2" w14:textId="77777777" w:rsidR="00C55B65" w:rsidRPr="00594249" w:rsidRDefault="00C55B65" w:rsidP="00594249">
            <w:pPr>
              <w:spacing w:line="240" w:lineRule="auto"/>
              <w:jc w:val="center"/>
              <w:rPr>
                <w:rFonts w:ascii="Times New Roman" w:hAnsi="Times New Roman" w:cs="Times New Roman"/>
                <w:sz w:val="24"/>
                <w:szCs w:val="24"/>
              </w:rPr>
            </w:pPr>
            <w:bookmarkStart w:id="2" w:name="_Hlk207624685"/>
            <w:r w:rsidRPr="00594249">
              <w:rPr>
                <w:rFonts w:ascii="Times New Roman" w:hAnsi="Times New Roman" w:cs="Times New Roman"/>
                <w:sz w:val="24"/>
                <w:szCs w:val="24"/>
              </w:rPr>
              <w:t>1.</w:t>
            </w:r>
          </w:p>
        </w:tc>
        <w:tc>
          <w:tcPr>
            <w:tcW w:w="4252" w:type="dxa"/>
            <w:tcBorders>
              <w:top w:val="single" w:sz="4" w:space="0" w:color="auto"/>
              <w:left w:val="single" w:sz="4" w:space="0" w:color="auto"/>
              <w:bottom w:val="single" w:sz="4" w:space="0" w:color="auto"/>
              <w:right w:val="single" w:sz="4" w:space="0" w:color="auto"/>
            </w:tcBorders>
          </w:tcPr>
          <w:p w14:paraId="77E6FFE6" w14:textId="77777777" w:rsidR="00C55B65" w:rsidRPr="00594249" w:rsidRDefault="00C55B65" w:rsidP="00594249">
            <w:pPr>
              <w:spacing w:line="240" w:lineRule="auto"/>
              <w:rPr>
                <w:rFonts w:ascii="Times New Roman" w:hAnsi="Times New Roman" w:cs="Times New Roman"/>
                <w:sz w:val="24"/>
                <w:szCs w:val="24"/>
              </w:rPr>
            </w:pPr>
            <w:r w:rsidRPr="00594249">
              <w:rPr>
                <w:rFonts w:ascii="Times New Roman" w:hAnsi="Times New Roman" w:cs="Times New Roman"/>
                <w:sz w:val="24"/>
                <w:szCs w:val="24"/>
              </w:rPr>
              <w:t>Iesniegto komentāru tekstā nav norādītas atsauces uz konkrētiem noteikumu projekta punktiem.</w:t>
            </w:r>
          </w:p>
        </w:tc>
        <w:tc>
          <w:tcPr>
            <w:tcW w:w="4820" w:type="dxa"/>
            <w:tcBorders>
              <w:top w:val="single" w:sz="4" w:space="0" w:color="auto"/>
              <w:left w:val="single" w:sz="4" w:space="0" w:color="auto"/>
              <w:bottom w:val="single" w:sz="4" w:space="0" w:color="auto"/>
              <w:right w:val="single" w:sz="4" w:space="0" w:color="auto"/>
            </w:tcBorders>
          </w:tcPr>
          <w:p w14:paraId="73F4033A" w14:textId="77777777" w:rsidR="00C55B65" w:rsidRPr="00594249" w:rsidRDefault="00C55B65" w:rsidP="00594249">
            <w:pPr>
              <w:pStyle w:val="Standard"/>
              <w:rPr>
                <w:rFonts w:cs="Times New Roman"/>
                <w:b/>
                <w:bCs/>
                <w:lang w:val="lv-LV"/>
              </w:rPr>
            </w:pPr>
            <w:r w:rsidRPr="00594249">
              <w:rPr>
                <w:rFonts w:cs="Times New Roman"/>
                <w:b/>
                <w:bCs/>
                <w:lang w:val="lv-LV"/>
              </w:rPr>
              <w:t xml:space="preserve">Krājaizdevu Apvienība: </w:t>
            </w:r>
          </w:p>
          <w:p w14:paraId="732CBED4" w14:textId="77777777" w:rsidR="00C55B65" w:rsidRPr="00594249" w:rsidRDefault="00C55B65" w:rsidP="00594249">
            <w:pPr>
              <w:pStyle w:val="Standard"/>
              <w:spacing w:before="240"/>
              <w:jc w:val="both"/>
              <w:rPr>
                <w:rFonts w:cs="Times New Roman"/>
                <w:lang w:val="lv-LV"/>
              </w:rPr>
            </w:pPr>
            <w:r w:rsidRPr="00594249">
              <w:rPr>
                <w:rFonts w:cs="Times New Roman"/>
                <w:lang w:val="lv-LV"/>
              </w:rPr>
              <w:t>Iepazīstoties ar Latvijas Bankas (turpmāk – LB) sagatavoto "Krājaizdevu sabiedrību iekšējās kontroles sistēmas noteikumi" (turpmāk – Noteikumi) projektu, secināms;</w:t>
            </w:r>
          </w:p>
          <w:p w14:paraId="16A1C779" w14:textId="77777777" w:rsidR="00C55B65" w:rsidRPr="00594249" w:rsidRDefault="00C55B65" w:rsidP="00594249">
            <w:pPr>
              <w:pStyle w:val="Standard"/>
              <w:jc w:val="both"/>
              <w:rPr>
                <w:rFonts w:cs="Times New Roman"/>
                <w:lang w:val="lv-LV"/>
              </w:rPr>
            </w:pPr>
            <w:r w:rsidRPr="00594249">
              <w:rPr>
                <w:rFonts w:cs="Times New Roman"/>
                <w:lang w:val="lv-LV"/>
              </w:rPr>
              <w:t>Noteikumi no iekšējās kontroles sistēmas, izslēdz kooperatīvo krājaizdevu sabiedrību (turpmāk – KKS), biedrus, kopsapulces un statūtus. Noteikumi biedrus pielīdzina bijušajiem biedriem, kas kā patērētāji nav saistīti ar saimniecisko darbību.</w:t>
            </w:r>
          </w:p>
          <w:p w14:paraId="576E3B8E" w14:textId="6A2E614F" w:rsidR="00C55B65" w:rsidRPr="00594249" w:rsidRDefault="00C55B65" w:rsidP="00594249">
            <w:pPr>
              <w:pStyle w:val="Standard"/>
              <w:rPr>
                <w:rFonts w:cs="Times New Roman"/>
                <w:lang w:val="lv-LV"/>
              </w:rPr>
            </w:pPr>
          </w:p>
          <w:p w14:paraId="3AEFA52E" w14:textId="77777777" w:rsidR="00C55B65" w:rsidRPr="00594249" w:rsidRDefault="00C55B65" w:rsidP="00594249">
            <w:pPr>
              <w:pStyle w:val="Standard"/>
              <w:jc w:val="both"/>
              <w:rPr>
                <w:rFonts w:cs="Times New Roman"/>
                <w:lang w:val="lv-LV"/>
              </w:rPr>
            </w:pPr>
            <w:r w:rsidRPr="00594249">
              <w:rPr>
                <w:rFonts w:cs="Times New Roman"/>
                <w:lang w:val="lv-LV"/>
              </w:rPr>
              <w:t>Noteikumi neievēro Civillikuma 1470.p. un palīdz biedrus izolēt no saimnieciskās kopdarbības un pašpārvaldes. Noteikumi palīdz maldināt biedrus un liek paļauties uz Patērētāju tiesību aizsardzības likumu, kas neregulē ar saimniecisko kopdarbību saistītās izmaksas (iestāšanās nauda, paju iegāde, iemaksas rezervēs, biedru naudas, zaudējumu segšana), jo šādus maksājumus pat nepieļauj. Tas ir pretrunā ar likumu normām;</w:t>
            </w:r>
          </w:p>
          <w:p w14:paraId="16A0B373" w14:textId="77777777" w:rsidR="00C55B65" w:rsidRPr="00594249" w:rsidRDefault="00C55B65" w:rsidP="00594249">
            <w:pPr>
              <w:pStyle w:val="Standard"/>
              <w:rPr>
                <w:rFonts w:cs="Times New Roman"/>
                <w:lang w:val="lv-LV"/>
              </w:rPr>
            </w:pPr>
          </w:p>
          <w:p w14:paraId="2E10FF2C" w14:textId="77777777" w:rsidR="00C55B65" w:rsidRPr="00594249" w:rsidRDefault="00C55B65" w:rsidP="00594249">
            <w:pPr>
              <w:pStyle w:val="Standard"/>
              <w:jc w:val="both"/>
              <w:rPr>
                <w:rFonts w:cs="Times New Roman"/>
                <w:lang w:val="lv-LV"/>
              </w:rPr>
            </w:pPr>
            <w:r w:rsidRPr="00594249">
              <w:rPr>
                <w:rFonts w:cs="Times New Roman"/>
                <w:lang w:val="lv-LV"/>
              </w:rPr>
              <w:t xml:space="preserve">Krājaizdevu sabiedrību likuma 2.p.2.d.noteikumi prasa, sniedzot pakalpojumus biedriem,  veicināt un nodrošināt savstarpējās palīdzības, </w:t>
            </w:r>
            <w:r w:rsidRPr="00594249">
              <w:rPr>
                <w:rFonts w:cs="Times New Roman"/>
                <w:u w:val="single"/>
                <w:lang w:val="lv-LV"/>
              </w:rPr>
              <w:t xml:space="preserve">saimnieciskās kopdarbības un pašpārvaldes principus, </w:t>
            </w:r>
            <w:r w:rsidRPr="00594249">
              <w:rPr>
                <w:rFonts w:cs="Times New Roman"/>
                <w:lang w:val="lv-LV"/>
              </w:rPr>
              <w:t>Kooperatīvo sabiedrību likuma (turpmāk – KSL) 12.p.1.d.10.a.p. (statūti regulē noteikumus, ko neregulē likumi) 21.p. (jānodrošina informācijas pieejamība biedriem), 29.p.un 30.p. (kopsapulce ir augstākā pārvaldes institūcija, kas nodrošina pašpārvaldes un kopdarbības principu ievērošanu), 45.p.(padome drīkst aizvietot kopsapulci tikai starplaikos, bet, ja padomes nav, padomes funkcijas pilda kopsapulce), 46.p.un 47.p. (padomes uzdevumus un tiesības drīkst regulēt tikai likums un statūti).</w:t>
            </w:r>
          </w:p>
          <w:p w14:paraId="5D19FDE5" w14:textId="77777777" w:rsidR="00C55B65" w:rsidRPr="00594249" w:rsidRDefault="00C55B65" w:rsidP="00594249">
            <w:pPr>
              <w:pStyle w:val="Standard"/>
              <w:rPr>
                <w:rFonts w:cs="Times New Roman"/>
                <w:lang w:val="lv-LV"/>
              </w:rPr>
            </w:pPr>
            <w:r w:rsidRPr="00594249">
              <w:rPr>
                <w:rFonts w:cs="Times New Roman"/>
                <w:lang w:val="lv-LV"/>
              </w:rPr>
              <w:tab/>
            </w:r>
          </w:p>
          <w:p w14:paraId="492E1BE6" w14:textId="77777777" w:rsidR="00C55B65" w:rsidRPr="00594249" w:rsidRDefault="00C55B65" w:rsidP="00594249">
            <w:pPr>
              <w:pStyle w:val="Standard"/>
              <w:jc w:val="both"/>
              <w:rPr>
                <w:rFonts w:cs="Times New Roman"/>
                <w:lang w:val="lv-LV"/>
              </w:rPr>
            </w:pPr>
            <w:r w:rsidRPr="00594249">
              <w:rPr>
                <w:rFonts w:cs="Times New Roman"/>
                <w:lang w:val="lv-LV"/>
              </w:rPr>
              <w:t>Pateicoties WOCCU, Kanādas valdības un Latviešu kredītsabiedrību 1 milj. dolāru vērtajai finansiāli- tehniskajai palīdzībai, vairāk kā 14 tūkstoši Latvijas iedzīvotāju kursos ieguva zināšanas un apguva pieredzi, lai spētu uzraudzīt un pārvaldīt savu KKS darbību. 35 KKS spēja alternatīvās vēlēšanās izveidot vismaz 3 koleģiālus pārvaldes orgānus.</w:t>
            </w:r>
          </w:p>
          <w:p w14:paraId="08F11B01" w14:textId="77777777" w:rsidR="00C55B65" w:rsidRPr="00594249" w:rsidRDefault="00C55B65" w:rsidP="00594249">
            <w:pPr>
              <w:pStyle w:val="Standard"/>
              <w:rPr>
                <w:rFonts w:cs="Times New Roman"/>
                <w:lang w:val="lv-LV"/>
              </w:rPr>
            </w:pPr>
          </w:p>
          <w:p w14:paraId="24A59DAD" w14:textId="77777777" w:rsidR="00C55B65" w:rsidRPr="00594249" w:rsidRDefault="00C55B65" w:rsidP="00594249">
            <w:pPr>
              <w:pStyle w:val="Standard"/>
              <w:jc w:val="both"/>
              <w:rPr>
                <w:rFonts w:cs="Times New Roman"/>
                <w:lang w:val="lv-LV"/>
              </w:rPr>
            </w:pPr>
            <w:r w:rsidRPr="00594249">
              <w:rPr>
                <w:rFonts w:cs="Times New Roman"/>
                <w:lang w:val="lv-LV"/>
              </w:rPr>
              <w:t>KKSL 31.p.1.d. prasa, LB uzraudzīt un nepieļaut biedru neizglītošanu, izolāciju un izslēgšanu no pašpārvaldes un saimnieciskās kopdarbības.</w:t>
            </w:r>
          </w:p>
          <w:p w14:paraId="009EC50D" w14:textId="77777777" w:rsidR="00C55B65" w:rsidRPr="00594249" w:rsidRDefault="00C55B65" w:rsidP="00594249">
            <w:pPr>
              <w:pStyle w:val="Standard"/>
              <w:jc w:val="both"/>
              <w:rPr>
                <w:rFonts w:cs="Times New Roman"/>
                <w:lang w:val="lv-LV"/>
              </w:rPr>
            </w:pPr>
            <w:r w:rsidRPr="00594249">
              <w:rPr>
                <w:rFonts w:cs="Times New Roman"/>
                <w:lang w:val="lv-LV"/>
              </w:rPr>
              <w:t>Pretstatā Latvijai, Lietuvā un Igaunijā KKS attīsta nevis pazaudē pašpārvaldei raksturīgos koleģiālos pārvaldes orgānus, un tiek veidotas padomes, izglītības komisijas, strīdu izvērtēšanas komisijas u.t.t.</w:t>
            </w:r>
          </w:p>
          <w:p w14:paraId="65FA36F9" w14:textId="77777777" w:rsidR="00C55B65" w:rsidRPr="00594249" w:rsidRDefault="00C55B65" w:rsidP="00594249">
            <w:pPr>
              <w:pStyle w:val="Standard"/>
              <w:jc w:val="both"/>
              <w:rPr>
                <w:rFonts w:cs="Times New Roman"/>
                <w:lang w:val="lv-LV"/>
              </w:rPr>
            </w:pPr>
            <w:r w:rsidRPr="00594249">
              <w:rPr>
                <w:rFonts w:cs="Times New Roman"/>
                <w:lang w:val="lv-LV"/>
              </w:rPr>
              <w:t>Latvijas KKS pēc 25 gadu darbības, pazaudējušas likumos noteiktās savu biedru pašpārvaldes tiesības un iespējas, ko nelikumīgi aizvieto ar korporatīvās pārvaldes principiem.</w:t>
            </w:r>
          </w:p>
          <w:p w14:paraId="4B1BD197" w14:textId="77777777" w:rsidR="00C55B65" w:rsidRPr="00594249" w:rsidRDefault="00C55B65" w:rsidP="00594249">
            <w:pPr>
              <w:pStyle w:val="Standard"/>
              <w:jc w:val="both"/>
              <w:rPr>
                <w:rFonts w:cs="Times New Roman"/>
                <w:lang w:val="lv-LV"/>
              </w:rPr>
            </w:pPr>
            <w:r w:rsidRPr="00594249">
              <w:rPr>
                <w:rFonts w:cs="Times New Roman"/>
                <w:lang w:val="lv-LV"/>
              </w:rPr>
              <w:t>Korporatīvais pārvaldes modelis neprasa izglītot biedrus, lai nodrošinātu zināšanu un pieredzes pārmatošanu, tāpēc palīdz iznīcināt pašpārvaldes un saimnieciskās kopdarbības principus, un ļauj uz biedru neizglītošanas rēķina, palielināt peļņu. Darbojās princips; jo nezinošāki biedri, jo vairāk no viņiem varēs izkrāpt.</w:t>
            </w:r>
          </w:p>
        </w:tc>
        <w:tc>
          <w:tcPr>
            <w:tcW w:w="4401" w:type="dxa"/>
            <w:tcBorders>
              <w:top w:val="single" w:sz="4" w:space="0" w:color="auto"/>
              <w:left w:val="single" w:sz="4" w:space="0" w:color="auto"/>
              <w:bottom w:val="single" w:sz="4" w:space="0" w:color="auto"/>
              <w:right w:val="single" w:sz="4" w:space="0" w:color="auto"/>
            </w:tcBorders>
          </w:tcPr>
          <w:p w14:paraId="054458B6" w14:textId="77777777" w:rsidR="00C55B65" w:rsidRPr="00594249" w:rsidRDefault="00C55B65" w:rsidP="00594249">
            <w:pPr>
              <w:spacing w:line="240" w:lineRule="auto"/>
              <w:jc w:val="both"/>
              <w:rPr>
                <w:rFonts w:ascii="Times New Roman" w:hAnsi="Times New Roman" w:cs="Times New Roman"/>
                <w:b/>
                <w:bCs/>
                <w:iCs/>
                <w:sz w:val="24"/>
                <w:szCs w:val="24"/>
              </w:rPr>
            </w:pPr>
            <w:r w:rsidRPr="00594249">
              <w:rPr>
                <w:rFonts w:ascii="Times New Roman" w:hAnsi="Times New Roman" w:cs="Times New Roman"/>
                <w:b/>
                <w:bCs/>
                <w:iCs/>
                <w:sz w:val="24"/>
                <w:szCs w:val="24"/>
              </w:rPr>
              <w:t>Nav ņemts vērā.</w:t>
            </w:r>
          </w:p>
          <w:p w14:paraId="2A0C0334" w14:textId="122A6A65"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iCs/>
                <w:sz w:val="24"/>
                <w:szCs w:val="24"/>
              </w:rPr>
              <w:t>Šos noteikumus Latvijas Banka izdod, pamatojoties uz Krājaizdevu sabiedrību likuma 27.</w:t>
            </w:r>
            <w:r w:rsidR="006A2061">
              <w:rPr>
                <w:rFonts w:ascii="Times New Roman" w:hAnsi="Times New Roman" w:cs="Times New Roman"/>
                <w:iCs/>
                <w:sz w:val="24"/>
                <w:szCs w:val="24"/>
              </w:rPr>
              <w:t> </w:t>
            </w:r>
            <w:r w:rsidRPr="00594249">
              <w:rPr>
                <w:rFonts w:ascii="Times New Roman" w:hAnsi="Times New Roman" w:cs="Times New Roman"/>
                <w:iCs/>
                <w:sz w:val="24"/>
                <w:szCs w:val="24"/>
              </w:rPr>
              <w:t>panta otro daļu, kas nosaka, ka Latvijas Banka izdod noteikumus par krājaizdevu sabiedrības iekšējās kontroles sistēmas izveidi, kas nodrošinātu piesardzīgu savu risku pārvaldīšanu, aktīvu aizsardzību, kā arī augstu profesionālās rīcības un ētikas standartu ievērošanu.</w:t>
            </w:r>
          </w:p>
          <w:p w14:paraId="29E3A780" w14:textId="7F6E8423"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iCs/>
                <w:sz w:val="24"/>
                <w:szCs w:val="24"/>
              </w:rPr>
              <w:t>Saskaņā ar Krājaizdevu sabiedrību likuma 27.</w:t>
            </w:r>
            <w:r w:rsidR="006A2061">
              <w:rPr>
                <w:rFonts w:ascii="Times New Roman" w:hAnsi="Times New Roman" w:cs="Times New Roman"/>
                <w:iCs/>
                <w:sz w:val="24"/>
                <w:szCs w:val="24"/>
              </w:rPr>
              <w:t> </w:t>
            </w:r>
            <w:r w:rsidRPr="00594249">
              <w:rPr>
                <w:rFonts w:ascii="Times New Roman" w:hAnsi="Times New Roman" w:cs="Times New Roman"/>
                <w:iCs/>
                <w:sz w:val="24"/>
                <w:szCs w:val="24"/>
              </w:rPr>
              <w:t xml:space="preserve">panta pirmo daļu sabiedrības iekšējās kontroles sistēmai jānodrošina normatīvo aktu, tai skaitā Latvijas Bankas noteikumu un </w:t>
            </w:r>
            <w:r w:rsidR="009D4BD3" w:rsidRPr="00594249">
              <w:rPr>
                <w:rFonts w:ascii="Times New Roman" w:hAnsi="Times New Roman" w:cs="Times New Roman"/>
                <w:iCs/>
                <w:sz w:val="24"/>
                <w:szCs w:val="24"/>
              </w:rPr>
              <w:t xml:space="preserve">citu </w:t>
            </w:r>
            <w:r w:rsidRPr="00594249">
              <w:rPr>
                <w:rFonts w:ascii="Times New Roman" w:hAnsi="Times New Roman" w:cs="Times New Roman"/>
                <w:iCs/>
                <w:sz w:val="24"/>
                <w:szCs w:val="24"/>
              </w:rPr>
              <w:t xml:space="preserve">sabiedrību darbību regulējošo politiku un procedūru, </w:t>
            </w:r>
            <w:r w:rsidR="00EE45C2">
              <w:rPr>
                <w:rFonts w:ascii="Times New Roman" w:hAnsi="Times New Roman" w:cs="Times New Roman"/>
                <w:iCs/>
                <w:sz w:val="24"/>
                <w:szCs w:val="24"/>
              </w:rPr>
              <w:t>tostarp</w:t>
            </w:r>
            <w:r w:rsidRPr="00594249">
              <w:rPr>
                <w:rFonts w:ascii="Times New Roman" w:hAnsi="Times New Roman" w:cs="Times New Roman"/>
                <w:iCs/>
                <w:sz w:val="24"/>
                <w:szCs w:val="24"/>
              </w:rPr>
              <w:t xml:space="preserve"> statūtu ievērošan</w:t>
            </w:r>
            <w:r w:rsidR="009D4BD3">
              <w:rPr>
                <w:rFonts w:ascii="Times New Roman" w:hAnsi="Times New Roman" w:cs="Times New Roman"/>
                <w:iCs/>
                <w:sz w:val="24"/>
                <w:szCs w:val="24"/>
              </w:rPr>
              <w:t>a</w:t>
            </w:r>
            <w:r w:rsidRPr="00594249">
              <w:rPr>
                <w:rFonts w:ascii="Times New Roman" w:hAnsi="Times New Roman" w:cs="Times New Roman"/>
                <w:iCs/>
                <w:sz w:val="24"/>
                <w:szCs w:val="24"/>
              </w:rPr>
              <w:t>.</w:t>
            </w:r>
          </w:p>
          <w:p w14:paraId="1D9DA987" w14:textId="1057F110" w:rsidR="00C55B65" w:rsidRPr="00594249" w:rsidRDefault="00C55B65" w:rsidP="00594249">
            <w:pPr>
              <w:pStyle w:val="NApunkts1"/>
              <w:numPr>
                <w:ilvl w:val="0"/>
                <w:numId w:val="0"/>
              </w:numPr>
            </w:pPr>
            <w:r w:rsidRPr="00594249">
              <w:rPr>
                <w:iCs/>
              </w:rPr>
              <w:t>Noteikumu projekta 7.</w:t>
            </w:r>
            <w:r w:rsidR="006A2061">
              <w:rPr>
                <w:iCs/>
              </w:rPr>
              <w:t> </w:t>
            </w:r>
            <w:r w:rsidRPr="00594249">
              <w:rPr>
                <w:iCs/>
              </w:rPr>
              <w:t xml:space="preserve">punktā ir noteikts, ka gadījumos, kad </w:t>
            </w:r>
            <w:r w:rsidRPr="00594249">
              <w:t>sabiedrība nav izveidojusi padomi, šajos noteikumos minētie sabiedrības padomes pienākumi pildāmi Kooperatīvo sabiedrību likuma 45. panta otrajā daļā noteiktajā kārtībā, proti, tās pienākumus pilda biedru kopsapulce.</w:t>
            </w:r>
          </w:p>
          <w:p w14:paraId="447D5338" w14:textId="78016EB6" w:rsidR="00C55B65" w:rsidRPr="00594249" w:rsidRDefault="00C55B65" w:rsidP="00594249">
            <w:pPr>
              <w:pStyle w:val="NApunkts1"/>
              <w:numPr>
                <w:ilvl w:val="0"/>
                <w:numId w:val="0"/>
              </w:numPr>
            </w:pPr>
            <w:r w:rsidRPr="00594249">
              <w:t>Ņemot vērā minēto, noteikumu projekts neizslēdz sabiedrības biedrus un kopsapulci no pienākuma piedalīties un iesaistīties sabiedrības saimnieciskajā darbībā</w:t>
            </w:r>
            <w:r w:rsidR="00EE45C2">
              <w:t xml:space="preserve"> un</w:t>
            </w:r>
            <w:r w:rsidRPr="00594249">
              <w:t xml:space="preserve"> pašpārvaldē, veicinot biedru izglītošanu</w:t>
            </w:r>
            <w:r w:rsidR="009D4BD3">
              <w:t xml:space="preserve"> un</w:t>
            </w:r>
            <w:r w:rsidRPr="00594249">
              <w:t xml:space="preserve"> sniedzot skaidrojumus par </w:t>
            </w:r>
            <w:r w:rsidR="00EE45C2" w:rsidRPr="00594249">
              <w:t xml:space="preserve">sabiedrības darbībā </w:t>
            </w:r>
            <w:r w:rsidRPr="00594249">
              <w:t>pieņemtajiem lēmumiem.</w:t>
            </w:r>
          </w:p>
          <w:p w14:paraId="16EE6782" w14:textId="77777777" w:rsidR="00C55B65" w:rsidRPr="00594249" w:rsidRDefault="00C55B65" w:rsidP="00594249">
            <w:pPr>
              <w:spacing w:before="240" w:line="240" w:lineRule="auto"/>
              <w:jc w:val="both"/>
              <w:rPr>
                <w:rFonts w:ascii="Times New Roman" w:hAnsi="Times New Roman" w:cs="Times New Roman"/>
                <w:bCs/>
                <w:iCs/>
                <w:sz w:val="24"/>
                <w:szCs w:val="24"/>
              </w:rPr>
            </w:pPr>
            <w:r w:rsidRPr="00594249">
              <w:rPr>
                <w:rFonts w:ascii="Times New Roman" w:hAnsi="Times New Roman" w:cs="Times New Roman"/>
                <w:bCs/>
                <w:iCs/>
                <w:sz w:val="24"/>
                <w:szCs w:val="24"/>
              </w:rPr>
              <w:t>Turklāt sabiedrības biedru kopsapulce vai padome, ja tāda ir izveidota, ieceļ sabiedrības valdi, kuras darbību regulē Latvijas Republikas normatīvie akti, kas neļauj tai pārkāpt savas pilnvaras.</w:t>
            </w:r>
          </w:p>
          <w:p w14:paraId="5305A9BC" w14:textId="1BA93E21" w:rsidR="00C55B65" w:rsidRPr="00594249" w:rsidRDefault="00C55B65" w:rsidP="00594249">
            <w:pPr>
              <w:spacing w:before="240" w:line="240" w:lineRule="auto"/>
              <w:jc w:val="both"/>
              <w:rPr>
                <w:rFonts w:ascii="Times New Roman" w:hAnsi="Times New Roman" w:cs="Times New Roman"/>
                <w:bCs/>
                <w:iCs/>
                <w:sz w:val="24"/>
                <w:szCs w:val="24"/>
              </w:rPr>
            </w:pPr>
            <w:r w:rsidRPr="00594249">
              <w:rPr>
                <w:rFonts w:ascii="Times New Roman" w:hAnsi="Times New Roman" w:cs="Times New Roman"/>
                <w:bCs/>
                <w:iCs/>
                <w:sz w:val="24"/>
                <w:szCs w:val="24"/>
              </w:rPr>
              <w:t>Noteikumu projekts ietver jaunu papildu pienākumu (47.3. apakšpunkts) sabiedrības valdei nodrošināt sabiedrības personāla zināšanu pilnveidi, tādējādi veicin</w:t>
            </w:r>
            <w:r w:rsidR="009D4BD3">
              <w:rPr>
                <w:rFonts w:ascii="Times New Roman" w:hAnsi="Times New Roman" w:cs="Times New Roman"/>
                <w:bCs/>
                <w:iCs/>
                <w:sz w:val="24"/>
                <w:szCs w:val="24"/>
              </w:rPr>
              <w:t>ot</w:t>
            </w:r>
            <w:r w:rsidRPr="00594249">
              <w:rPr>
                <w:rFonts w:ascii="Times New Roman" w:hAnsi="Times New Roman" w:cs="Times New Roman"/>
                <w:bCs/>
                <w:iCs/>
                <w:sz w:val="24"/>
                <w:szCs w:val="24"/>
              </w:rPr>
              <w:t xml:space="preserve"> iespēju izglītot </w:t>
            </w:r>
            <w:r w:rsidR="009D4BD3">
              <w:rPr>
                <w:rFonts w:ascii="Times New Roman" w:hAnsi="Times New Roman" w:cs="Times New Roman"/>
                <w:bCs/>
                <w:iCs/>
                <w:sz w:val="24"/>
                <w:szCs w:val="24"/>
              </w:rPr>
              <w:t xml:space="preserve">biedrus </w:t>
            </w:r>
            <w:r w:rsidRPr="00594249">
              <w:rPr>
                <w:rFonts w:ascii="Times New Roman" w:hAnsi="Times New Roman" w:cs="Times New Roman"/>
                <w:bCs/>
                <w:iCs/>
                <w:sz w:val="24"/>
                <w:szCs w:val="24"/>
              </w:rPr>
              <w:t xml:space="preserve">un </w:t>
            </w:r>
            <w:r w:rsidR="00EE45C2">
              <w:rPr>
                <w:rFonts w:ascii="Times New Roman" w:hAnsi="Times New Roman" w:cs="Times New Roman"/>
                <w:bCs/>
                <w:iCs/>
                <w:sz w:val="24"/>
                <w:szCs w:val="24"/>
              </w:rPr>
              <w:t>pilnveidot</w:t>
            </w:r>
            <w:r w:rsidR="00EE45C2" w:rsidRPr="00594249">
              <w:rPr>
                <w:rFonts w:ascii="Times New Roman" w:hAnsi="Times New Roman" w:cs="Times New Roman"/>
                <w:bCs/>
                <w:iCs/>
                <w:sz w:val="24"/>
                <w:szCs w:val="24"/>
              </w:rPr>
              <w:t xml:space="preserve"> </w:t>
            </w:r>
            <w:r w:rsidRPr="00594249">
              <w:rPr>
                <w:rFonts w:ascii="Times New Roman" w:hAnsi="Times New Roman" w:cs="Times New Roman"/>
                <w:bCs/>
                <w:iCs/>
                <w:sz w:val="24"/>
                <w:szCs w:val="24"/>
              </w:rPr>
              <w:t>biedru zināšan</w:t>
            </w:r>
            <w:r w:rsidR="00EE45C2">
              <w:rPr>
                <w:rFonts w:ascii="Times New Roman" w:hAnsi="Times New Roman" w:cs="Times New Roman"/>
                <w:bCs/>
                <w:iCs/>
                <w:sz w:val="24"/>
                <w:szCs w:val="24"/>
              </w:rPr>
              <w:t>as</w:t>
            </w:r>
            <w:r w:rsidRPr="00594249">
              <w:rPr>
                <w:rFonts w:ascii="Times New Roman" w:hAnsi="Times New Roman" w:cs="Times New Roman"/>
                <w:bCs/>
                <w:iCs/>
                <w:sz w:val="24"/>
                <w:szCs w:val="24"/>
              </w:rPr>
              <w:t>.</w:t>
            </w:r>
          </w:p>
          <w:p w14:paraId="1B4D8464" w14:textId="05010C60" w:rsidR="00C55B65" w:rsidRPr="00594249" w:rsidRDefault="00C55B65" w:rsidP="00594249">
            <w:pPr>
              <w:spacing w:before="240" w:line="240" w:lineRule="auto"/>
              <w:jc w:val="both"/>
              <w:rPr>
                <w:rFonts w:ascii="Times New Roman" w:hAnsi="Times New Roman" w:cs="Times New Roman"/>
                <w:bCs/>
                <w:iCs/>
                <w:sz w:val="24"/>
                <w:szCs w:val="24"/>
              </w:rPr>
            </w:pPr>
            <w:r w:rsidRPr="00594249">
              <w:rPr>
                <w:rFonts w:ascii="Times New Roman" w:hAnsi="Times New Roman" w:cs="Times New Roman"/>
                <w:bCs/>
                <w:iCs/>
                <w:sz w:val="24"/>
                <w:szCs w:val="24"/>
              </w:rPr>
              <w:t xml:space="preserve">Noteikumu projekts nosaka prasības sabiedrības padomei, bet, ja tāda nav izveidota, </w:t>
            </w:r>
            <w:r w:rsidR="00EE45C2">
              <w:rPr>
                <w:rFonts w:ascii="Times New Roman" w:hAnsi="Times New Roman" w:cs="Times New Roman"/>
                <w:bCs/>
                <w:iCs/>
                <w:sz w:val="24"/>
                <w:szCs w:val="24"/>
              </w:rPr>
              <w:t xml:space="preserve">tad </w:t>
            </w:r>
            <w:r w:rsidRPr="00594249">
              <w:rPr>
                <w:rFonts w:ascii="Times New Roman" w:hAnsi="Times New Roman" w:cs="Times New Roman"/>
                <w:bCs/>
                <w:iCs/>
                <w:sz w:val="24"/>
                <w:szCs w:val="24"/>
              </w:rPr>
              <w:t>sabiedrības kopsapulcei pienākumu iecelt sabiedrības revidentu vai izveidot revīzijas komisiju, apstiprināt pārbaužu plānu, regulāri iepazīties ar iekšējā</w:t>
            </w:r>
            <w:r w:rsidR="009D4BD3">
              <w:rPr>
                <w:rFonts w:ascii="Times New Roman" w:hAnsi="Times New Roman" w:cs="Times New Roman"/>
                <w:bCs/>
                <w:iCs/>
                <w:sz w:val="24"/>
                <w:szCs w:val="24"/>
              </w:rPr>
              <w:t>s</w:t>
            </w:r>
            <w:r w:rsidRPr="00594249">
              <w:rPr>
                <w:rFonts w:ascii="Times New Roman" w:hAnsi="Times New Roman" w:cs="Times New Roman"/>
                <w:bCs/>
                <w:iCs/>
                <w:sz w:val="24"/>
                <w:szCs w:val="24"/>
              </w:rPr>
              <w:t xml:space="preserve"> revīzijas funkcijas veicēja iesniegtajiem pārbaužu rezultātiem, kā arī uzraudzīt un kontrolēt, lai konstatētie trūkumi tiktu savlaicīgi novērsti.</w:t>
            </w:r>
          </w:p>
          <w:p w14:paraId="07DCA3CF" w14:textId="40206116" w:rsidR="00C55B65" w:rsidRPr="00594249" w:rsidRDefault="00C55B65" w:rsidP="00594249">
            <w:pPr>
              <w:spacing w:line="240" w:lineRule="auto"/>
              <w:jc w:val="both"/>
              <w:rPr>
                <w:rFonts w:ascii="Times New Roman" w:hAnsi="Times New Roman" w:cs="Times New Roman"/>
                <w:bCs/>
                <w:iCs/>
                <w:sz w:val="24"/>
                <w:szCs w:val="24"/>
              </w:rPr>
            </w:pPr>
            <w:r w:rsidRPr="00594249">
              <w:rPr>
                <w:rFonts w:ascii="Times New Roman" w:hAnsi="Times New Roman" w:cs="Times New Roman"/>
                <w:bCs/>
                <w:iCs/>
                <w:sz w:val="24"/>
                <w:szCs w:val="24"/>
              </w:rPr>
              <w:t>Savukārt iekšējās revīzijas funkcijas veicēja pienākumi noteikumu projektā ir papildināti ar pienākumu veikt pārbaudes interešu konflikta situāciju pārvaldīšanas jomā.</w:t>
            </w:r>
          </w:p>
          <w:p w14:paraId="3684E782" w14:textId="3CD959F0"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bCs/>
                <w:iCs/>
                <w:sz w:val="24"/>
                <w:szCs w:val="24"/>
              </w:rPr>
              <w:t>Noteikumu projekts nosaka minimālās prasības iekšējās kontroles sistēmas izveidei, līdz ar to sabiedrības atbilstoši to darbības specifikai, nozīmīgumam, darbības sarežģītībai, apjomiem, kā arī ņemot vērā citus iekšējus un ārējus faktorus, var izvirzīt papildu stingrākas un piesardzīgākas prasības iekšējās kontroles sistēmas ietvaros, tai skaitā veidot iekšēj</w:t>
            </w:r>
            <w:r w:rsidR="00EE45C2">
              <w:rPr>
                <w:rFonts w:ascii="Times New Roman" w:hAnsi="Times New Roman" w:cs="Times New Roman"/>
                <w:bCs/>
                <w:iCs/>
                <w:sz w:val="24"/>
                <w:szCs w:val="24"/>
              </w:rPr>
              <w:t>a</w:t>
            </w:r>
            <w:r w:rsidRPr="00594249">
              <w:rPr>
                <w:rFonts w:ascii="Times New Roman" w:hAnsi="Times New Roman" w:cs="Times New Roman"/>
                <w:bCs/>
                <w:iCs/>
                <w:sz w:val="24"/>
                <w:szCs w:val="24"/>
              </w:rPr>
              <w:t>s koleģiāl</w:t>
            </w:r>
            <w:r w:rsidR="00EE45C2">
              <w:rPr>
                <w:rFonts w:ascii="Times New Roman" w:hAnsi="Times New Roman" w:cs="Times New Roman"/>
                <w:bCs/>
                <w:iCs/>
                <w:sz w:val="24"/>
                <w:szCs w:val="24"/>
              </w:rPr>
              <w:t>a</w:t>
            </w:r>
            <w:r w:rsidRPr="00594249">
              <w:rPr>
                <w:rFonts w:ascii="Times New Roman" w:hAnsi="Times New Roman" w:cs="Times New Roman"/>
                <w:bCs/>
                <w:iCs/>
                <w:sz w:val="24"/>
                <w:szCs w:val="24"/>
              </w:rPr>
              <w:t xml:space="preserve">s pārvaldes </w:t>
            </w:r>
            <w:r w:rsidR="00EE45C2">
              <w:rPr>
                <w:rFonts w:ascii="Times New Roman" w:hAnsi="Times New Roman" w:cs="Times New Roman"/>
                <w:bCs/>
                <w:iCs/>
                <w:sz w:val="24"/>
                <w:szCs w:val="24"/>
              </w:rPr>
              <w:t>institūcijas</w:t>
            </w:r>
            <w:r w:rsidRPr="00594249">
              <w:rPr>
                <w:rFonts w:ascii="Times New Roman" w:hAnsi="Times New Roman" w:cs="Times New Roman"/>
                <w:bCs/>
                <w:iCs/>
                <w:sz w:val="24"/>
                <w:szCs w:val="24"/>
              </w:rPr>
              <w:t>, kas nodrošinātu sabiedrības biedru iesaisti, veicinātu zināšanu pilnveidi</w:t>
            </w:r>
            <w:r w:rsidR="00EE45C2">
              <w:rPr>
                <w:rFonts w:ascii="Times New Roman" w:hAnsi="Times New Roman" w:cs="Times New Roman"/>
                <w:bCs/>
                <w:iCs/>
                <w:sz w:val="24"/>
                <w:szCs w:val="24"/>
              </w:rPr>
              <w:t xml:space="preserve"> un</w:t>
            </w:r>
            <w:r w:rsidRPr="00594249">
              <w:rPr>
                <w:rFonts w:ascii="Times New Roman" w:hAnsi="Times New Roman" w:cs="Times New Roman"/>
                <w:bCs/>
                <w:iCs/>
                <w:sz w:val="24"/>
                <w:szCs w:val="24"/>
              </w:rPr>
              <w:t xml:space="preserve"> risinātu citus ar sabiedrības darbību saistītus jautājumus un iniciatīvas.</w:t>
            </w:r>
          </w:p>
        </w:tc>
      </w:tr>
      <w:tr w:rsidR="00C55B65" w:rsidRPr="00594249" w14:paraId="45C5ACC4" w14:textId="77777777" w:rsidTr="00FF22A2">
        <w:tc>
          <w:tcPr>
            <w:tcW w:w="846" w:type="dxa"/>
            <w:tcBorders>
              <w:top w:val="single" w:sz="4" w:space="0" w:color="auto"/>
              <w:left w:val="single" w:sz="4" w:space="0" w:color="auto"/>
              <w:bottom w:val="single" w:sz="4" w:space="0" w:color="auto"/>
              <w:right w:val="single" w:sz="4" w:space="0" w:color="auto"/>
            </w:tcBorders>
          </w:tcPr>
          <w:p w14:paraId="083F5EA1" w14:textId="77777777" w:rsidR="00C55B65" w:rsidRPr="00594249" w:rsidRDefault="00C55B65" w:rsidP="00594249">
            <w:pPr>
              <w:spacing w:line="240" w:lineRule="auto"/>
              <w:jc w:val="center"/>
              <w:rPr>
                <w:rFonts w:ascii="Times New Roman" w:hAnsi="Times New Roman" w:cs="Times New Roman"/>
                <w:sz w:val="24"/>
                <w:szCs w:val="24"/>
              </w:rPr>
            </w:pPr>
            <w:r w:rsidRPr="00594249">
              <w:rPr>
                <w:rFonts w:ascii="Times New Roman" w:hAnsi="Times New Roman" w:cs="Times New Roman"/>
                <w:sz w:val="24"/>
                <w:szCs w:val="24"/>
              </w:rPr>
              <w:t xml:space="preserve">2. </w:t>
            </w:r>
          </w:p>
        </w:tc>
        <w:tc>
          <w:tcPr>
            <w:tcW w:w="4252" w:type="dxa"/>
            <w:tcBorders>
              <w:top w:val="single" w:sz="4" w:space="0" w:color="auto"/>
              <w:left w:val="single" w:sz="4" w:space="0" w:color="auto"/>
              <w:bottom w:val="single" w:sz="4" w:space="0" w:color="auto"/>
              <w:right w:val="single" w:sz="4" w:space="0" w:color="auto"/>
            </w:tcBorders>
          </w:tcPr>
          <w:p w14:paraId="021DEBE2" w14:textId="77777777" w:rsidR="00C55B65" w:rsidRPr="00594249" w:rsidRDefault="00C55B65" w:rsidP="00594249">
            <w:pPr>
              <w:pStyle w:val="NApunkts1"/>
              <w:numPr>
                <w:ilvl w:val="0"/>
                <w:numId w:val="0"/>
              </w:numPr>
              <w:tabs>
                <w:tab w:val="left" w:pos="285"/>
              </w:tabs>
              <w:spacing w:before="0"/>
            </w:pPr>
            <w:r w:rsidRPr="00594249">
              <w:t xml:space="preserve">2. Noteikumos lietoti šādi termini: </w:t>
            </w:r>
          </w:p>
          <w:p w14:paraId="50EEE2B7" w14:textId="77777777" w:rsidR="00C55B65" w:rsidRPr="00594249" w:rsidRDefault="00C55B65" w:rsidP="00594249">
            <w:pPr>
              <w:pStyle w:val="NApunkts2"/>
              <w:numPr>
                <w:ilvl w:val="0"/>
                <w:numId w:val="0"/>
              </w:numPr>
              <w:tabs>
                <w:tab w:val="left" w:pos="285"/>
              </w:tabs>
            </w:pPr>
            <w:bookmarkStart w:id="3" w:name="_Ref202192864"/>
            <w:r w:rsidRPr="00594249">
              <w:t xml:space="preserve">2.1. nozīmīga sabiedrība – sabiedrība, kuras bilances aktīvu vidējā vērtība pārsniedz 1 miljonu </w:t>
            </w:r>
            <w:r w:rsidRPr="00594249">
              <w:rPr>
                <w:i/>
                <w:iCs/>
              </w:rPr>
              <w:t>euro</w:t>
            </w:r>
            <w:r w:rsidRPr="00594249">
              <w:t xml:space="preserve"> četru gadu laikā pirms attiecīgā finanšu gada</w:t>
            </w:r>
            <w:bookmarkEnd w:id="3"/>
            <w:r w:rsidRPr="00594249">
              <w:t>.</w:t>
            </w:r>
          </w:p>
          <w:p w14:paraId="777C675D" w14:textId="77777777" w:rsidR="00C55B65" w:rsidRPr="00594249" w:rsidRDefault="00C55B65" w:rsidP="00594249">
            <w:pPr>
              <w:spacing w:line="240" w:lineRule="auto"/>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7A96464E" w14:textId="77777777" w:rsidR="00C55B65" w:rsidRPr="00594249" w:rsidRDefault="00C55B65" w:rsidP="00594249">
            <w:pPr>
              <w:pStyle w:val="Standard"/>
              <w:rPr>
                <w:rFonts w:cs="Times New Roman"/>
                <w:lang w:val="lv-LV"/>
              </w:rPr>
            </w:pPr>
            <w:r w:rsidRPr="00594249">
              <w:rPr>
                <w:rFonts w:cs="Times New Roman"/>
                <w:b/>
                <w:bCs/>
                <w:lang w:val="lv-LV"/>
              </w:rPr>
              <w:t>Latvijas arodbiedrību krājaizdevu sabiedrība:</w:t>
            </w:r>
          </w:p>
          <w:p w14:paraId="72141159" w14:textId="77777777" w:rsidR="00C55B65" w:rsidRPr="00594249" w:rsidRDefault="00C55B65" w:rsidP="00594249">
            <w:pPr>
              <w:pStyle w:val="Standard"/>
              <w:spacing w:before="240"/>
              <w:jc w:val="both"/>
              <w:rPr>
                <w:rFonts w:cs="Times New Roman"/>
                <w:lang w:val="lv-LV"/>
              </w:rPr>
            </w:pPr>
            <w:r w:rsidRPr="00594249">
              <w:rPr>
                <w:rFonts w:cs="Times New Roman"/>
                <w:lang w:val="lv-LV"/>
              </w:rPr>
              <w:t xml:space="preserve">Esam iepazinušies ar sagatavoto noteikumu projektu “Krājaizdevu sabiedrību iekšējās kontroles sistēmas noteikumi” un atzinīgi novērtējam Latvijas Bankas iniciatīvu samazināt administratīvo slogu krājaizdevu sabiedrībām, vienlaikus saglabājot augstus uzraudzības standartus. Pateicamies arī par 07.08.2025. notikušo informatīvo semināru, kurā tika izklāstītas projekta būtiskākās izmaiņas un to mērķis. </w:t>
            </w:r>
          </w:p>
          <w:p w14:paraId="06EA7CA5" w14:textId="77777777" w:rsidR="00C55B65" w:rsidRPr="00594249" w:rsidRDefault="00C55B65" w:rsidP="00594249">
            <w:pPr>
              <w:pStyle w:val="Standard"/>
              <w:jc w:val="both"/>
              <w:rPr>
                <w:rFonts w:cs="Times New Roman"/>
                <w:lang w:val="lv-LV"/>
              </w:rPr>
            </w:pPr>
            <w:r w:rsidRPr="00594249">
              <w:rPr>
                <w:rFonts w:cs="Times New Roman"/>
                <w:lang w:val="lv-LV"/>
              </w:rPr>
              <w:t xml:space="preserve">Ar šo sniedzam savu viedokli par noteikumu projekta 2. punktā paredzētajiem kritērijiem “nozīmīgas sabiedrības” statusa noteikšanai. Pašreiz piedāvātā definīcija balstās uz bilances aktīvu vidējo vērtību, taču krājaizdevu sabiedrību darbības specifikā aktīvu apjoms ne vienmēr ir tieši saistīts ar risku vai faktisko darbības mērogu. Ņemot vērā, ka krājaizdevu sabiedrību noguldījumi ir pakļauti Noguldījumu garantiju fonda aizsardzībai, uzskatām, ka garantēto noguldījumu atlikumu summa ir visprecīzākais un samērīgākais rādītājs nozīmīguma noteikšanai. </w:t>
            </w:r>
          </w:p>
          <w:p w14:paraId="6CBC7C69" w14:textId="77777777" w:rsidR="00C55B65" w:rsidRPr="00594249" w:rsidRDefault="00C55B65" w:rsidP="00594249">
            <w:pPr>
              <w:pStyle w:val="Standard"/>
              <w:jc w:val="both"/>
              <w:rPr>
                <w:rFonts w:cs="Times New Roman"/>
                <w:lang w:val="lv-LV"/>
              </w:rPr>
            </w:pPr>
            <w:r w:rsidRPr="00594249">
              <w:rPr>
                <w:rFonts w:cs="Times New Roman"/>
                <w:lang w:val="lv-LV"/>
              </w:rPr>
              <w:t xml:space="preserve">Bilances aktīvu apjoms var būtiski pārsniegt noguldījumu apjomu, jo pasīvu pusē liela daļa var būt veidota no pašu kapitāla un uzkrātajām rezervēm, kas nav tieši saistītas ar noguldījumu piesaisti. Aktīvu apjomu var palielināt arī ilgtermiņa ieguldījumi (piemēram, nekustamais īpašums), kas neietekmē noguldītāju aizsardzību un nepalielina Noguldījumu garantiju fonda potenciālās izmaksas. Tādējādi divām sabiedrībām ar vienādu noguldījumu apjomu var būt būtiski atšķirīgs aktīvu apjoms, un lielākais aktīvu apjoms automātiski nenozīmē augstāku risku. </w:t>
            </w:r>
          </w:p>
          <w:p w14:paraId="15FDCA5F" w14:textId="77777777" w:rsidR="00C55B65" w:rsidRPr="00594249" w:rsidRDefault="00C55B65" w:rsidP="00594249">
            <w:pPr>
              <w:pStyle w:val="Standard"/>
              <w:jc w:val="both"/>
              <w:rPr>
                <w:rFonts w:cs="Times New Roman"/>
                <w:lang w:val="lv-LV"/>
              </w:rPr>
            </w:pPr>
            <w:r w:rsidRPr="00594249">
              <w:rPr>
                <w:rFonts w:cs="Times New Roman"/>
                <w:lang w:val="lv-LV"/>
              </w:rPr>
              <w:t xml:space="preserve">Piedāvājam noteikt, ka “nozīmīga sabiedrība” ir tāda, kuras garantēto noguldījumu atlikumu summa pārsniedz 5 milj. EUR. Šāds slieksnis nodrošina samērīgumu, izvairoties no pārmērīga administratīvā sloga krājaizdevu sabiedrībām, kurām papildprasības būtu finansiāli un organizatoriski apgrūtinošas, kā arī ļauj mērķēt uzraudzības resursus uz lielākajām sabiedrībām. </w:t>
            </w:r>
          </w:p>
        </w:tc>
        <w:tc>
          <w:tcPr>
            <w:tcW w:w="4401" w:type="dxa"/>
            <w:tcBorders>
              <w:top w:val="single" w:sz="4" w:space="0" w:color="auto"/>
              <w:left w:val="single" w:sz="4" w:space="0" w:color="auto"/>
              <w:bottom w:val="single" w:sz="4" w:space="0" w:color="auto"/>
              <w:right w:val="single" w:sz="4" w:space="0" w:color="auto"/>
            </w:tcBorders>
          </w:tcPr>
          <w:p w14:paraId="44496CA9" w14:textId="77777777" w:rsidR="00C55B65" w:rsidRPr="00594249" w:rsidRDefault="00C55B65" w:rsidP="00594249">
            <w:pPr>
              <w:spacing w:line="240" w:lineRule="auto"/>
              <w:jc w:val="both"/>
              <w:rPr>
                <w:rFonts w:ascii="Times New Roman" w:hAnsi="Times New Roman" w:cs="Times New Roman"/>
                <w:iCs/>
                <w:sz w:val="24"/>
                <w:szCs w:val="24"/>
              </w:rPr>
            </w:pPr>
            <w:r w:rsidRPr="00594249">
              <w:rPr>
                <w:rFonts w:ascii="Times New Roman" w:hAnsi="Times New Roman" w:cs="Times New Roman"/>
                <w:b/>
                <w:bCs/>
                <w:iCs/>
                <w:sz w:val="24"/>
                <w:szCs w:val="24"/>
              </w:rPr>
              <w:t>Daļēji ņemts vērā</w:t>
            </w:r>
            <w:r w:rsidRPr="00594249">
              <w:rPr>
                <w:rFonts w:ascii="Times New Roman" w:hAnsi="Times New Roman" w:cs="Times New Roman"/>
                <w:iCs/>
                <w:sz w:val="24"/>
                <w:szCs w:val="24"/>
              </w:rPr>
              <w:t>.</w:t>
            </w:r>
          </w:p>
          <w:p w14:paraId="4FDA7A8B" w14:textId="77777777"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iCs/>
                <w:sz w:val="24"/>
                <w:szCs w:val="24"/>
              </w:rPr>
              <w:t xml:space="preserve">Noteikumu projekta mērķis ir ieviest tādus sabiedrības nozīmīgumu raksturojošus kritērijus, kas būtu vienkārši piemērojami, visām iesaistītajām pusēm saprotami un pašām sabiedrībām viegli aprēķināmi. </w:t>
            </w:r>
          </w:p>
          <w:p w14:paraId="0B9BF699" w14:textId="63ED4136"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iCs/>
                <w:sz w:val="24"/>
                <w:szCs w:val="24"/>
              </w:rPr>
              <w:t xml:space="preserve">Latvijas Banka piekrīt, ka noguldījumu apmērs ir nozīmīgs faktors sabiedrību vērtēšanā, tomēr, ņemot vērā to, ka garantēto noguldījumu atlikumu summa ir konfidenciāla un sensitīva informācija, jāsecina, ka šāda kritērija piemērošana nenodrošinās iepriekšminētā mērķa izpildi. Līdz ar to, lai nozīmīguma noteikšanas procesu nesarežģītu, Latvijas Banka </w:t>
            </w:r>
            <w:r w:rsidR="009D4BD3">
              <w:rPr>
                <w:rFonts w:ascii="Times New Roman" w:hAnsi="Times New Roman" w:cs="Times New Roman"/>
                <w:iCs/>
                <w:sz w:val="24"/>
                <w:szCs w:val="24"/>
              </w:rPr>
              <w:t>nosaka</w:t>
            </w:r>
            <w:r w:rsidRPr="00594249">
              <w:rPr>
                <w:rFonts w:ascii="Times New Roman" w:hAnsi="Times New Roman" w:cs="Times New Roman"/>
                <w:iCs/>
                <w:sz w:val="24"/>
                <w:szCs w:val="24"/>
              </w:rPr>
              <w:t xml:space="preserve"> vien</w:t>
            </w:r>
            <w:r w:rsidR="009D4BD3">
              <w:rPr>
                <w:rFonts w:ascii="Times New Roman" w:hAnsi="Times New Roman" w:cs="Times New Roman"/>
                <w:iCs/>
                <w:sz w:val="24"/>
                <w:szCs w:val="24"/>
              </w:rPr>
              <w:t>u</w:t>
            </w:r>
            <w:r w:rsidRPr="00594249">
              <w:rPr>
                <w:rFonts w:ascii="Times New Roman" w:hAnsi="Times New Roman" w:cs="Times New Roman"/>
                <w:iCs/>
                <w:sz w:val="24"/>
                <w:szCs w:val="24"/>
              </w:rPr>
              <w:t xml:space="preserve"> kritērij</w:t>
            </w:r>
            <w:r w:rsidR="009D4BD3">
              <w:rPr>
                <w:rFonts w:ascii="Times New Roman" w:hAnsi="Times New Roman" w:cs="Times New Roman"/>
                <w:iCs/>
                <w:sz w:val="24"/>
                <w:szCs w:val="24"/>
              </w:rPr>
              <w:t>u</w:t>
            </w:r>
            <w:r w:rsidR="00EE45C2">
              <w:rPr>
                <w:rFonts w:ascii="Times New Roman" w:hAnsi="Times New Roman" w:cs="Times New Roman"/>
                <w:iCs/>
                <w:sz w:val="24"/>
                <w:szCs w:val="24"/>
              </w:rPr>
              <w:t> –</w:t>
            </w:r>
            <w:r w:rsidRPr="00594249">
              <w:rPr>
                <w:rFonts w:ascii="Times New Roman" w:hAnsi="Times New Roman" w:cs="Times New Roman"/>
                <w:iCs/>
                <w:sz w:val="24"/>
                <w:szCs w:val="24"/>
              </w:rPr>
              <w:t xml:space="preserve"> aktīvu apmēr</w:t>
            </w:r>
            <w:r w:rsidR="00EE45C2">
              <w:rPr>
                <w:rFonts w:ascii="Times New Roman" w:hAnsi="Times New Roman" w:cs="Times New Roman"/>
                <w:iCs/>
                <w:sz w:val="24"/>
                <w:szCs w:val="24"/>
              </w:rPr>
              <w:t>u</w:t>
            </w:r>
            <w:r w:rsidRPr="00594249">
              <w:rPr>
                <w:rFonts w:ascii="Times New Roman" w:hAnsi="Times New Roman" w:cs="Times New Roman"/>
                <w:iCs/>
                <w:sz w:val="24"/>
                <w:szCs w:val="24"/>
              </w:rPr>
              <w:t>.</w:t>
            </w:r>
          </w:p>
          <w:p w14:paraId="795005B9" w14:textId="351FE7AA"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iCs/>
                <w:sz w:val="24"/>
                <w:szCs w:val="24"/>
              </w:rPr>
              <w:t>Latvijas Bankas vērtējumā sabiedrības aktīvu apmērs ir pamatoti izvēlēts kritērijs, lai atspoguļotu sabiedrības nozīmīgumu un vietu sektorā. To kā būtiskuma kritēriju izmanto tirgus dalībnieku novērtēšanai arī citos sektoros, ņemot vērā, ka ar aktīviem ir saistīti tirgus dalībnieka darbības riski un līdz ar to arī uzraudzības intensitāte.</w:t>
            </w:r>
          </w:p>
          <w:p w14:paraId="129DB300" w14:textId="77777777"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iCs/>
                <w:sz w:val="24"/>
                <w:szCs w:val="24"/>
              </w:rPr>
              <w:t xml:space="preserve">Tomēr, ņemot vērā sniegto viedokli un norādi uz būtiskuma sliekšņa apmēru, Latvijas Banka piekrīt augstākas robežvērtības noteikšanai.  </w:t>
            </w:r>
          </w:p>
          <w:p w14:paraId="46E8B0CF" w14:textId="646736E0"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iCs/>
                <w:sz w:val="24"/>
                <w:szCs w:val="24"/>
              </w:rPr>
              <w:t>Ievērojot minēto</w:t>
            </w:r>
            <w:r w:rsidR="009D4BD3">
              <w:rPr>
                <w:rFonts w:ascii="Times New Roman" w:hAnsi="Times New Roman" w:cs="Times New Roman"/>
                <w:iCs/>
                <w:sz w:val="24"/>
                <w:szCs w:val="24"/>
              </w:rPr>
              <w:t xml:space="preserve"> un</w:t>
            </w:r>
            <w:r w:rsidRPr="00594249">
              <w:rPr>
                <w:rFonts w:ascii="Times New Roman" w:hAnsi="Times New Roman" w:cs="Times New Roman"/>
                <w:iCs/>
                <w:sz w:val="24"/>
                <w:szCs w:val="24"/>
              </w:rPr>
              <w:t xml:space="preserve"> nemainot normas būtību, 2.1.</w:t>
            </w:r>
            <w:r w:rsidR="006A2061">
              <w:rPr>
                <w:rFonts w:ascii="Times New Roman" w:hAnsi="Times New Roman" w:cs="Times New Roman"/>
                <w:iCs/>
                <w:sz w:val="24"/>
                <w:szCs w:val="24"/>
              </w:rPr>
              <w:t> </w:t>
            </w:r>
            <w:r w:rsidRPr="00594249">
              <w:rPr>
                <w:rFonts w:ascii="Times New Roman" w:hAnsi="Times New Roman" w:cs="Times New Roman"/>
                <w:iCs/>
                <w:sz w:val="24"/>
                <w:szCs w:val="24"/>
              </w:rPr>
              <w:t>apakšpunkts izteikts šādā redakcijā:</w:t>
            </w:r>
          </w:p>
          <w:p w14:paraId="67D3DCAC" w14:textId="61B38677"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sz w:val="24"/>
                <w:szCs w:val="24"/>
              </w:rPr>
              <w:t>"</w:t>
            </w:r>
            <w:r w:rsidRPr="00594249">
              <w:rPr>
                <w:rFonts w:ascii="Times New Roman" w:hAnsi="Times New Roman" w:cs="Times New Roman"/>
                <w:iCs/>
                <w:sz w:val="24"/>
                <w:szCs w:val="24"/>
              </w:rPr>
              <w:t>2.1. nozīmīga sabiedrība – </w:t>
            </w:r>
            <w:r w:rsidRPr="00594249">
              <w:rPr>
                <w:rFonts w:ascii="Times New Roman" w:hAnsi="Times New Roman" w:cs="Times New Roman"/>
                <w:sz w:val="24"/>
                <w:szCs w:val="24"/>
              </w:rPr>
              <w:t xml:space="preserve">sabiedrība, kuras bilances aktīvu vidējā vērtība pārsniedz piecus miljonus </w:t>
            </w:r>
            <w:proofErr w:type="spellStart"/>
            <w:r w:rsidRPr="00594249">
              <w:rPr>
                <w:rFonts w:ascii="Times New Roman" w:hAnsi="Times New Roman" w:cs="Times New Roman"/>
                <w:i/>
                <w:iCs/>
                <w:sz w:val="24"/>
                <w:szCs w:val="24"/>
              </w:rPr>
              <w:t>euro</w:t>
            </w:r>
            <w:proofErr w:type="spellEnd"/>
            <w:r w:rsidRPr="00594249">
              <w:rPr>
                <w:rFonts w:ascii="Times New Roman" w:hAnsi="Times New Roman" w:cs="Times New Roman"/>
                <w:sz w:val="24"/>
                <w:szCs w:val="24"/>
              </w:rPr>
              <w:t xml:space="preserve"> četru gadu laikā pirms attiecīgā finanšu gada"</w:t>
            </w:r>
            <w:r w:rsidRPr="00594249">
              <w:rPr>
                <w:rFonts w:ascii="Times New Roman" w:hAnsi="Times New Roman" w:cs="Times New Roman"/>
                <w:iCs/>
                <w:sz w:val="24"/>
                <w:szCs w:val="24"/>
              </w:rPr>
              <w:t>.</w:t>
            </w:r>
          </w:p>
        </w:tc>
      </w:tr>
      <w:tr w:rsidR="00C55B65" w:rsidRPr="00594249" w14:paraId="4F07CEFD" w14:textId="77777777" w:rsidTr="00FF22A2">
        <w:tc>
          <w:tcPr>
            <w:tcW w:w="846" w:type="dxa"/>
            <w:tcBorders>
              <w:top w:val="single" w:sz="4" w:space="0" w:color="auto"/>
              <w:left w:val="single" w:sz="4" w:space="0" w:color="auto"/>
              <w:bottom w:val="single" w:sz="4" w:space="0" w:color="auto"/>
              <w:right w:val="single" w:sz="4" w:space="0" w:color="auto"/>
            </w:tcBorders>
          </w:tcPr>
          <w:p w14:paraId="4B81C5D3" w14:textId="77777777" w:rsidR="00C55B65" w:rsidRPr="00594249" w:rsidRDefault="00C55B65" w:rsidP="00594249">
            <w:pPr>
              <w:spacing w:line="240" w:lineRule="auto"/>
              <w:jc w:val="center"/>
              <w:rPr>
                <w:rFonts w:ascii="Times New Roman" w:hAnsi="Times New Roman" w:cs="Times New Roman"/>
                <w:sz w:val="24"/>
                <w:szCs w:val="24"/>
              </w:rPr>
            </w:pPr>
            <w:r w:rsidRPr="00594249">
              <w:rPr>
                <w:rFonts w:ascii="Times New Roman" w:hAnsi="Times New Roman" w:cs="Times New Roman"/>
                <w:sz w:val="24"/>
                <w:szCs w:val="24"/>
              </w:rPr>
              <w:t>3.</w:t>
            </w:r>
          </w:p>
        </w:tc>
        <w:tc>
          <w:tcPr>
            <w:tcW w:w="4252" w:type="dxa"/>
            <w:tcBorders>
              <w:top w:val="single" w:sz="4" w:space="0" w:color="auto"/>
              <w:left w:val="single" w:sz="4" w:space="0" w:color="auto"/>
              <w:bottom w:val="single" w:sz="4" w:space="0" w:color="auto"/>
              <w:right w:val="single" w:sz="4" w:space="0" w:color="auto"/>
            </w:tcBorders>
          </w:tcPr>
          <w:p w14:paraId="4C8F1BB3" w14:textId="77777777" w:rsidR="00C55B65" w:rsidRPr="00594249" w:rsidRDefault="00C55B65" w:rsidP="00594249">
            <w:pPr>
              <w:pStyle w:val="NApunkts1"/>
              <w:numPr>
                <w:ilvl w:val="0"/>
                <w:numId w:val="0"/>
              </w:numPr>
              <w:spacing w:before="0"/>
            </w:pPr>
            <w:r w:rsidRPr="00594249">
              <w:t>9. Nozīmīga sabiedrība atbilstoši tās lielumam, darbības specifikai, sarežģītībai un veikto darījumu apmēram izstrādā un dokumentē sabiedrības stratēģiju vismaz trīs gadu periodam, kurā ietver:</w:t>
            </w:r>
          </w:p>
          <w:p w14:paraId="29267905" w14:textId="7342A998" w:rsidR="00C55B65" w:rsidRPr="00594249" w:rsidRDefault="00C55B65" w:rsidP="00594249">
            <w:pPr>
              <w:pStyle w:val="NApunkts1"/>
              <w:numPr>
                <w:ilvl w:val="0"/>
                <w:numId w:val="0"/>
              </w:numPr>
              <w:spacing w:before="0"/>
            </w:pPr>
            <w:r w:rsidRPr="00594249">
              <w:t>9.1. darbības veidu un jomu</w:t>
            </w:r>
            <w:r w:rsidR="009D4BD3">
              <w:t>;</w:t>
            </w:r>
          </w:p>
        </w:tc>
        <w:tc>
          <w:tcPr>
            <w:tcW w:w="4820" w:type="dxa"/>
            <w:tcBorders>
              <w:top w:val="single" w:sz="4" w:space="0" w:color="auto"/>
              <w:left w:val="single" w:sz="4" w:space="0" w:color="auto"/>
              <w:bottom w:val="single" w:sz="4" w:space="0" w:color="auto"/>
              <w:right w:val="single" w:sz="4" w:space="0" w:color="auto"/>
            </w:tcBorders>
          </w:tcPr>
          <w:p w14:paraId="43FD8A3C" w14:textId="77777777" w:rsidR="00C55B65" w:rsidRPr="00594249" w:rsidRDefault="00C55B65" w:rsidP="00594249">
            <w:pPr>
              <w:pStyle w:val="Standard"/>
              <w:rPr>
                <w:rFonts w:cs="Times New Roman"/>
                <w:b/>
                <w:bCs/>
                <w:lang w:val="lv-LV"/>
              </w:rPr>
            </w:pPr>
            <w:r w:rsidRPr="00594249">
              <w:rPr>
                <w:rFonts w:cs="Times New Roman"/>
                <w:b/>
                <w:bCs/>
                <w:lang w:val="lv-LV"/>
              </w:rPr>
              <w:t xml:space="preserve">Krājaizdevu Apvienība: </w:t>
            </w:r>
          </w:p>
          <w:p w14:paraId="70ACFC55" w14:textId="77777777" w:rsidR="00C55B65" w:rsidRPr="00594249" w:rsidRDefault="00C55B65" w:rsidP="00594249">
            <w:pPr>
              <w:pStyle w:val="Standard"/>
              <w:spacing w:before="240"/>
              <w:jc w:val="both"/>
              <w:rPr>
                <w:rFonts w:cs="Times New Roman"/>
                <w:lang w:val="lv-LV"/>
              </w:rPr>
            </w:pPr>
            <w:r w:rsidRPr="00594249">
              <w:rPr>
                <w:rFonts w:cs="Times New Roman"/>
                <w:lang w:val="lv-LV"/>
              </w:rPr>
              <w:t>Noteikumu 9.1.p. neatbilst KSL 12.p.1.d.9.a.p. KKSL 2.p.1.d. 19.p.1.d.2.d.3.d.normām, kas prasa statūtos un licencē norādīt darbības jomas un kritērijus, kas nosaka biedru loku, kuram drīkst sniegt pakalpojumus.</w:t>
            </w:r>
          </w:p>
          <w:p w14:paraId="37592F3B" w14:textId="77777777" w:rsidR="00C55B65" w:rsidRPr="00594249" w:rsidRDefault="00C55B65" w:rsidP="00594249">
            <w:pPr>
              <w:pStyle w:val="Standard"/>
              <w:rPr>
                <w:rFonts w:cs="Times New Roman"/>
                <w:lang w:val="lv-LV"/>
              </w:rPr>
            </w:pPr>
          </w:p>
        </w:tc>
        <w:tc>
          <w:tcPr>
            <w:tcW w:w="4401" w:type="dxa"/>
            <w:tcBorders>
              <w:top w:val="single" w:sz="4" w:space="0" w:color="auto"/>
              <w:left w:val="single" w:sz="4" w:space="0" w:color="auto"/>
              <w:bottom w:val="single" w:sz="4" w:space="0" w:color="auto"/>
              <w:right w:val="single" w:sz="4" w:space="0" w:color="auto"/>
            </w:tcBorders>
          </w:tcPr>
          <w:p w14:paraId="7375C911" w14:textId="3FAFEBDD" w:rsidR="00C55B65" w:rsidRPr="00594249" w:rsidRDefault="00C55B65" w:rsidP="00594249">
            <w:pPr>
              <w:spacing w:line="240" w:lineRule="auto"/>
              <w:rPr>
                <w:rFonts w:ascii="Times New Roman" w:hAnsi="Times New Roman" w:cs="Times New Roman"/>
                <w:b/>
                <w:bCs/>
                <w:iCs/>
                <w:sz w:val="24"/>
                <w:szCs w:val="24"/>
              </w:rPr>
            </w:pPr>
            <w:r w:rsidRPr="00594249">
              <w:rPr>
                <w:rFonts w:ascii="Times New Roman" w:hAnsi="Times New Roman" w:cs="Times New Roman"/>
                <w:b/>
                <w:bCs/>
                <w:iCs/>
                <w:sz w:val="24"/>
                <w:szCs w:val="24"/>
              </w:rPr>
              <w:t>Ņemts vērā, sniedzot papildu skaidrojumu.</w:t>
            </w:r>
          </w:p>
          <w:p w14:paraId="08AF7AD4" w14:textId="3FE39DB9" w:rsidR="00C55B65" w:rsidRPr="00594249" w:rsidRDefault="00C55B65" w:rsidP="00594249">
            <w:pPr>
              <w:spacing w:line="240" w:lineRule="auto"/>
              <w:jc w:val="both"/>
              <w:rPr>
                <w:rFonts w:ascii="Times New Roman" w:hAnsi="Times New Roman" w:cs="Times New Roman"/>
                <w:b/>
                <w:bCs/>
                <w:iCs/>
                <w:sz w:val="24"/>
                <w:szCs w:val="24"/>
              </w:rPr>
            </w:pPr>
            <w:r w:rsidRPr="00594249">
              <w:rPr>
                <w:rFonts w:ascii="Times New Roman" w:hAnsi="Times New Roman" w:cs="Times New Roman"/>
                <w:iCs/>
                <w:sz w:val="24"/>
                <w:szCs w:val="24"/>
              </w:rPr>
              <w:t xml:space="preserve">Šo noteikumu III nodaļā iekļauto prasību būtība nav saistīta ar kādu no sabiedrības statūtiem atšķirīgu darbības veidu un jomu definēšanu, līdz ar to 9.1. apakšpunkta prasības neveido pretrunas ar Kooperatīvo sabiedrību likuma vai Krājaizdevu sabiedrību likuma normām. </w:t>
            </w:r>
            <w:bookmarkStart w:id="4" w:name="_Hlk207624543"/>
            <w:r w:rsidRPr="00594249">
              <w:rPr>
                <w:rFonts w:ascii="Times New Roman" w:hAnsi="Times New Roman" w:cs="Times New Roman"/>
                <w:iCs/>
                <w:sz w:val="24"/>
                <w:szCs w:val="24"/>
              </w:rPr>
              <w:t>Vienlaikus, ņemot vērā to, ka statūtos šī informācija tiek norādīta</w:t>
            </w:r>
            <w:r w:rsidR="00EE45C2">
              <w:rPr>
                <w:rFonts w:ascii="Times New Roman" w:hAnsi="Times New Roman" w:cs="Times New Roman"/>
                <w:iCs/>
                <w:sz w:val="24"/>
                <w:szCs w:val="24"/>
              </w:rPr>
              <w:t>,</w:t>
            </w:r>
            <w:r w:rsidRPr="00594249">
              <w:rPr>
                <w:rFonts w:ascii="Times New Roman" w:hAnsi="Times New Roman" w:cs="Times New Roman"/>
                <w:iCs/>
                <w:sz w:val="24"/>
                <w:szCs w:val="24"/>
              </w:rPr>
              <w:t xml:space="preserve"> un ar mērķi nedublēt jau iesniegtās informācijas saturu 9.1. apakšpunkts tiek </w:t>
            </w:r>
            <w:r w:rsidR="00EE45C2">
              <w:rPr>
                <w:rFonts w:ascii="Times New Roman" w:hAnsi="Times New Roman" w:cs="Times New Roman"/>
                <w:iCs/>
                <w:sz w:val="24"/>
                <w:szCs w:val="24"/>
              </w:rPr>
              <w:t>svītrots</w:t>
            </w:r>
            <w:r w:rsidRPr="00594249">
              <w:rPr>
                <w:rFonts w:ascii="Times New Roman" w:hAnsi="Times New Roman" w:cs="Times New Roman"/>
                <w:iCs/>
                <w:sz w:val="24"/>
                <w:szCs w:val="24"/>
              </w:rPr>
              <w:t xml:space="preserve">.  </w:t>
            </w:r>
            <w:bookmarkEnd w:id="4"/>
          </w:p>
        </w:tc>
      </w:tr>
      <w:tr w:rsidR="00C55B65" w:rsidRPr="00594249" w14:paraId="73F37BCE" w14:textId="77777777" w:rsidTr="00FF22A2">
        <w:tc>
          <w:tcPr>
            <w:tcW w:w="846" w:type="dxa"/>
            <w:tcBorders>
              <w:top w:val="single" w:sz="4" w:space="0" w:color="auto"/>
              <w:left w:val="single" w:sz="4" w:space="0" w:color="auto"/>
              <w:bottom w:val="single" w:sz="4" w:space="0" w:color="auto"/>
              <w:right w:val="single" w:sz="4" w:space="0" w:color="auto"/>
            </w:tcBorders>
          </w:tcPr>
          <w:p w14:paraId="799C8DAF" w14:textId="77777777" w:rsidR="00C55B65" w:rsidRPr="00594249" w:rsidRDefault="00C55B65" w:rsidP="00594249">
            <w:pPr>
              <w:spacing w:line="240" w:lineRule="auto"/>
              <w:jc w:val="center"/>
              <w:rPr>
                <w:rFonts w:ascii="Times New Roman" w:hAnsi="Times New Roman" w:cs="Times New Roman"/>
                <w:sz w:val="24"/>
                <w:szCs w:val="24"/>
              </w:rPr>
            </w:pPr>
            <w:r w:rsidRPr="00594249">
              <w:rPr>
                <w:rFonts w:ascii="Times New Roman" w:hAnsi="Times New Roman" w:cs="Times New Roman"/>
                <w:sz w:val="24"/>
                <w:szCs w:val="24"/>
              </w:rPr>
              <w:t>4.</w:t>
            </w:r>
          </w:p>
        </w:tc>
        <w:tc>
          <w:tcPr>
            <w:tcW w:w="4252" w:type="dxa"/>
            <w:tcBorders>
              <w:top w:val="single" w:sz="4" w:space="0" w:color="auto"/>
              <w:left w:val="single" w:sz="4" w:space="0" w:color="auto"/>
              <w:bottom w:val="single" w:sz="4" w:space="0" w:color="auto"/>
              <w:right w:val="single" w:sz="4" w:space="0" w:color="auto"/>
            </w:tcBorders>
          </w:tcPr>
          <w:p w14:paraId="05F4613F" w14:textId="77777777" w:rsidR="00C55B65" w:rsidRPr="00594249" w:rsidRDefault="00C55B65" w:rsidP="00594249">
            <w:pPr>
              <w:pStyle w:val="NApunkts1"/>
              <w:numPr>
                <w:ilvl w:val="0"/>
                <w:numId w:val="0"/>
              </w:numPr>
              <w:spacing w:before="0"/>
            </w:pPr>
            <w:r w:rsidRPr="00594249">
              <w:t>9. Nozīmīga sabiedrība atbilstoši tās lielumam, darbības specifikai, sarežģītībai un veikto darījumu apmēram izstrādā un dokumentē sabiedrības stratēģiju vismaz trīs gadu periodam, kurā ietver:</w:t>
            </w:r>
          </w:p>
          <w:p w14:paraId="0B436C4E" w14:textId="77777777" w:rsidR="00C55B65" w:rsidRPr="00594249" w:rsidRDefault="00C55B65" w:rsidP="00594249">
            <w:pPr>
              <w:pStyle w:val="NApunkts2"/>
              <w:numPr>
                <w:ilvl w:val="0"/>
                <w:numId w:val="0"/>
              </w:numPr>
            </w:pPr>
            <w:r w:rsidRPr="00594249">
              <w:t>9.2. darbības plānotos mērķus (budžets, būtiskāko bilances un peļņas vai zaudējumu aprēķina posteņu prognozes) un attiecīgajam stratēģijas darbības periodam noteiktās prioritātes;</w:t>
            </w:r>
          </w:p>
          <w:p w14:paraId="349EAB94" w14:textId="77777777" w:rsidR="00C55B65" w:rsidRPr="00594249" w:rsidRDefault="00C55B65" w:rsidP="00594249">
            <w:pPr>
              <w:spacing w:line="240" w:lineRule="auto"/>
              <w:rPr>
                <w:rFonts w:ascii="Times New Roman" w:hAnsi="Times New Roman" w:cs="Times New Roman"/>
                <w:sz w:val="24"/>
                <w:szCs w:val="24"/>
              </w:rPr>
            </w:pPr>
          </w:p>
        </w:tc>
        <w:tc>
          <w:tcPr>
            <w:tcW w:w="4820" w:type="dxa"/>
            <w:tcBorders>
              <w:top w:val="single" w:sz="4" w:space="0" w:color="auto"/>
              <w:left w:val="single" w:sz="4" w:space="0" w:color="auto"/>
              <w:bottom w:val="single" w:sz="4" w:space="0" w:color="auto"/>
              <w:right w:val="single" w:sz="4" w:space="0" w:color="auto"/>
            </w:tcBorders>
          </w:tcPr>
          <w:p w14:paraId="46290BEE" w14:textId="77777777" w:rsidR="00C55B65" w:rsidRPr="00594249" w:rsidRDefault="00C55B65" w:rsidP="00594249">
            <w:pPr>
              <w:pStyle w:val="Standard"/>
              <w:rPr>
                <w:rFonts w:cs="Times New Roman"/>
                <w:b/>
                <w:bCs/>
                <w:lang w:val="lv-LV"/>
              </w:rPr>
            </w:pPr>
            <w:r w:rsidRPr="00594249">
              <w:rPr>
                <w:rFonts w:cs="Times New Roman"/>
                <w:b/>
                <w:bCs/>
                <w:lang w:val="lv-LV"/>
              </w:rPr>
              <w:t>Krājaizdevu Apvienība:</w:t>
            </w:r>
          </w:p>
          <w:p w14:paraId="2FBB8806" w14:textId="77777777" w:rsidR="00C55B65" w:rsidRPr="00594249" w:rsidRDefault="00C55B65" w:rsidP="00594249">
            <w:pPr>
              <w:pStyle w:val="Standard"/>
              <w:spacing w:before="240"/>
              <w:jc w:val="both"/>
              <w:rPr>
                <w:rFonts w:cs="Times New Roman"/>
                <w:lang w:val="lv-LV"/>
              </w:rPr>
            </w:pPr>
            <w:r w:rsidRPr="00594249">
              <w:rPr>
                <w:rFonts w:cs="Times New Roman"/>
                <w:lang w:val="lv-LV"/>
              </w:rPr>
              <w:t>Noteikumu 9.2.p. atņem kopsapulcēm likumā garantētās tiesības ar statūtiem regulēt darbības mērķus un uzdevumus (KSL 12.p.1.d.2.a.p.un 12.p.1.d.10.a.p.), tiek pārkāpti pašpārvaldes un saimnieciskās kopdarbības principi.</w:t>
            </w:r>
          </w:p>
          <w:p w14:paraId="485E0A7F" w14:textId="77777777" w:rsidR="00C55B65" w:rsidRPr="00594249" w:rsidRDefault="00C55B65" w:rsidP="00594249">
            <w:pPr>
              <w:spacing w:line="240" w:lineRule="auto"/>
              <w:rPr>
                <w:rFonts w:ascii="Times New Roman" w:hAnsi="Times New Roman" w:cs="Times New Roman"/>
                <w:sz w:val="24"/>
                <w:szCs w:val="24"/>
              </w:rPr>
            </w:pPr>
          </w:p>
        </w:tc>
        <w:tc>
          <w:tcPr>
            <w:tcW w:w="4401" w:type="dxa"/>
            <w:tcBorders>
              <w:top w:val="single" w:sz="4" w:space="0" w:color="auto"/>
              <w:left w:val="single" w:sz="4" w:space="0" w:color="auto"/>
              <w:bottom w:val="single" w:sz="4" w:space="0" w:color="auto"/>
              <w:right w:val="single" w:sz="4" w:space="0" w:color="auto"/>
            </w:tcBorders>
          </w:tcPr>
          <w:p w14:paraId="5AC58C71" w14:textId="77777777" w:rsidR="00C55B65" w:rsidRPr="00594249" w:rsidRDefault="00C55B65" w:rsidP="00594249">
            <w:pPr>
              <w:spacing w:line="240" w:lineRule="auto"/>
              <w:rPr>
                <w:rFonts w:ascii="Times New Roman" w:hAnsi="Times New Roman" w:cs="Times New Roman"/>
                <w:iCs/>
                <w:sz w:val="24"/>
                <w:szCs w:val="24"/>
              </w:rPr>
            </w:pPr>
            <w:r w:rsidRPr="00594249">
              <w:rPr>
                <w:rFonts w:ascii="Times New Roman" w:hAnsi="Times New Roman" w:cs="Times New Roman"/>
                <w:b/>
                <w:bCs/>
                <w:iCs/>
                <w:sz w:val="24"/>
                <w:szCs w:val="24"/>
              </w:rPr>
              <w:t>Nav ņemts vērā.</w:t>
            </w:r>
          </w:p>
          <w:p w14:paraId="67A9B0E0" w14:textId="6342F623"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iCs/>
                <w:sz w:val="24"/>
                <w:szCs w:val="24"/>
              </w:rPr>
              <w:t>Noteikumu projekts neatņem sabiedrības kopsapulcei tiesības statūtos noteikt sabiedrības darbības mērķus un uzdevumus, jo arī sabiedrības stratēģijas izveidē un apstiprināšanā gadījumos, kad sabiedrībā nav izveidota padome</w:t>
            </w:r>
            <w:r w:rsidR="00EE45C2">
              <w:rPr>
                <w:rFonts w:ascii="Times New Roman" w:hAnsi="Times New Roman" w:cs="Times New Roman"/>
                <w:iCs/>
                <w:sz w:val="24"/>
                <w:szCs w:val="24"/>
              </w:rPr>
              <w:t>,</w:t>
            </w:r>
            <w:r w:rsidR="00EE45C2" w:rsidRPr="00594249">
              <w:rPr>
                <w:rFonts w:ascii="Times New Roman" w:hAnsi="Times New Roman" w:cs="Times New Roman"/>
                <w:iCs/>
                <w:sz w:val="24"/>
                <w:szCs w:val="24"/>
              </w:rPr>
              <w:t xml:space="preserve"> tiek iesaistīta sabiedrības kopsapulce</w:t>
            </w:r>
            <w:r w:rsidRPr="00594249">
              <w:rPr>
                <w:rFonts w:ascii="Times New Roman" w:hAnsi="Times New Roman" w:cs="Times New Roman"/>
                <w:iCs/>
                <w:sz w:val="24"/>
                <w:szCs w:val="24"/>
              </w:rPr>
              <w:t>. To nosaka noteikumu projekta 46.4. apakšpunkts. Sabiedrības stratēģija ir jāveido, balstoties uz sabiedrības statūtos noteiktajiem galvenajiem mērķiem</w:t>
            </w:r>
            <w:r w:rsidR="00EE45C2">
              <w:rPr>
                <w:rFonts w:ascii="Times New Roman" w:hAnsi="Times New Roman" w:cs="Times New Roman"/>
                <w:iCs/>
                <w:sz w:val="24"/>
                <w:szCs w:val="24"/>
              </w:rPr>
              <w:t xml:space="preserve"> un</w:t>
            </w:r>
            <w:r w:rsidRPr="00594249">
              <w:rPr>
                <w:rFonts w:ascii="Times New Roman" w:hAnsi="Times New Roman" w:cs="Times New Roman"/>
                <w:iCs/>
                <w:sz w:val="24"/>
                <w:szCs w:val="24"/>
              </w:rPr>
              <w:t xml:space="preserve"> virsuzdevumiem</w:t>
            </w:r>
            <w:r w:rsidR="00A51AAD">
              <w:rPr>
                <w:rFonts w:ascii="Times New Roman" w:hAnsi="Times New Roman" w:cs="Times New Roman"/>
                <w:iCs/>
                <w:sz w:val="24"/>
                <w:szCs w:val="24"/>
              </w:rPr>
              <w:t xml:space="preserve"> un</w:t>
            </w:r>
            <w:r w:rsidRPr="00594249">
              <w:rPr>
                <w:rFonts w:ascii="Times New Roman" w:hAnsi="Times New Roman" w:cs="Times New Roman"/>
                <w:iCs/>
                <w:sz w:val="24"/>
                <w:szCs w:val="24"/>
              </w:rPr>
              <w:t xml:space="preserve"> papildinot </w:t>
            </w:r>
            <w:r w:rsidR="00EE45C2" w:rsidRPr="00594249">
              <w:rPr>
                <w:rFonts w:ascii="Times New Roman" w:hAnsi="Times New Roman" w:cs="Times New Roman"/>
                <w:iCs/>
                <w:sz w:val="24"/>
                <w:szCs w:val="24"/>
              </w:rPr>
              <w:t xml:space="preserve">tos </w:t>
            </w:r>
            <w:r w:rsidRPr="00594249">
              <w:rPr>
                <w:rFonts w:ascii="Times New Roman" w:hAnsi="Times New Roman" w:cs="Times New Roman"/>
                <w:iCs/>
                <w:sz w:val="24"/>
                <w:szCs w:val="24"/>
              </w:rPr>
              <w:t xml:space="preserve">ar detalizētāku, mērķtiecīgāku plānoto darbību (mērķu, </w:t>
            </w:r>
            <w:proofErr w:type="spellStart"/>
            <w:r w:rsidRPr="00594249">
              <w:rPr>
                <w:rFonts w:ascii="Times New Roman" w:hAnsi="Times New Roman" w:cs="Times New Roman"/>
                <w:iCs/>
                <w:sz w:val="24"/>
                <w:szCs w:val="24"/>
              </w:rPr>
              <w:t>apakšuzdevumu</w:t>
            </w:r>
            <w:proofErr w:type="spellEnd"/>
            <w:r w:rsidRPr="00594249">
              <w:rPr>
                <w:rFonts w:ascii="Times New Roman" w:hAnsi="Times New Roman" w:cs="Times New Roman"/>
                <w:iCs/>
                <w:sz w:val="24"/>
                <w:szCs w:val="24"/>
              </w:rPr>
              <w:t xml:space="preserve">) sarakstu, kas sniedz priekšstatu par plānotajām īstermiņa un vidēja termiņa darbībām, par prioritātēm un plānotajiem darbības apjomiem, to izmaiņām un attīstības tendencēm. </w:t>
            </w:r>
          </w:p>
        </w:tc>
      </w:tr>
      <w:tr w:rsidR="00C55B65" w:rsidRPr="00594249" w14:paraId="68F41806" w14:textId="77777777" w:rsidTr="00FF22A2">
        <w:tc>
          <w:tcPr>
            <w:tcW w:w="846" w:type="dxa"/>
            <w:tcBorders>
              <w:top w:val="single" w:sz="4" w:space="0" w:color="auto"/>
              <w:left w:val="single" w:sz="4" w:space="0" w:color="auto"/>
              <w:bottom w:val="single" w:sz="4" w:space="0" w:color="auto"/>
              <w:right w:val="single" w:sz="4" w:space="0" w:color="auto"/>
            </w:tcBorders>
          </w:tcPr>
          <w:p w14:paraId="5EE18665" w14:textId="77777777" w:rsidR="00C55B65" w:rsidRPr="00594249" w:rsidRDefault="00C55B65" w:rsidP="00594249">
            <w:pPr>
              <w:spacing w:line="240" w:lineRule="auto"/>
              <w:jc w:val="center"/>
              <w:rPr>
                <w:rFonts w:ascii="Times New Roman" w:hAnsi="Times New Roman" w:cs="Times New Roman"/>
                <w:sz w:val="24"/>
                <w:szCs w:val="24"/>
              </w:rPr>
            </w:pPr>
            <w:r w:rsidRPr="00594249">
              <w:rPr>
                <w:rFonts w:ascii="Times New Roman" w:hAnsi="Times New Roman" w:cs="Times New Roman"/>
                <w:sz w:val="24"/>
                <w:szCs w:val="24"/>
              </w:rPr>
              <w:t>5.</w:t>
            </w:r>
          </w:p>
        </w:tc>
        <w:tc>
          <w:tcPr>
            <w:tcW w:w="4252" w:type="dxa"/>
            <w:tcBorders>
              <w:top w:val="single" w:sz="4" w:space="0" w:color="auto"/>
              <w:left w:val="single" w:sz="4" w:space="0" w:color="auto"/>
              <w:bottom w:val="single" w:sz="4" w:space="0" w:color="auto"/>
              <w:right w:val="single" w:sz="4" w:space="0" w:color="auto"/>
            </w:tcBorders>
          </w:tcPr>
          <w:p w14:paraId="0CEDB493" w14:textId="77777777" w:rsidR="00C55B65" w:rsidRPr="00594249" w:rsidRDefault="00C55B65" w:rsidP="00594249">
            <w:pPr>
              <w:pStyle w:val="NApunkts1"/>
              <w:numPr>
                <w:ilvl w:val="0"/>
                <w:numId w:val="0"/>
              </w:numPr>
              <w:tabs>
                <w:tab w:val="left" w:pos="516"/>
              </w:tabs>
              <w:spacing w:before="0"/>
            </w:pPr>
            <w:r w:rsidRPr="00594249">
              <w:t>9. Nozīmīga sabiedrība atbilstoši tās lielumam, darbības specifikai, sarežģītībai un veikto darījumu apmēram izstrādā un dokumentē sabiedrības stratēģiju vismaz trīs gadu periodam, kurā ietver:</w:t>
            </w:r>
          </w:p>
          <w:p w14:paraId="163523C0" w14:textId="77777777" w:rsidR="00C55B65" w:rsidRPr="00594249" w:rsidRDefault="00C55B65" w:rsidP="00594249">
            <w:pPr>
              <w:pStyle w:val="NApunkts2"/>
              <w:numPr>
                <w:ilvl w:val="0"/>
                <w:numId w:val="0"/>
              </w:numPr>
              <w:tabs>
                <w:tab w:val="left" w:pos="407"/>
                <w:tab w:val="left" w:pos="453"/>
                <w:tab w:val="left" w:pos="556"/>
              </w:tabs>
            </w:pPr>
            <w:r w:rsidRPr="00594249">
              <w:t>9.4. mērķus kapitāla pietiekamības jomā, ņemot vērā sabiedrības darbību raksturojošos rādītājus, finansiālo stāvokli, kā arī regulējošās prasības.</w:t>
            </w:r>
          </w:p>
          <w:p w14:paraId="0FA94702" w14:textId="77777777" w:rsidR="00C55B65" w:rsidRPr="00594249" w:rsidRDefault="00C55B65" w:rsidP="00594249">
            <w:pPr>
              <w:pStyle w:val="NApunkts1"/>
              <w:numPr>
                <w:ilvl w:val="0"/>
                <w:numId w:val="0"/>
              </w:numPr>
              <w:spacing w:before="0"/>
            </w:pPr>
          </w:p>
        </w:tc>
        <w:tc>
          <w:tcPr>
            <w:tcW w:w="4820" w:type="dxa"/>
            <w:tcBorders>
              <w:top w:val="single" w:sz="4" w:space="0" w:color="auto"/>
              <w:left w:val="single" w:sz="4" w:space="0" w:color="auto"/>
              <w:bottom w:val="single" w:sz="4" w:space="0" w:color="auto"/>
              <w:right w:val="single" w:sz="4" w:space="0" w:color="auto"/>
            </w:tcBorders>
          </w:tcPr>
          <w:p w14:paraId="6C15CB6D" w14:textId="77777777" w:rsidR="00C55B65" w:rsidRPr="00594249" w:rsidRDefault="00C55B65" w:rsidP="00594249">
            <w:pPr>
              <w:pStyle w:val="Standard"/>
              <w:rPr>
                <w:rFonts w:cs="Times New Roman"/>
                <w:b/>
                <w:bCs/>
                <w:lang w:val="lv-LV"/>
              </w:rPr>
            </w:pPr>
            <w:r w:rsidRPr="00594249">
              <w:rPr>
                <w:rFonts w:cs="Times New Roman"/>
                <w:b/>
                <w:bCs/>
                <w:lang w:val="lv-LV"/>
              </w:rPr>
              <w:t>Krājaizdevu Apvienība:</w:t>
            </w:r>
          </w:p>
          <w:p w14:paraId="1B29FB2D" w14:textId="77777777" w:rsidR="00C55B65" w:rsidRPr="00594249" w:rsidRDefault="00C55B65" w:rsidP="00594249">
            <w:pPr>
              <w:pStyle w:val="Standard"/>
              <w:spacing w:before="240"/>
              <w:jc w:val="both"/>
              <w:rPr>
                <w:rFonts w:cs="Times New Roman"/>
                <w:lang w:val="lv-LV"/>
              </w:rPr>
            </w:pPr>
            <w:r w:rsidRPr="00594249">
              <w:rPr>
                <w:rFonts w:cs="Times New Roman"/>
                <w:lang w:val="lv-LV"/>
              </w:rPr>
              <w:t>Noteikumu 9.4.p. Ir pretrunā ar KKSL 2.p. 4.d. kas ļauj KKS atsavināt mantu un veidot kapitālus tikai statūtos noteiktā kārtībā, ar statūtos noteiktiem mērķiem un uzdevumiem. Arī KKSL 10.p.3.d. Nosaka, ka rezerves kapitālu kopsapulce drīkst izmantot tikai tiem mērķiem, kas noteikti statūtos.</w:t>
            </w:r>
          </w:p>
          <w:p w14:paraId="3495BA73" w14:textId="77777777" w:rsidR="00C55B65" w:rsidRPr="00594249" w:rsidRDefault="00C55B65" w:rsidP="00594249">
            <w:pPr>
              <w:pStyle w:val="Standard"/>
              <w:jc w:val="both"/>
              <w:rPr>
                <w:rFonts w:cs="Times New Roman"/>
                <w:lang w:val="lv-LV"/>
              </w:rPr>
            </w:pPr>
            <w:r w:rsidRPr="00594249">
              <w:rPr>
                <w:rFonts w:cs="Times New Roman"/>
                <w:lang w:val="lv-LV"/>
              </w:rPr>
              <w:t>Pretstatā komercsabiedrībām, kooperatīvo sabiedrību pamatkapitālu drīkst palielināt un samazināt bez kopsapulces lēmuma, tāpēc, lai nepieļautu koruptīvus ieguldījumus, KSL 24.p 3.d. 25.p. 1.d. prasa pamatkapitāla veidošanu regulēt ar statūtiem, un tā papildus palielināšana iespējama tikai ar kopsapulces lēmumu, ievērojot KSL 38.p. 5.d.prasības.</w:t>
            </w:r>
          </w:p>
        </w:tc>
        <w:tc>
          <w:tcPr>
            <w:tcW w:w="4401" w:type="dxa"/>
            <w:tcBorders>
              <w:top w:val="single" w:sz="4" w:space="0" w:color="auto"/>
              <w:left w:val="single" w:sz="4" w:space="0" w:color="auto"/>
              <w:bottom w:val="single" w:sz="4" w:space="0" w:color="auto"/>
              <w:right w:val="single" w:sz="4" w:space="0" w:color="auto"/>
            </w:tcBorders>
          </w:tcPr>
          <w:p w14:paraId="6F1EA418" w14:textId="77777777" w:rsidR="00C55B65" w:rsidRPr="00594249" w:rsidRDefault="00C55B65" w:rsidP="00594249">
            <w:pPr>
              <w:spacing w:line="240" w:lineRule="auto"/>
              <w:rPr>
                <w:rFonts w:ascii="Times New Roman" w:hAnsi="Times New Roman" w:cs="Times New Roman"/>
                <w:b/>
                <w:bCs/>
                <w:iCs/>
                <w:sz w:val="24"/>
                <w:szCs w:val="24"/>
              </w:rPr>
            </w:pPr>
            <w:r w:rsidRPr="00594249">
              <w:rPr>
                <w:rFonts w:ascii="Times New Roman" w:hAnsi="Times New Roman" w:cs="Times New Roman"/>
                <w:b/>
                <w:bCs/>
                <w:iCs/>
                <w:sz w:val="24"/>
                <w:szCs w:val="24"/>
              </w:rPr>
              <w:t>Nav ņemts vērā.</w:t>
            </w:r>
          </w:p>
          <w:p w14:paraId="058A1027" w14:textId="10C73F2B"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iCs/>
                <w:sz w:val="24"/>
                <w:szCs w:val="24"/>
              </w:rPr>
              <w:t>Noteikumu projekta 9.</w:t>
            </w:r>
            <w:r w:rsidR="00EE45C2">
              <w:rPr>
                <w:rFonts w:ascii="Times New Roman" w:hAnsi="Times New Roman" w:cs="Times New Roman"/>
                <w:iCs/>
                <w:sz w:val="24"/>
                <w:szCs w:val="24"/>
              </w:rPr>
              <w:t> </w:t>
            </w:r>
            <w:r w:rsidRPr="00594249">
              <w:rPr>
                <w:rFonts w:ascii="Times New Roman" w:hAnsi="Times New Roman" w:cs="Times New Roman"/>
                <w:iCs/>
                <w:sz w:val="24"/>
                <w:szCs w:val="24"/>
              </w:rPr>
              <w:t>punkts un 9.4. apakšpunkts nosaka prasības sabiedrības stratēģijas saturam</w:t>
            </w:r>
            <w:r w:rsidR="00EE45C2">
              <w:rPr>
                <w:rFonts w:ascii="Times New Roman" w:hAnsi="Times New Roman" w:cs="Times New Roman"/>
                <w:iCs/>
                <w:sz w:val="24"/>
                <w:szCs w:val="24"/>
              </w:rPr>
              <w:t xml:space="preserve"> un</w:t>
            </w:r>
            <w:r w:rsidRPr="00594249">
              <w:rPr>
                <w:rFonts w:ascii="Times New Roman" w:hAnsi="Times New Roman" w:cs="Times New Roman"/>
                <w:iCs/>
                <w:sz w:val="24"/>
                <w:szCs w:val="24"/>
              </w:rPr>
              <w:t xml:space="preserve"> detalizācijai, </w:t>
            </w:r>
            <w:r w:rsidR="00EE45C2">
              <w:rPr>
                <w:rFonts w:ascii="Times New Roman" w:hAnsi="Times New Roman" w:cs="Times New Roman"/>
                <w:iCs/>
                <w:sz w:val="24"/>
                <w:szCs w:val="24"/>
              </w:rPr>
              <w:t xml:space="preserve">bet </w:t>
            </w:r>
            <w:r w:rsidRPr="00594249">
              <w:rPr>
                <w:rFonts w:ascii="Times New Roman" w:hAnsi="Times New Roman" w:cs="Times New Roman"/>
                <w:iCs/>
                <w:sz w:val="24"/>
                <w:szCs w:val="24"/>
              </w:rPr>
              <w:t xml:space="preserve">tas nenosaka prasības, kas saistītas ar sabiedrības mantas atsavināšanu, rezerves kapitāla izmantošanu, palielināšanu vai samazināšanu. Noteikumu projektā ietvertais nosaka, ka stratēģijā sabiedrība atspoguļo plānotos mērķus kapitāla pietiekamībai īstermiņā un vidējā termiņā (līdz trīs gadiem) ciešā sasaistē ar tās darbību raksturojošajiem rādītājiem, plānoto darbību, kā arī finansiālo stāvokli. </w:t>
            </w:r>
          </w:p>
          <w:p w14:paraId="1C9A5D25" w14:textId="7B2259AA" w:rsidR="00C55B65" w:rsidRPr="00594249" w:rsidRDefault="00C55B65" w:rsidP="00594249">
            <w:pPr>
              <w:spacing w:before="240" w:line="240" w:lineRule="auto"/>
              <w:jc w:val="both"/>
              <w:rPr>
                <w:rFonts w:ascii="Times New Roman" w:hAnsi="Times New Roman" w:cs="Times New Roman"/>
                <w:iCs/>
                <w:sz w:val="24"/>
                <w:szCs w:val="24"/>
              </w:rPr>
            </w:pPr>
            <w:r w:rsidRPr="00594249">
              <w:rPr>
                <w:rFonts w:ascii="Times New Roman" w:hAnsi="Times New Roman" w:cs="Times New Roman"/>
                <w:iCs/>
                <w:sz w:val="24"/>
                <w:szCs w:val="24"/>
              </w:rPr>
              <w:t>Ja sabiedrībā pastāv pamatotas bažas par nesaimniecisku rīcību un riskiem, kas saistīti ar lēmumu pieņemšanu, tad sabiedrība var statūtos noteikt stingrākas prasības un nosacījumus lēmumu pieņemšanas kārtībai, tai skaitā par pamatkapitāla veidošanu un tā izmaiņām</w:t>
            </w:r>
            <w:r w:rsidR="00EE45C2">
              <w:rPr>
                <w:rFonts w:ascii="Times New Roman" w:hAnsi="Times New Roman" w:cs="Times New Roman"/>
                <w:iCs/>
                <w:sz w:val="24"/>
                <w:szCs w:val="24"/>
              </w:rPr>
              <w:t>,</w:t>
            </w:r>
            <w:r w:rsidR="00A8680F">
              <w:rPr>
                <w:rFonts w:ascii="Times New Roman" w:hAnsi="Times New Roman" w:cs="Times New Roman"/>
                <w:iCs/>
                <w:sz w:val="24"/>
                <w:szCs w:val="24"/>
              </w:rPr>
              <w:t xml:space="preserve"> vai vērsties Valsts policijā ar iesniegumu, ja ir pamatotas bažas par koruptīvām darbībām</w:t>
            </w:r>
            <w:r w:rsidRPr="00594249">
              <w:rPr>
                <w:rFonts w:ascii="Times New Roman" w:hAnsi="Times New Roman" w:cs="Times New Roman"/>
                <w:iCs/>
                <w:sz w:val="24"/>
                <w:szCs w:val="24"/>
              </w:rPr>
              <w:t>.</w:t>
            </w:r>
          </w:p>
        </w:tc>
      </w:tr>
      <w:tr w:rsidR="00C55B65" w:rsidRPr="00594249" w14:paraId="31BF15A8" w14:textId="77777777" w:rsidTr="00FF22A2">
        <w:tc>
          <w:tcPr>
            <w:tcW w:w="846" w:type="dxa"/>
            <w:tcBorders>
              <w:top w:val="single" w:sz="4" w:space="0" w:color="auto"/>
              <w:left w:val="single" w:sz="4" w:space="0" w:color="auto"/>
              <w:bottom w:val="single" w:sz="4" w:space="0" w:color="auto"/>
              <w:right w:val="single" w:sz="4" w:space="0" w:color="auto"/>
            </w:tcBorders>
          </w:tcPr>
          <w:p w14:paraId="774A983C" w14:textId="77777777" w:rsidR="00C55B65" w:rsidRPr="00594249" w:rsidRDefault="00C55B65" w:rsidP="00594249">
            <w:pPr>
              <w:spacing w:line="240" w:lineRule="auto"/>
              <w:jc w:val="center"/>
              <w:rPr>
                <w:rFonts w:ascii="Times New Roman" w:hAnsi="Times New Roman" w:cs="Times New Roman"/>
                <w:sz w:val="24"/>
                <w:szCs w:val="24"/>
              </w:rPr>
            </w:pPr>
            <w:r w:rsidRPr="00594249">
              <w:rPr>
                <w:rFonts w:ascii="Times New Roman" w:hAnsi="Times New Roman" w:cs="Times New Roman"/>
                <w:sz w:val="24"/>
                <w:szCs w:val="24"/>
              </w:rPr>
              <w:t>6.</w:t>
            </w:r>
          </w:p>
        </w:tc>
        <w:tc>
          <w:tcPr>
            <w:tcW w:w="4252" w:type="dxa"/>
            <w:tcBorders>
              <w:top w:val="single" w:sz="4" w:space="0" w:color="auto"/>
              <w:left w:val="single" w:sz="4" w:space="0" w:color="auto"/>
              <w:bottom w:val="single" w:sz="4" w:space="0" w:color="auto"/>
              <w:right w:val="single" w:sz="4" w:space="0" w:color="auto"/>
            </w:tcBorders>
          </w:tcPr>
          <w:p w14:paraId="03BF31E2" w14:textId="77777777" w:rsidR="00C55B65" w:rsidRPr="00594249" w:rsidRDefault="00C55B65" w:rsidP="00594249">
            <w:pPr>
              <w:pStyle w:val="NApunkts1"/>
              <w:numPr>
                <w:ilvl w:val="0"/>
                <w:numId w:val="0"/>
              </w:numPr>
              <w:tabs>
                <w:tab w:val="left" w:pos="516"/>
              </w:tabs>
              <w:spacing w:before="0"/>
              <w:rPr>
                <w:b/>
                <w:bCs/>
              </w:rPr>
            </w:pPr>
            <w:r w:rsidRPr="00594249">
              <w:rPr>
                <w:b/>
                <w:bCs/>
              </w:rPr>
              <w:t>VI. Organizatoriskā struktūra</w:t>
            </w:r>
          </w:p>
          <w:p w14:paraId="58E956C9" w14:textId="77777777" w:rsidR="00C55B65" w:rsidRPr="00594249" w:rsidRDefault="00C55B65" w:rsidP="00594249">
            <w:pPr>
              <w:pStyle w:val="NApunkts1"/>
              <w:numPr>
                <w:ilvl w:val="0"/>
                <w:numId w:val="0"/>
              </w:numPr>
              <w:tabs>
                <w:tab w:val="left" w:pos="366"/>
              </w:tabs>
              <w:ind w:left="28"/>
            </w:pPr>
            <w:r w:rsidRPr="00594249">
              <w:t>11. Sabiedrība nodrošina, ka tās organizatoriskā struktūra ir sabiedrības lielumam un darbības riskiem atbilstoša un pārredzama un būtisku izmaiņu gadījumā tiek atjaunināta.</w:t>
            </w:r>
          </w:p>
          <w:p w14:paraId="0AB332E4" w14:textId="77777777" w:rsidR="00C55B65" w:rsidRPr="00594249" w:rsidRDefault="00C55B65" w:rsidP="00594249">
            <w:pPr>
              <w:pStyle w:val="NApunkts1"/>
              <w:numPr>
                <w:ilvl w:val="0"/>
                <w:numId w:val="0"/>
              </w:numPr>
              <w:tabs>
                <w:tab w:val="left" w:pos="339"/>
              </w:tabs>
              <w:ind w:left="28"/>
            </w:pPr>
            <w:r w:rsidRPr="00594249">
              <w:t xml:space="preserve">12. Veidojot organizatorisko struktūru, sabiedrība ņem vērā sabiedrības vadības sastāva piemērotību sabiedrības lielumam, darbības un sniegto pakalpojumu specifikai un izvirzītajiem mērķiem. </w:t>
            </w:r>
          </w:p>
          <w:p w14:paraId="17B40E73" w14:textId="77777777" w:rsidR="00C55B65" w:rsidRPr="00594249" w:rsidRDefault="00C55B65" w:rsidP="00594249">
            <w:pPr>
              <w:pStyle w:val="NApunkts1"/>
              <w:numPr>
                <w:ilvl w:val="0"/>
                <w:numId w:val="0"/>
              </w:numPr>
              <w:tabs>
                <w:tab w:val="left" w:pos="339"/>
              </w:tabs>
            </w:pPr>
            <w:r w:rsidRPr="00594249">
              <w:t>13. Sabiedrība dokumentē tās organizatorisko struktūru, nosakot sabiedrības vadības, struktūrvienību (ja tādas izveidotas) un darbinieku pienākumus (funkcijas), pilnvaras un atbildību darījumu veikšanā un kontrolē, sagatavojot vispārīgus darba aprakstus (instrukcijas).</w:t>
            </w:r>
          </w:p>
          <w:p w14:paraId="719B1F66" w14:textId="4F423D79" w:rsidR="00C55B65" w:rsidRPr="00594249" w:rsidRDefault="00C55B65" w:rsidP="00594249">
            <w:pPr>
              <w:pStyle w:val="NApunkts1"/>
              <w:numPr>
                <w:ilvl w:val="0"/>
                <w:numId w:val="0"/>
              </w:numPr>
              <w:tabs>
                <w:tab w:val="left" w:pos="285"/>
              </w:tabs>
            </w:pPr>
            <w:r w:rsidRPr="00594249">
              <w:t>14. Nozīmīga sabiedrība, nosakot sabiedrības vadības un darbinieku pienākumus un piešķirot tiem pilnvaras, ievēro pienākumu dalīšanas principu, kas izpaužas kā to pienākumu (funkciju) nodalīšana, kas, ja tos apvienotu, ļautu sabiedrības vadībai vai kādam darbiniekam vienpersoniski veikt kādu darījumu pilnībā. Pienākumu dalīšanas princips aptver vismaz tādas darbības kā darījuma apstiprināšana, izpilde, novērtēšana, glabāšana un iegrāmatošana. Mazāk nozīmīga sabiedrība pienākumu dalīšanas principu ievēro iespēju robežās.</w:t>
            </w:r>
          </w:p>
          <w:p w14:paraId="67109326" w14:textId="77777777" w:rsidR="00C55B65" w:rsidRPr="00594249" w:rsidRDefault="00C55B65" w:rsidP="00594249">
            <w:pPr>
              <w:pStyle w:val="NApunkts1"/>
              <w:numPr>
                <w:ilvl w:val="0"/>
                <w:numId w:val="0"/>
              </w:numPr>
            </w:pPr>
            <w:r w:rsidRPr="00594249">
              <w:t>15. Dokumentējot pilnvaru piešķiršanu, norāda piešķirto pilnvaru veidu, personas (norādot amatu), kam piešķirtas pilnvaras, pārpilnvarojuma tiesības, kā arī visus piešķirto pilnvaru izmantošanas ierobežojumus. Sabiedrība, piešķirot sabiedrības vadībai un darbiniekiem pilnvaras, nodrošina, ka sabiedrības vadība un darbinieki tiek iepazīstināti ar tiem piešķirtā pilnvarojuma apjomu.</w:t>
            </w:r>
          </w:p>
          <w:p w14:paraId="01EA05D4" w14:textId="77777777" w:rsidR="00C55B65" w:rsidRPr="00594249" w:rsidRDefault="00C55B65" w:rsidP="00594249">
            <w:pPr>
              <w:pStyle w:val="NApunkts1"/>
              <w:numPr>
                <w:ilvl w:val="0"/>
                <w:numId w:val="0"/>
              </w:numPr>
            </w:pPr>
            <w:r w:rsidRPr="00594249">
              <w:t>16. Visiem darījumiem jābūt atļautiem ar sabiedrības vadības vai attiecīgā darbinieka rīkojumu vai lēmumu saskaņā ar organizatoriskajā struktūrā noteiktajiem atbildības līmeņiem.</w:t>
            </w:r>
          </w:p>
          <w:p w14:paraId="09EE5482" w14:textId="77777777" w:rsidR="00C55B65" w:rsidRPr="00594249" w:rsidRDefault="00C55B65" w:rsidP="00594249">
            <w:pPr>
              <w:pStyle w:val="NApunkts1"/>
              <w:numPr>
                <w:ilvl w:val="0"/>
                <w:numId w:val="0"/>
              </w:numPr>
              <w:tabs>
                <w:tab w:val="left" w:pos="516"/>
              </w:tabs>
              <w:spacing w:before="0"/>
            </w:pPr>
            <w:r w:rsidRPr="00594249">
              <w:t>Būtiskiem darbības veidiem sabiedrība izstrādā un dokumentē darījumu veikšanas un kontroles kārtību. Šī kārtība ietver vismaz darījuma veicēja pilnvarošanas kārtību (tai skaitā tiek norādīti dokumenti, kurus nepieciešams noformēt lēmumu pieņemšanas procesā, līdz tiek apstiprināta darījuma veikšana, un sabiedrības vadība un darbinieki, kuri apliecina attiecīgo lēmumu pieņemšanu), ierobežojumu noteikšanu, lai nodrošinātu darījuma atbilstību sabiedrības politikai un procedūrām un sabiedrības darbību regulējošiem tiesību aktiem, profesionālās rīcības un ētikas kodeksiem un citiem ar sabiedrības darbību saistītiem labās prakses standartiem (turpmāk – atbilstības likumi, noteikumi un standarti), kā arī darījuma apstrādes un kontroles kārtību. Sabiedrība nodrošina, ka sabiedrības vadība un darbinieki, kas iesaistīti šajās procedūrās minēto darījumu veikšanā, tiek iepazīstināti ar attiecīgajām procedūrām.</w:t>
            </w:r>
          </w:p>
        </w:tc>
        <w:tc>
          <w:tcPr>
            <w:tcW w:w="4820" w:type="dxa"/>
            <w:tcBorders>
              <w:top w:val="single" w:sz="4" w:space="0" w:color="auto"/>
              <w:left w:val="single" w:sz="4" w:space="0" w:color="auto"/>
              <w:bottom w:val="single" w:sz="4" w:space="0" w:color="auto"/>
              <w:right w:val="single" w:sz="4" w:space="0" w:color="auto"/>
            </w:tcBorders>
          </w:tcPr>
          <w:p w14:paraId="172CC571" w14:textId="77777777" w:rsidR="00C55B65" w:rsidRPr="00594249" w:rsidRDefault="00C55B65" w:rsidP="00594249">
            <w:pPr>
              <w:pStyle w:val="Standard"/>
              <w:rPr>
                <w:rFonts w:cs="Times New Roman"/>
                <w:lang w:val="lv-LV"/>
              </w:rPr>
            </w:pPr>
            <w:r w:rsidRPr="00594249">
              <w:rPr>
                <w:rFonts w:cs="Times New Roman"/>
                <w:b/>
                <w:bCs/>
                <w:lang w:val="lv-LV"/>
              </w:rPr>
              <w:t>Krājaizdevu Apvienība</w:t>
            </w:r>
            <w:r w:rsidRPr="00594249">
              <w:rPr>
                <w:rFonts w:cs="Times New Roman"/>
                <w:lang w:val="lv-LV"/>
              </w:rPr>
              <w:t>:</w:t>
            </w:r>
          </w:p>
          <w:p w14:paraId="2B9F2BBA" w14:textId="77777777" w:rsidR="00C55B65" w:rsidRPr="00594249" w:rsidRDefault="00C55B65" w:rsidP="00594249">
            <w:pPr>
              <w:pStyle w:val="Standard"/>
              <w:spacing w:before="240"/>
              <w:rPr>
                <w:rFonts w:cs="Times New Roman"/>
                <w:b/>
                <w:bCs/>
                <w:lang w:val="lv-LV"/>
              </w:rPr>
            </w:pPr>
            <w:r w:rsidRPr="00594249">
              <w:rPr>
                <w:rFonts w:cs="Times New Roman"/>
                <w:b/>
                <w:bCs/>
                <w:lang w:val="lv-LV"/>
              </w:rPr>
              <w:t>Organizatoriskā struktūra.</w:t>
            </w:r>
          </w:p>
          <w:p w14:paraId="145D4531" w14:textId="77777777" w:rsidR="00C55B65" w:rsidRPr="00594249" w:rsidRDefault="00C55B65" w:rsidP="00594249">
            <w:pPr>
              <w:pStyle w:val="Standard"/>
              <w:jc w:val="both"/>
              <w:rPr>
                <w:rFonts w:cs="Times New Roman"/>
                <w:lang w:val="lv-LV"/>
              </w:rPr>
            </w:pPr>
            <w:r w:rsidRPr="00594249">
              <w:rPr>
                <w:rFonts w:cs="Times New Roman"/>
                <w:lang w:val="lv-LV"/>
              </w:rPr>
              <w:t>Noteikumu ir pretrunā ar pašpārvaldes un saimnieciskās kopdarbības principiem, kas prasa nodrošināt biedru izglītošanu un iesaisti lēmumu projektu izstrādē, nodrošinot iespēju saņemt konsultācijas no alternatīviem koleģiālās pārvaldes orgāniem.</w:t>
            </w:r>
          </w:p>
          <w:p w14:paraId="593436FD" w14:textId="77777777" w:rsidR="00C55B65" w:rsidRPr="00594249" w:rsidRDefault="00C55B65" w:rsidP="00594249">
            <w:pPr>
              <w:pStyle w:val="Standard"/>
              <w:jc w:val="both"/>
              <w:rPr>
                <w:rFonts w:cs="Times New Roman"/>
                <w:lang w:val="lv-LV"/>
              </w:rPr>
            </w:pPr>
            <w:r w:rsidRPr="00594249">
              <w:rPr>
                <w:rFonts w:cs="Times New Roman"/>
                <w:lang w:val="lv-LV"/>
              </w:rPr>
              <w:t>Neizglītots biedrs, kas nevar saņemt alternatīvus skaidrojumus par pārvaldes lēmumiem un projektiem, tiek izslēgts no pašpārvaldes un nevar iesaistīties saimnieciskajā kopdarbībā. Netiek ievērots KKS darbības galvenais uzdevums.</w:t>
            </w:r>
          </w:p>
          <w:p w14:paraId="432E635C" w14:textId="77777777" w:rsidR="00C55B65" w:rsidRPr="00594249" w:rsidRDefault="00C55B65" w:rsidP="00594249">
            <w:pPr>
              <w:pStyle w:val="Standard"/>
              <w:rPr>
                <w:rFonts w:cs="Times New Roman"/>
                <w:lang w:val="lv-LV"/>
              </w:rPr>
            </w:pPr>
          </w:p>
        </w:tc>
        <w:tc>
          <w:tcPr>
            <w:tcW w:w="4401" w:type="dxa"/>
            <w:tcBorders>
              <w:top w:val="single" w:sz="4" w:space="0" w:color="auto"/>
              <w:left w:val="single" w:sz="4" w:space="0" w:color="auto"/>
              <w:bottom w:val="single" w:sz="4" w:space="0" w:color="auto"/>
              <w:right w:val="single" w:sz="4" w:space="0" w:color="auto"/>
            </w:tcBorders>
          </w:tcPr>
          <w:p w14:paraId="65A6A1AD" w14:textId="77777777" w:rsidR="00C55B65" w:rsidRPr="00594249" w:rsidRDefault="00C55B65" w:rsidP="00594249">
            <w:pPr>
              <w:spacing w:line="240" w:lineRule="auto"/>
              <w:rPr>
                <w:rFonts w:ascii="Times New Roman" w:hAnsi="Times New Roman" w:cs="Times New Roman"/>
                <w:b/>
                <w:bCs/>
                <w:iCs/>
                <w:sz w:val="24"/>
                <w:szCs w:val="24"/>
              </w:rPr>
            </w:pPr>
            <w:r w:rsidRPr="00594249">
              <w:rPr>
                <w:rFonts w:ascii="Times New Roman" w:hAnsi="Times New Roman" w:cs="Times New Roman"/>
                <w:b/>
                <w:bCs/>
                <w:iCs/>
                <w:sz w:val="24"/>
                <w:szCs w:val="24"/>
              </w:rPr>
              <w:t>Nav ņemts vērā.</w:t>
            </w:r>
          </w:p>
          <w:p w14:paraId="44956135" w14:textId="5A8F44CF" w:rsidR="00C55B65" w:rsidRPr="00594249" w:rsidRDefault="00C55B65" w:rsidP="00594249">
            <w:pPr>
              <w:spacing w:before="240" w:line="240" w:lineRule="auto"/>
              <w:rPr>
                <w:rFonts w:ascii="Times New Roman" w:hAnsi="Times New Roman" w:cs="Times New Roman"/>
                <w:iCs/>
                <w:sz w:val="24"/>
                <w:szCs w:val="24"/>
              </w:rPr>
            </w:pPr>
            <w:r w:rsidRPr="00594249">
              <w:rPr>
                <w:rFonts w:ascii="Times New Roman" w:hAnsi="Times New Roman" w:cs="Times New Roman"/>
                <w:iCs/>
                <w:sz w:val="24"/>
                <w:szCs w:val="24"/>
              </w:rPr>
              <w:t>Lū</w:t>
            </w:r>
            <w:r w:rsidR="00EE45C2">
              <w:rPr>
                <w:rFonts w:ascii="Times New Roman" w:hAnsi="Times New Roman" w:cs="Times New Roman"/>
                <w:iCs/>
                <w:sz w:val="24"/>
                <w:szCs w:val="24"/>
              </w:rPr>
              <w:t>dzam</w:t>
            </w:r>
            <w:r w:rsidRPr="00594249">
              <w:rPr>
                <w:rFonts w:ascii="Times New Roman" w:hAnsi="Times New Roman" w:cs="Times New Roman"/>
                <w:iCs/>
                <w:sz w:val="24"/>
                <w:szCs w:val="24"/>
              </w:rPr>
              <w:t xml:space="preserve"> skatīt skaidrojumu, kas sniegts </w:t>
            </w:r>
            <w:r w:rsidR="00EE45C2">
              <w:rPr>
                <w:rFonts w:ascii="Times New Roman" w:hAnsi="Times New Roman" w:cs="Times New Roman"/>
                <w:iCs/>
                <w:sz w:val="24"/>
                <w:szCs w:val="24"/>
              </w:rPr>
              <w:t>par</w:t>
            </w:r>
            <w:r w:rsidR="00EE45C2" w:rsidRPr="00594249">
              <w:rPr>
                <w:rFonts w:ascii="Times New Roman" w:hAnsi="Times New Roman" w:cs="Times New Roman"/>
                <w:iCs/>
                <w:sz w:val="24"/>
                <w:szCs w:val="24"/>
              </w:rPr>
              <w:t xml:space="preserve"> </w:t>
            </w:r>
            <w:r w:rsidRPr="00594249">
              <w:rPr>
                <w:rFonts w:ascii="Times New Roman" w:hAnsi="Times New Roman" w:cs="Times New Roman"/>
                <w:iCs/>
                <w:sz w:val="24"/>
                <w:szCs w:val="24"/>
              </w:rPr>
              <w:t>komentāru Nr. 1.</w:t>
            </w:r>
          </w:p>
        </w:tc>
      </w:tr>
      <w:bookmarkEnd w:id="2"/>
      <w:tr w:rsidR="00C55B65" w:rsidRPr="00594249" w14:paraId="7F7FF30B" w14:textId="77777777" w:rsidTr="00FF22A2">
        <w:tc>
          <w:tcPr>
            <w:tcW w:w="846" w:type="dxa"/>
            <w:tcBorders>
              <w:top w:val="single" w:sz="4" w:space="0" w:color="auto"/>
              <w:left w:val="single" w:sz="4" w:space="0" w:color="auto"/>
              <w:bottom w:val="single" w:sz="4" w:space="0" w:color="auto"/>
              <w:right w:val="single" w:sz="4" w:space="0" w:color="auto"/>
            </w:tcBorders>
          </w:tcPr>
          <w:p w14:paraId="0AAE9AFC" w14:textId="77777777" w:rsidR="00C55B65" w:rsidRPr="00594249" w:rsidRDefault="00C55B65" w:rsidP="00594249">
            <w:pPr>
              <w:spacing w:line="240" w:lineRule="auto"/>
              <w:jc w:val="center"/>
              <w:rPr>
                <w:rFonts w:ascii="Times New Roman" w:hAnsi="Times New Roman" w:cs="Times New Roman"/>
                <w:sz w:val="24"/>
                <w:szCs w:val="24"/>
              </w:rPr>
            </w:pPr>
            <w:r w:rsidRPr="00594249">
              <w:rPr>
                <w:rFonts w:ascii="Times New Roman" w:hAnsi="Times New Roman" w:cs="Times New Roman"/>
                <w:sz w:val="24"/>
                <w:szCs w:val="24"/>
              </w:rPr>
              <w:t>7.</w:t>
            </w:r>
          </w:p>
        </w:tc>
        <w:tc>
          <w:tcPr>
            <w:tcW w:w="4252" w:type="dxa"/>
            <w:tcBorders>
              <w:top w:val="single" w:sz="4" w:space="0" w:color="auto"/>
              <w:left w:val="single" w:sz="4" w:space="0" w:color="auto"/>
              <w:bottom w:val="single" w:sz="4" w:space="0" w:color="auto"/>
              <w:right w:val="single" w:sz="4" w:space="0" w:color="auto"/>
            </w:tcBorders>
          </w:tcPr>
          <w:p w14:paraId="677C7DED" w14:textId="77777777" w:rsidR="00C55B65" w:rsidRPr="00594249" w:rsidRDefault="00C55B65" w:rsidP="00594249">
            <w:pPr>
              <w:pStyle w:val="NApunkts1"/>
              <w:numPr>
                <w:ilvl w:val="0"/>
                <w:numId w:val="0"/>
              </w:numPr>
              <w:spacing w:before="0"/>
              <w:rPr>
                <w:b/>
                <w:bCs/>
              </w:rPr>
            </w:pPr>
            <w:r w:rsidRPr="00594249">
              <w:rPr>
                <w:b/>
                <w:bCs/>
              </w:rPr>
              <w:t>V. Korporatīvās vērtības</w:t>
            </w:r>
          </w:p>
          <w:p w14:paraId="2DF7D8C5" w14:textId="77777777" w:rsidR="00C55B65" w:rsidRPr="00594249" w:rsidRDefault="00C55B65" w:rsidP="00594249">
            <w:pPr>
              <w:pStyle w:val="NApunkts1"/>
              <w:numPr>
                <w:ilvl w:val="0"/>
                <w:numId w:val="0"/>
              </w:numPr>
            </w:pPr>
            <w:r w:rsidRPr="00594249">
              <w:t>18. Sabiedrība nosaka un dokumentē korporatīvās vērtības, tai skaitā nosaka augstus profesionālās rīcības un ētikas standartus, lai nodrošinātu, ka sabiedrības vadība un darbinieki veic savus pienākumus ar vislielāko godprātību, savu amata pienākumu izpildē un lēmumu pieņemšanā ir objektīvi, ievēro atbilstības likumus, noteikumus un standartus, respektē informācijas par darījumu un biedru konfidencialitāti un komercnoslēpumu, tai skaitā ievēro personas datu aizsardzības pamatprincipus, un to rīcība un uzvedība atbilst augstiem ētikas standartiem. Īpaši svarīgi, lai šie standarti vērstos pret korupciju, nelikumīgu iekšējās informācijas izmantošanu un jebkuru citu nelikumīgu, neētisku vai apšaubāmu rīcību, kā arī mazinātu riskus, kas saistīti ar operacionālo darbību un reputācijas apdraudējumu.</w:t>
            </w:r>
          </w:p>
          <w:p w14:paraId="1843D815" w14:textId="77777777" w:rsidR="00C55B65" w:rsidRPr="00594249" w:rsidRDefault="00C55B65" w:rsidP="00594249">
            <w:pPr>
              <w:pStyle w:val="NApunkts1"/>
              <w:numPr>
                <w:ilvl w:val="0"/>
                <w:numId w:val="0"/>
              </w:numPr>
              <w:tabs>
                <w:tab w:val="left" w:pos="257"/>
              </w:tabs>
              <w:ind w:left="28"/>
            </w:pPr>
            <w:r w:rsidRPr="00594249">
              <w:t>19. Sabiedrība, nodrošinot interešu konflikta situāciju pārvaldīšanu, veic atbilstošus organizatoriskus un administratīvus pasākumus, kas novērš sabiedrības biedru vai potenciālo biedru interešu nelabvēlīgu ietekmēšanu.</w:t>
            </w:r>
          </w:p>
          <w:p w14:paraId="7DC56149" w14:textId="77777777" w:rsidR="00C55B65" w:rsidRPr="00594249" w:rsidRDefault="00C55B65" w:rsidP="00594249">
            <w:pPr>
              <w:pStyle w:val="NApunkts1"/>
              <w:numPr>
                <w:ilvl w:val="0"/>
                <w:numId w:val="0"/>
              </w:numPr>
            </w:pPr>
            <w:r w:rsidRPr="00594249">
              <w:t>20. Sabiedrība, ņemot vērā tās darbības apjomu un sarežģītību, nodrošina sabiedrības vadībai un darbiniekiem iespēju iekšēji ziņot par faktiskiem vai potenciāliem iekšējās kontroles sistēmas trūkumiem, izteikt priekšlikumus to novēršanai un ziņot par nelikumīgiem vai neētiskiem darījumiem, tai skaitā par interešu konflikta situācijām. Sabiedrība izstrādā un dokumentē atbilstošas procedūras, kā arī iepazīstina ar tām sabiedrības vadību un darbiniekus.</w:t>
            </w:r>
          </w:p>
          <w:p w14:paraId="18322E8C" w14:textId="77777777" w:rsidR="00C55B65" w:rsidRPr="00594249" w:rsidRDefault="00C55B65" w:rsidP="00594249">
            <w:pPr>
              <w:pStyle w:val="NApunkts1"/>
              <w:numPr>
                <w:ilvl w:val="0"/>
                <w:numId w:val="0"/>
              </w:numPr>
              <w:tabs>
                <w:tab w:val="left" w:pos="516"/>
              </w:tabs>
              <w:spacing w:before="0"/>
            </w:pPr>
          </w:p>
        </w:tc>
        <w:tc>
          <w:tcPr>
            <w:tcW w:w="4820" w:type="dxa"/>
            <w:tcBorders>
              <w:top w:val="single" w:sz="4" w:space="0" w:color="auto"/>
              <w:left w:val="single" w:sz="4" w:space="0" w:color="auto"/>
              <w:bottom w:val="single" w:sz="4" w:space="0" w:color="auto"/>
              <w:right w:val="single" w:sz="4" w:space="0" w:color="auto"/>
            </w:tcBorders>
          </w:tcPr>
          <w:p w14:paraId="5830829B" w14:textId="77777777" w:rsidR="00C55B65" w:rsidRPr="00594249" w:rsidRDefault="00C55B65" w:rsidP="00594249">
            <w:pPr>
              <w:pStyle w:val="Standard"/>
              <w:rPr>
                <w:rFonts w:cs="Times New Roman"/>
                <w:lang w:val="lv-LV"/>
              </w:rPr>
            </w:pPr>
            <w:r w:rsidRPr="00594249">
              <w:rPr>
                <w:rFonts w:cs="Times New Roman"/>
                <w:b/>
                <w:bCs/>
                <w:lang w:val="lv-LV"/>
              </w:rPr>
              <w:t>Krājaizdevu Apvienība</w:t>
            </w:r>
            <w:r w:rsidRPr="00594249">
              <w:rPr>
                <w:rFonts w:cs="Times New Roman"/>
                <w:lang w:val="lv-LV"/>
              </w:rPr>
              <w:t>:</w:t>
            </w:r>
          </w:p>
          <w:p w14:paraId="580F54AA" w14:textId="77777777" w:rsidR="00C55B65" w:rsidRPr="00594249" w:rsidRDefault="00C55B65" w:rsidP="00594249">
            <w:pPr>
              <w:pStyle w:val="Standard"/>
              <w:spacing w:before="240"/>
              <w:rPr>
                <w:rFonts w:cs="Times New Roman"/>
                <w:b/>
                <w:bCs/>
                <w:lang w:val="lv-LV"/>
              </w:rPr>
            </w:pPr>
            <w:r w:rsidRPr="00594249">
              <w:rPr>
                <w:rFonts w:cs="Times New Roman"/>
                <w:b/>
                <w:bCs/>
                <w:lang w:val="lv-LV"/>
              </w:rPr>
              <w:t>Korporatīvās vērtības</w:t>
            </w:r>
          </w:p>
          <w:p w14:paraId="5F2FEE39" w14:textId="77777777" w:rsidR="00C55B65" w:rsidRPr="00594249" w:rsidRDefault="00C55B65" w:rsidP="00594249">
            <w:pPr>
              <w:pStyle w:val="Standard"/>
              <w:jc w:val="both"/>
              <w:rPr>
                <w:rFonts w:cs="Times New Roman"/>
                <w:lang w:val="lv-LV"/>
              </w:rPr>
            </w:pPr>
            <w:r w:rsidRPr="00594249">
              <w:rPr>
                <w:rFonts w:cs="Times New Roman"/>
                <w:lang w:val="lv-LV"/>
              </w:rPr>
              <w:t>Nelikumīga kooperatīvo pašpārvaldes principu aizvietošana ar Korporatīvajām vērtībām, ļauj ignorēt likuma prasības par biedru izglītošanu, mazinot viņu spēju iesaistīties pašpārvaldē un saimnieciskajā kopdarbībā. Pat likumdevējs bija spiests atzīt, ka LB nav atbilstoši likuma prasībām uzraudzījusi biedru spēju iesaistīties pašpārvaldē, un KKS vairs nevar izveidot pārvaldes orgānus, kurus, pateicoties starptautiskai atbalsta programmai, spēja izveidot pirms 25 gadiem.</w:t>
            </w:r>
          </w:p>
          <w:p w14:paraId="4CD2F332" w14:textId="77777777" w:rsidR="00C55B65" w:rsidRPr="00594249" w:rsidRDefault="00C55B65" w:rsidP="00594249">
            <w:pPr>
              <w:pStyle w:val="Standard"/>
              <w:rPr>
                <w:rFonts w:cs="Times New Roman"/>
                <w:lang w:val="lv-LV"/>
              </w:rPr>
            </w:pPr>
          </w:p>
        </w:tc>
        <w:tc>
          <w:tcPr>
            <w:tcW w:w="4401" w:type="dxa"/>
            <w:tcBorders>
              <w:top w:val="single" w:sz="4" w:space="0" w:color="auto"/>
              <w:left w:val="single" w:sz="4" w:space="0" w:color="auto"/>
              <w:bottom w:val="single" w:sz="4" w:space="0" w:color="auto"/>
              <w:right w:val="single" w:sz="4" w:space="0" w:color="auto"/>
            </w:tcBorders>
          </w:tcPr>
          <w:p w14:paraId="53C8B3FB" w14:textId="77777777" w:rsidR="00C55B65" w:rsidRPr="00594249" w:rsidRDefault="00C55B65" w:rsidP="00594249">
            <w:pPr>
              <w:spacing w:line="240" w:lineRule="auto"/>
              <w:rPr>
                <w:rFonts w:ascii="Times New Roman" w:hAnsi="Times New Roman" w:cs="Times New Roman"/>
                <w:b/>
                <w:bCs/>
                <w:iCs/>
                <w:sz w:val="24"/>
                <w:szCs w:val="24"/>
              </w:rPr>
            </w:pPr>
            <w:r w:rsidRPr="00594249">
              <w:rPr>
                <w:rFonts w:ascii="Times New Roman" w:hAnsi="Times New Roman" w:cs="Times New Roman"/>
                <w:b/>
                <w:bCs/>
                <w:iCs/>
                <w:sz w:val="24"/>
                <w:szCs w:val="24"/>
              </w:rPr>
              <w:t>Nav ņemts vērā.</w:t>
            </w:r>
          </w:p>
          <w:p w14:paraId="55AD96D3" w14:textId="6DD53164" w:rsidR="00C55B65" w:rsidRPr="00594249" w:rsidRDefault="00C55B65" w:rsidP="00594249">
            <w:pPr>
              <w:spacing w:before="240" w:line="240" w:lineRule="auto"/>
              <w:rPr>
                <w:rFonts w:ascii="Times New Roman" w:hAnsi="Times New Roman" w:cs="Times New Roman"/>
                <w:b/>
                <w:bCs/>
                <w:iCs/>
                <w:sz w:val="24"/>
                <w:szCs w:val="24"/>
              </w:rPr>
            </w:pPr>
            <w:r w:rsidRPr="00594249">
              <w:rPr>
                <w:rFonts w:ascii="Times New Roman" w:hAnsi="Times New Roman" w:cs="Times New Roman"/>
                <w:iCs/>
                <w:sz w:val="24"/>
                <w:szCs w:val="24"/>
              </w:rPr>
              <w:t>Lū</w:t>
            </w:r>
            <w:r w:rsidR="00EE45C2">
              <w:rPr>
                <w:rFonts w:ascii="Times New Roman" w:hAnsi="Times New Roman" w:cs="Times New Roman"/>
                <w:iCs/>
                <w:sz w:val="24"/>
                <w:szCs w:val="24"/>
              </w:rPr>
              <w:t>dzam</w:t>
            </w:r>
            <w:r w:rsidRPr="00594249">
              <w:rPr>
                <w:rFonts w:ascii="Times New Roman" w:hAnsi="Times New Roman" w:cs="Times New Roman"/>
                <w:iCs/>
                <w:sz w:val="24"/>
                <w:szCs w:val="24"/>
              </w:rPr>
              <w:t xml:space="preserve"> skatīt skaidrojumu, kas sniegts </w:t>
            </w:r>
            <w:r w:rsidR="00EE45C2">
              <w:rPr>
                <w:rFonts w:ascii="Times New Roman" w:hAnsi="Times New Roman" w:cs="Times New Roman"/>
                <w:iCs/>
                <w:sz w:val="24"/>
                <w:szCs w:val="24"/>
              </w:rPr>
              <w:t>par</w:t>
            </w:r>
            <w:r w:rsidRPr="00594249">
              <w:rPr>
                <w:rFonts w:ascii="Times New Roman" w:hAnsi="Times New Roman" w:cs="Times New Roman"/>
                <w:iCs/>
                <w:sz w:val="24"/>
                <w:szCs w:val="24"/>
              </w:rPr>
              <w:t xml:space="preserve"> komentāru Nr. 1.</w:t>
            </w:r>
          </w:p>
        </w:tc>
      </w:tr>
      <w:tr w:rsidR="00C55B65" w:rsidRPr="00594249" w14:paraId="1F05CE0B" w14:textId="77777777" w:rsidTr="00FF22A2">
        <w:tc>
          <w:tcPr>
            <w:tcW w:w="846" w:type="dxa"/>
            <w:tcBorders>
              <w:top w:val="single" w:sz="4" w:space="0" w:color="auto"/>
              <w:left w:val="single" w:sz="4" w:space="0" w:color="auto"/>
              <w:bottom w:val="single" w:sz="4" w:space="0" w:color="auto"/>
              <w:right w:val="single" w:sz="4" w:space="0" w:color="auto"/>
            </w:tcBorders>
          </w:tcPr>
          <w:p w14:paraId="6A9BD764" w14:textId="77777777" w:rsidR="00C55B65" w:rsidRPr="00594249" w:rsidRDefault="00C55B65" w:rsidP="00594249">
            <w:pPr>
              <w:spacing w:line="240" w:lineRule="auto"/>
              <w:jc w:val="center"/>
              <w:rPr>
                <w:rFonts w:ascii="Times New Roman" w:hAnsi="Times New Roman" w:cs="Times New Roman"/>
                <w:sz w:val="24"/>
                <w:szCs w:val="24"/>
              </w:rPr>
            </w:pPr>
            <w:r w:rsidRPr="00594249">
              <w:rPr>
                <w:rFonts w:ascii="Times New Roman" w:hAnsi="Times New Roman" w:cs="Times New Roman"/>
                <w:sz w:val="24"/>
                <w:szCs w:val="24"/>
              </w:rPr>
              <w:t>8.</w:t>
            </w:r>
          </w:p>
        </w:tc>
        <w:tc>
          <w:tcPr>
            <w:tcW w:w="4252" w:type="dxa"/>
            <w:tcBorders>
              <w:top w:val="single" w:sz="4" w:space="0" w:color="auto"/>
              <w:left w:val="single" w:sz="4" w:space="0" w:color="auto"/>
              <w:bottom w:val="single" w:sz="4" w:space="0" w:color="auto"/>
              <w:right w:val="single" w:sz="4" w:space="0" w:color="auto"/>
            </w:tcBorders>
          </w:tcPr>
          <w:p w14:paraId="77A314D4" w14:textId="77777777" w:rsidR="00C55B65" w:rsidRPr="00594249" w:rsidRDefault="00C55B65" w:rsidP="005A2636">
            <w:pPr>
              <w:pStyle w:val="NAnodalaromiesucipari"/>
            </w:pPr>
            <w:r w:rsidRPr="00594249">
              <w:t>VI. Sabiedrības darbības risku pārvaldīšana</w:t>
            </w:r>
          </w:p>
          <w:p w14:paraId="466312BC" w14:textId="6D70B6C4" w:rsidR="00C55B65" w:rsidRPr="00594249" w:rsidRDefault="009E3CA8" w:rsidP="009E3CA8">
            <w:pPr>
              <w:pStyle w:val="NApunkts1"/>
              <w:numPr>
                <w:ilvl w:val="0"/>
                <w:numId w:val="0"/>
              </w:numPr>
              <w:ind w:left="29"/>
            </w:pPr>
            <w:r>
              <w:t>21. </w:t>
            </w:r>
            <w:r w:rsidR="00C55B65" w:rsidRPr="00594249">
              <w:t>Sabiedrība neatkarīgi no tās nozīmīguma kā tās darbībai būtiskus identificē vismaz šādus riskus:</w:t>
            </w:r>
          </w:p>
          <w:p w14:paraId="0D10AC98" w14:textId="77777777" w:rsidR="009E3CA8" w:rsidRDefault="009E3CA8" w:rsidP="009E3CA8">
            <w:pPr>
              <w:spacing w:after="0"/>
              <w:jc w:val="both"/>
              <w:rPr>
                <w:rFonts w:ascii="Times New Roman" w:hAnsi="Times New Roman" w:cs="Times New Roman"/>
                <w:sz w:val="24"/>
                <w:szCs w:val="24"/>
              </w:rPr>
            </w:pPr>
            <w:r>
              <w:rPr>
                <w:rFonts w:ascii="Times New Roman" w:hAnsi="Times New Roman" w:cs="Times New Roman"/>
                <w:sz w:val="24"/>
                <w:szCs w:val="24"/>
              </w:rPr>
              <w:t>21.1. </w:t>
            </w:r>
            <w:r w:rsidR="00C55B65" w:rsidRPr="009E3CA8">
              <w:rPr>
                <w:rFonts w:ascii="Times New Roman" w:hAnsi="Times New Roman" w:cs="Times New Roman"/>
                <w:sz w:val="24"/>
                <w:szCs w:val="24"/>
              </w:rPr>
              <w:t>kredītrisks;</w:t>
            </w:r>
          </w:p>
          <w:p w14:paraId="652169B2" w14:textId="45A4AD71" w:rsidR="00C55B65" w:rsidRPr="009E3CA8" w:rsidRDefault="009E3CA8" w:rsidP="009E3CA8">
            <w:pPr>
              <w:spacing w:after="0"/>
              <w:jc w:val="both"/>
              <w:rPr>
                <w:rFonts w:ascii="Times New Roman" w:hAnsi="Times New Roman" w:cs="Times New Roman"/>
                <w:sz w:val="24"/>
                <w:szCs w:val="24"/>
              </w:rPr>
            </w:pPr>
            <w:r>
              <w:rPr>
                <w:rFonts w:ascii="Times New Roman" w:hAnsi="Times New Roman" w:cs="Times New Roman"/>
                <w:sz w:val="24"/>
                <w:szCs w:val="24"/>
              </w:rPr>
              <w:t>21.2. </w:t>
            </w:r>
            <w:r w:rsidR="00C55B65" w:rsidRPr="009E3CA8">
              <w:rPr>
                <w:rFonts w:ascii="Times New Roman" w:hAnsi="Times New Roman" w:cs="Times New Roman"/>
                <w:sz w:val="24"/>
                <w:szCs w:val="24"/>
              </w:rPr>
              <w:t>riski, kas rodas no riska darījumu koncentrācijas;</w:t>
            </w:r>
          </w:p>
          <w:p w14:paraId="4DE0C73A" w14:textId="53550735" w:rsidR="00C55B65" w:rsidRPr="009E3CA8" w:rsidRDefault="009E3CA8" w:rsidP="009E3CA8">
            <w:pPr>
              <w:spacing w:after="0"/>
              <w:jc w:val="both"/>
              <w:rPr>
                <w:rFonts w:ascii="Times New Roman" w:hAnsi="Times New Roman" w:cs="Times New Roman"/>
                <w:sz w:val="24"/>
                <w:szCs w:val="24"/>
              </w:rPr>
            </w:pPr>
            <w:r>
              <w:rPr>
                <w:rFonts w:ascii="Times New Roman" w:hAnsi="Times New Roman" w:cs="Times New Roman"/>
                <w:sz w:val="24"/>
                <w:szCs w:val="24"/>
              </w:rPr>
              <w:t>21.3. </w:t>
            </w:r>
            <w:r w:rsidR="00C55B65" w:rsidRPr="009E3CA8">
              <w:rPr>
                <w:rFonts w:ascii="Times New Roman" w:hAnsi="Times New Roman" w:cs="Times New Roman"/>
                <w:sz w:val="24"/>
                <w:szCs w:val="24"/>
              </w:rPr>
              <w:t>likviditātes risks;</w:t>
            </w:r>
          </w:p>
          <w:p w14:paraId="4347D5AF" w14:textId="2E5FE575" w:rsidR="00C55B65" w:rsidRPr="009E3CA8" w:rsidRDefault="009E3CA8" w:rsidP="009E3CA8">
            <w:pPr>
              <w:spacing w:after="0"/>
              <w:jc w:val="both"/>
              <w:rPr>
                <w:rFonts w:ascii="Times New Roman" w:hAnsi="Times New Roman" w:cs="Times New Roman"/>
                <w:sz w:val="24"/>
                <w:szCs w:val="24"/>
              </w:rPr>
            </w:pPr>
            <w:r>
              <w:rPr>
                <w:rFonts w:ascii="Times New Roman" w:hAnsi="Times New Roman" w:cs="Times New Roman"/>
                <w:sz w:val="24"/>
                <w:szCs w:val="24"/>
              </w:rPr>
              <w:t>21.4. </w:t>
            </w:r>
            <w:r w:rsidR="00C55B65" w:rsidRPr="009E3CA8">
              <w:rPr>
                <w:rFonts w:ascii="Times New Roman" w:hAnsi="Times New Roman" w:cs="Times New Roman"/>
                <w:sz w:val="24"/>
                <w:szCs w:val="24"/>
              </w:rPr>
              <w:t>operacionālais risks;</w:t>
            </w:r>
          </w:p>
          <w:p w14:paraId="35DD7DB5" w14:textId="408B44A3" w:rsidR="00C55B65" w:rsidRPr="009E3CA8" w:rsidRDefault="009E3CA8" w:rsidP="009E3CA8">
            <w:pPr>
              <w:spacing w:after="0"/>
              <w:jc w:val="both"/>
              <w:rPr>
                <w:rFonts w:ascii="Times New Roman" w:hAnsi="Times New Roman" w:cs="Times New Roman"/>
                <w:sz w:val="24"/>
                <w:szCs w:val="24"/>
              </w:rPr>
            </w:pPr>
            <w:r>
              <w:rPr>
                <w:rFonts w:ascii="Times New Roman" w:hAnsi="Times New Roman" w:cs="Times New Roman"/>
                <w:sz w:val="24"/>
                <w:szCs w:val="24"/>
              </w:rPr>
              <w:t>21.5. </w:t>
            </w:r>
            <w:r w:rsidR="00C55B65" w:rsidRPr="009E3CA8">
              <w:rPr>
                <w:rFonts w:ascii="Times New Roman" w:hAnsi="Times New Roman" w:cs="Times New Roman"/>
                <w:sz w:val="24"/>
                <w:szCs w:val="24"/>
              </w:rPr>
              <w:t>darbības atbilstības risks, tai skaitā noziedzīgi iegūtu līdzekļu legalizācijas un terorisma un proliferācijas finansēšanas risks un sankciju risks.</w:t>
            </w:r>
          </w:p>
          <w:p w14:paraId="0D2C4826" w14:textId="254D5D64" w:rsidR="00C55B65" w:rsidRPr="00594249" w:rsidRDefault="009E3CA8" w:rsidP="009E3CA8">
            <w:pPr>
              <w:pStyle w:val="NApunkts1"/>
              <w:numPr>
                <w:ilvl w:val="0"/>
                <w:numId w:val="0"/>
              </w:numPr>
            </w:pPr>
            <w:bookmarkStart w:id="5" w:name="_Ref200552546"/>
            <w:r>
              <w:t>22. </w:t>
            </w:r>
            <w:r w:rsidR="00C55B65" w:rsidRPr="00594249">
              <w:t>Nozīmīga sabiedrība izstrādā politikas un procedūras, kurās nosaka atbilstošus kvantitatīvos un kvalitatīvos kritērijus, un atbilstoši sabiedrības darbības specifikai un veidam regulāri papildus izvērtē šādu risku būtiskumu:</w:t>
            </w:r>
            <w:bookmarkEnd w:id="5"/>
          </w:p>
          <w:p w14:paraId="76D8808A" w14:textId="49303E28" w:rsidR="00C55B65" w:rsidRPr="00594249" w:rsidRDefault="009E3CA8" w:rsidP="009E3CA8">
            <w:pPr>
              <w:pStyle w:val="NApunkts2"/>
              <w:numPr>
                <w:ilvl w:val="0"/>
                <w:numId w:val="0"/>
              </w:numPr>
            </w:pPr>
            <w:r>
              <w:t>22.1. </w:t>
            </w:r>
            <w:r w:rsidR="00C55B65" w:rsidRPr="00594249">
              <w:t>informācijas un komunikācijas tehnoloģiju risks;</w:t>
            </w:r>
          </w:p>
          <w:p w14:paraId="6AC82AD0" w14:textId="0D8050DA" w:rsidR="00C55B65" w:rsidRPr="00594249" w:rsidRDefault="009E3CA8" w:rsidP="009E3CA8">
            <w:pPr>
              <w:pStyle w:val="NApunkts2"/>
              <w:numPr>
                <w:ilvl w:val="0"/>
                <w:numId w:val="0"/>
              </w:numPr>
            </w:pPr>
            <w:r>
              <w:t>22.2. </w:t>
            </w:r>
            <w:r w:rsidR="00C55B65" w:rsidRPr="00594249">
              <w:t>ar maksājumiem saistītas krāpšanas risks;</w:t>
            </w:r>
          </w:p>
          <w:p w14:paraId="1C1F50FF" w14:textId="2CCBE259" w:rsidR="00C55B65" w:rsidRPr="00594249" w:rsidRDefault="009E3CA8" w:rsidP="009E3CA8">
            <w:pPr>
              <w:pStyle w:val="NApunkts2"/>
              <w:numPr>
                <w:ilvl w:val="0"/>
                <w:numId w:val="0"/>
              </w:numPr>
            </w:pPr>
            <w:r>
              <w:t>22.3. </w:t>
            </w:r>
            <w:r w:rsidR="00C55B65" w:rsidRPr="00594249">
              <w:t>pārējie sabiedrības darbību ietekmējošie riski (piemēram, stratēģijas risks, reputācijas risks, procentu likmju risks, valsts risks, valūtas risks, ar ārpakalpojumu izmantošanu saistītais risks, ja sabiedrība izmanto šādus pakalpojumus).</w:t>
            </w:r>
          </w:p>
          <w:p w14:paraId="7872FB9C" w14:textId="7313DDB2" w:rsidR="00C55B65" w:rsidRPr="00594249" w:rsidRDefault="009E3CA8" w:rsidP="009E3CA8">
            <w:pPr>
              <w:pStyle w:val="NApunkts1"/>
              <w:numPr>
                <w:ilvl w:val="0"/>
                <w:numId w:val="0"/>
              </w:numPr>
            </w:pPr>
            <w:bookmarkStart w:id="6" w:name="_Ref203139981"/>
            <w:r>
              <w:t>23. </w:t>
            </w:r>
            <w:r w:rsidR="00C55B65" w:rsidRPr="00594249">
              <w:t>Nozīmīga sabiedrība nodrošina, ka tās darbībai būtisko risku novērtējuma pamatojuma rezultāti un secinājumi ir dokumentēti.</w:t>
            </w:r>
            <w:bookmarkEnd w:id="6"/>
          </w:p>
          <w:p w14:paraId="6E2B799E" w14:textId="338C6452" w:rsidR="00C55B65" w:rsidRPr="00594249" w:rsidRDefault="00D32063" w:rsidP="00D32063">
            <w:pPr>
              <w:pStyle w:val="NApunkts1"/>
              <w:numPr>
                <w:ilvl w:val="0"/>
                <w:numId w:val="0"/>
              </w:numPr>
              <w:ind w:left="29"/>
            </w:pPr>
            <w:r>
              <w:t>24. </w:t>
            </w:r>
            <w:r w:rsidR="00C55B65" w:rsidRPr="00594249">
              <w:t xml:space="preserve">Mazāk nozīmīga sabiedrība šo noteikumu </w:t>
            </w:r>
            <w:r w:rsidR="00C55B65" w:rsidRPr="00594249">
              <w:fldChar w:fldCharType="begin"/>
            </w:r>
            <w:r w:rsidR="00C55B65" w:rsidRPr="00594249">
              <w:instrText xml:space="preserve"> REF _Ref200552546 \r \h </w:instrText>
            </w:r>
            <w:r w:rsidR="00594249" w:rsidRPr="00594249">
              <w:instrText xml:space="preserve"> \* MERGEFORMAT </w:instrText>
            </w:r>
            <w:r w:rsidR="00C55B65" w:rsidRPr="00594249">
              <w:fldChar w:fldCharType="separate"/>
            </w:r>
            <w:r w:rsidR="00C55B65" w:rsidRPr="00594249">
              <w:fldChar w:fldCharType="end"/>
            </w:r>
            <w:r w:rsidR="00C55B65" w:rsidRPr="00594249">
              <w:fldChar w:fldCharType="begin"/>
            </w:r>
            <w:r w:rsidR="00C55B65" w:rsidRPr="00594249">
              <w:instrText xml:space="preserve"> REF _Ref200552546 \r \h </w:instrText>
            </w:r>
            <w:r w:rsidR="00594249" w:rsidRPr="00594249">
              <w:instrText xml:space="preserve"> \* MERGEFORMAT </w:instrText>
            </w:r>
            <w:r w:rsidR="00C55B65" w:rsidRPr="00594249">
              <w:fldChar w:fldCharType="separate"/>
            </w:r>
            <w:r w:rsidR="00C55B65" w:rsidRPr="00594249">
              <w:t>22</w:t>
            </w:r>
            <w:r w:rsidR="00C55B65" w:rsidRPr="00594249">
              <w:fldChar w:fldCharType="end"/>
            </w:r>
            <w:r w:rsidR="00C55B65" w:rsidRPr="00594249">
              <w:t>. punktā minētās politikas un procedūras izstrādā un tajā minēto risku būtiskumu atbilstoši sabiedrības darbības un sniegto pakalpojumu specifikai papildus izvērtē pēc nepieciešamības un tās darbībai būtisko risku novērtējuma pamatojuma rezultātus un secinājumus dokumentē.</w:t>
            </w:r>
          </w:p>
          <w:p w14:paraId="14E59C9C" w14:textId="3F856A72" w:rsidR="00C55B65" w:rsidRPr="00594249" w:rsidRDefault="00D32063" w:rsidP="00D32063">
            <w:pPr>
              <w:pStyle w:val="NApunkts1"/>
              <w:numPr>
                <w:ilvl w:val="0"/>
                <w:numId w:val="0"/>
              </w:numPr>
            </w:pPr>
            <w:r>
              <w:t>25. </w:t>
            </w:r>
            <w:r w:rsidR="00C55B65" w:rsidRPr="00594249">
              <w:t>Sabiedrība nodrošina noziedzīgi iegūtu līdzekļu legalizācijas un terorisma un proliferācijas finansēšanas riska un sankciju riska integrēšanu sabiedrības risku pārvaldības sistēmā, kā arī nodrošina to pārvaldīšanu atbilstoši Noziedzīgi iegūtu līdzekļu legalizācijas un terorisma un proliferācijas finansēšanas novēršanas likumā un Starptautisko un Latvijas Republikas nacionālo sankciju likumā, kā arī normatīvajos aktos, kas nosaka sankciju riska pārvaldīšanu, noteiktajām prasībām.</w:t>
            </w:r>
          </w:p>
          <w:p w14:paraId="28597D1C" w14:textId="77777777" w:rsidR="00D32063" w:rsidRDefault="00D32063" w:rsidP="00D32063">
            <w:pPr>
              <w:pStyle w:val="NApunkts1"/>
              <w:numPr>
                <w:ilvl w:val="0"/>
                <w:numId w:val="0"/>
              </w:numPr>
              <w:ind w:left="29"/>
            </w:pPr>
            <w:r>
              <w:t>26. </w:t>
            </w:r>
            <w:r w:rsidR="00C55B65" w:rsidRPr="00594249">
              <w:t>Riskiem, kuri ir sabiedrības darbībai būtiski un kurus sabiedrība papildus identificējusi kā tās darbībai būtiskus, sabiedrība izstrādā, dokumentē un īsteno atbilstošas risku pārvaldīšanas politikas un kontroles procedūras, kurās nosaka:</w:t>
            </w:r>
          </w:p>
          <w:p w14:paraId="2414B268" w14:textId="03723A94" w:rsidR="00C55B65" w:rsidRPr="00594249" w:rsidRDefault="00D32063" w:rsidP="00D32063">
            <w:pPr>
              <w:pStyle w:val="NApunkts1"/>
              <w:numPr>
                <w:ilvl w:val="0"/>
                <w:numId w:val="0"/>
              </w:numPr>
              <w:ind w:left="29"/>
            </w:pPr>
            <w:r>
              <w:t>26.1. </w:t>
            </w:r>
            <w:r w:rsidR="00C55B65" w:rsidRPr="00594249">
              <w:t>risku novērtēšanas (kvantitatīvi nenosakāmiem riskiem, piemēram, reputācijas riskam, stratēģijas riskam) un mērīšanas (riskiem, kurus iespējams kvantitatīvi izmērīt, piemēram, kredītriskam) metodes un regularitāti;</w:t>
            </w:r>
          </w:p>
          <w:p w14:paraId="490D1247" w14:textId="3652C972" w:rsidR="00C55B65" w:rsidRPr="00594249" w:rsidRDefault="00D32063" w:rsidP="00D32063">
            <w:pPr>
              <w:pStyle w:val="NApunkts2"/>
              <w:numPr>
                <w:ilvl w:val="0"/>
                <w:numId w:val="0"/>
              </w:numPr>
            </w:pPr>
            <w:r>
              <w:t>26.2. </w:t>
            </w:r>
            <w:r w:rsidR="00C55B65" w:rsidRPr="00594249">
              <w:t>piemērotas risku kontroles procedūras, maksimāli pieļaujamā risku apmēra ierobežojumus vai limitus, risku ierobežošanas metodes, lai mazinātu kvantitatīvi nenosakāmus riskus, kā arī atbilstošus ierobežojumus pirms iesaistīšanās jaunu darījumu veikšanā;</w:t>
            </w:r>
          </w:p>
          <w:p w14:paraId="1583071C" w14:textId="40EB3CA9" w:rsidR="00C55B65" w:rsidRPr="00594249" w:rsidRDefault="00D32063" w:rsidP="00D32063">
            <w:pPr>
              <w:pStyle w:val="NApunkts2"/>
              <w:numPr>
                <w:ilvl w:val="0"/>
                <w:numId w:val="0"/>
              </w:numPr>
            </w:pPr>
            <w:r>
              <w:t>26.3. </w:t>
            </w:r>
            <w:r w:rsidR="00C55B65" w:rsidRPr="00594249">
              <w:t>kārtību, kādā sabiedrības vadība regulāri saņem informāciju par sabiedrības darbībai piemītošajiem riskiem, to apmēru un tendencēm, risku ietekmi uz sabiedrības kapitāla apmēru, kā arī citu lēmumu pieņemšanai nepieciešamo informāciju;</w:t>
            </w:r>
          </w:p>
          <w:p w14:paraId="5EB4846D" w14:textId="7C9E4155" w:rsidR="00C55B65" w:rsidRPr="00594249" w:rsidRDefault="00D32063" w:rsidP="00D32063">
            <w:pPr>
              <w:pStyle w:val="NApunkts2"/>
              <w:numPr>
                <w:ilvl w:val="0"/>
                <w:numId w:val="0"/>
              </w:numPr>
            </w:pPr>
            <w:r>
              <w:t>26.4. </w:t>
            </w:r>
            <w:r w:rsidR="00C55B65" w:rsidRPr="00594249">
              <w:t>risku pārvaldīšanas politiku un procedūru ievērošanas regulāru pārraudzīšanu un jebkuru noteikto ierobežojumu vai limitu ievērošanas kontroli;</w:t>
            </w:r>
          </w:p>
          <w:p w14:paraId="74BBB6B6" w14:textId="77777777" w:rsidR="00D32063" w:rsidRDefault="00D32063" w:rsidP="00D32063">
            <w:pPr>
              <w:pStyle w:val="NApunkts2"/>
              <w:numPr>
                <w:ilvl w:val="0"/>
                <w:numId w:val="0"/>
              </w:numPr>
            </w:pPr>
            <w:r>
              <w:t>26.5. </w:t>
            </w:r>
            <w:r w:rsidR="00C55B65" w:rsidRPr="00594249">
              <w:t>pienākumu, pilnvaru un atbildības sadalījumu risku pārvaldīšanā.</w:t>
            </w:r>
          </w:p>
          <w:p w14:paraId="6B22C058" w14:textId="68DF0771" w:rsidR="00C55B65" w:rsidRPr="00594249" w:rsidRDefault="00D32063" w:rsidP="00D32063">
            <w:pPr>
              <w:pStyle w:val="NApunkts2"/>
              <w:numPr>
                <w:ilvl w:val="0"/>
                <w:numId w:val="0"/>
              </w:numPr>
              <w:spacing w:before="240"/>
            </w:pPr>
            <w:r>
              <w:t>27. </w:t>
            </w:r>
            <w:r w:rsidR="00C55B65" w:rsidRPr="00594249">
              <w:t xml:space="preserve">Sabiedrība atbilstoši pārmaiņām sabiedrības darbībā un tās darbību ietekmējošajos ārējos apstākļos regulāri pārskata un pilnveido risku identificēšanas un pārvaldīšanas jomā ieviestās politikas un procedūras, izvērtējot to atbilstību, efektivitāti un piemērotību sabiedrības darbībai. </w:t>
            </w:r>
          </w:p>
          <w:p w14:paraId="2F39D460" w14:textId="12894DAD" w:rsidR="00C55B65" w:rsidRPr="00594249" w:rsidRDefault="00D32063" w:rsidP="00D32063">
            <w:pPr>
              <w:pStyle w:val="NApunkts1"/>
              <w:numPr>
                <w:ilvl w:val="0"/>
                <w:numId w:val="0"/>
              </w:numPr>
            </w:pPr>
            <w:r>
              <w:t>28. </w:t>
            </w:r>
            <w:r w:rsidR="00C55B65" w:rsidRPr="00594249">
              <w:t xml:space="preserve">Sabiedrība izstrādā un dokumentē jauna finanšu pakalpojuma definīciju un aprakstu vai definīciju, kas klasificē būtiskas izmaiņas esošo finanšu pakalpojumu sniegšanas kārtībā. </w:t>
            </w:r>
          </w:p>
          <w:p w14:paraId="589529A3" w14:textId="5163594D" w:rsidR="00C55B65" w:rsidRPr="00594249" w:rsidRDefault="00D32063" w:rsidP="00D32063">
            <w:pPr>
              <w:pStyle w:val="NApunkts1"/>
              <w:numPr>
                <w:ilvl w:val="0"/>
                <w:numId w:val="0"/>
              </w:numPr>
            </w:pPr>
            <w:r>
              <w:t>29. </w:t>
            </w:r>
            <w:r w:rsidR="00C55B65" w:rsidRPr="00594249">
              <w:t xml:space="preserve">Gadījumos, kad sabiedrība plāno ieviest jaunu finanšu pakalpojumu vai veic būtiskas izmaiņas esošo finanšu pakalpojumu sniegšanas kārtībā, tā </w:t>
            </w:r>
            <w:bookmarkStart w:id="7" w:name="_Ref203137786"/>
            <w:bookmarkStart w:id="8" w:name="_Ref200555826"/>
            <w:r w:rsidR="00C55B65" w:rsidRPr="00594249">
              <w:t>izstrādā, dokumentē un īsteno jaunu finanšu pakalpojumu ieviešanas politiku vai procedūru, kurā nosaka:</w:t>
            </w:r>
            <w:bookmarkEnd w:id="7"/>
          </w:p>
          <w:p w14:paraId="6D6B25FB" w14:textId="19085B17" w:rsidR="00C55B65" w:rsidRPr="00594249" w:rsidRDefault="00D32063" w:rsidP="00D32063">
            <w:pPr>
              <w:pStyle w:val="NApunkts2"/>
              <w:numPr>
                <w:ilvl w:val="0"/>
                <w:numId w:val="0"/>
              </w:numPr>
            </w:pPr>
            <w:r>
              <w:t>29.1. </w:t>
            </w:r>
            <w:r w:rsidR="00C55B65" w:rsidRPr="00594249">
              <w:t>kārtību un prasības, kas jāievēro, ieviešot jaunus finanšu pakalpojumus, sākot piedāvāt esošos finanšu pakalpojumus jauniem tirgus segmentiem (jauniem biedriem) vai veicot būtiskas izmaiņas esošo finanšu pakalpojumu sniegšanas kārtībā;</w:t>
            </w:r>
            <w:bookmarkEnd w:id="8"/>
            <w:r w:rsidR="00C55B65" w:rsidRPr="00594249">
              <w:t xml:space="preserve"> </w:t>
            </w:r>
          </w:p>
          <w:p w14:paraId="429D113C" w14:textId="152E33EB" w:rsidR="00C55B65" w:rsidRPr="00594249" w:rsidRDefault="00D32063" w:rsidP="00D32063">
            <w:pPr>
              <w:pStyle w:val="NApunkts2"/>
              <w:numPr>
                <w:ilvl w:val="0"/>
                <w:numId w:val="0"/>
              </w:numPr>
            </w:pPr>
            <w:r>
              <w:t>29.2. </w:t>
            </w:r>
            <w:r w:rsidR="00C55B65" w:rsidRPr="00594249">
              <w:t>jauno finanšu pakalpojumu atbilstību sabiedrības risku stratēģijai vai darbības plānam un ietekmi uz sabiedrības kopējo riska profilu;</w:t>
            </w:r>
          </w:p>
          <w:p w14:paraId="1EAAF8CD" w14:textId="7387C20E" w:rsidR="00C55B65" w:rsidRPr="00594249" w:rsidRDefault="00D32063" w:rsidP="00D32063">
            <w:pPr>
              <w:pStyle w:val="NApunkts2"/>
              <w:numPr>
                <w:ilvl w:val="0"/>
                <w:numId w:val="0"/>
              </w:numPr>
            </w:pPr>
            <w:r>
              <w:t>29.3. </w:t>
            </w:r>
            <w:r w:rsidR="00C55B65" w:rsidRPr="00594249">
              <w:t>sabiedrības vadības un darbinieku sagatavotības līmeņa (tai skaitā zināšanu un prasmju) novērtējumu;</w:t>
            </w:r>
          </w:p>
          <w:p w14:paraId="20178753" w14:textId="6C1FD730" w:rsidR="00C55B65" w:rsidRPr="00594249" w:rsidRDefault="00D32063" w:rsidP="00D32063">
            <w:pPr>
              <w:pStyle w:val="NApunkts2"/>
              <w:numPr>
                <w:ilvl w:val="0"/>
                <w:numId w:val="0"/>
              </w:numPr>
            </w:pPr>
            <w:r>
              <w:t>29.4. </w:t>
            </w:r>
            <w:r w:rsidR="00C55B65" w:rsidRPr="00594249">
              <w:t>sabiedrībai pieejamo resursu (tai skaitā to pietiekamības un atbilstības) jaunu finanšu pakalpojumu ieviešanai novērtējumu;</w:t>
            </w:r>
          </w:p>
          <w:p w14:paraId="41AF2D21" w14:textId="662F619C" w:rsidR="00C55B65" w:rsidRPr="00594249" w:rsidRDefault="00D32063" w:rsidP="00D32063">
            <w:pPr>
              <w:pStyle w:val="NApunkts2"/>
              <w:numPr>
                <w:ilvl w:val="0"/>
                <w:numId w:val="0"/>
              </w:numPr>
            </w:pPr>
            <w:r>
              <w:t>29.5. </w:t>
            </w:r>
            <w:r w:rsidR="00C55B65" w:rsidRPr="00594249">
              <w:t>sabiedrības spēju ievērot atbilstības likumus, noteikumus un standartus, ieviešot jaunus finanšu pakalpojumus.</w:t>
            </w:r>
          </w:p>
        </w:tc>
        <w:tc>
          <w:tcPr>
            <w:tcW w:w="4820" w:type="dxa"/>
            <w:tcBorders>
              <w:top w:val="single" w:sz="4" w:space="0" w:color="auto"/>
              <w:left w:val="single" w:sz="4" w:space="0" w:color="auto"/>
              <w:bottom w:val="single" w:sz="4" w:space="0" w:color="auto"/>
              <w:right w:val="single" w:sz="4" w:space="0" w:color="auto"/>
            </w:tcBorders>
          </w:tcPr>
          <w:p w14:paraId="78632ABE" w14:textId="77777777" w:rsidR="00C55B65" w:rsidRPr="00594249" w:rsidRDefault="00C55B65" w:rsidP="00594249">
            <w:pPr>
              <w:pStyle w:val="Standard"/>
              <w:rPr>
                <w:rFonts w:cs="Times New Roman"/>
                <w:b/>
                <w:bCs/>
                <w:lang w:val="lv-LV"/>
              </w:rPr>
            </w:pPr>
            <w:r w:rsidRPr="00594249">
              <w:rPr>
                <w:rFonts w:cs="Times New Roman"/>
                <w:b/>
                <w:bCs/>
                <w:lang w:val="lv-LV"/>
              </w:rPr>
              <w:t>Krājaizdevu Apvienība:</w:t>
            </w:r>
          </w:p>
          <w:p w14:paraId="0F6BC079" w14:textId="77777777" w:rsidR="00C55B65" w:rsidRPr="00594249" w:rsidRDefault="00C55B65" w:rsidP="00594249">
            <w:pPr>
              <w:pStyle w:val="Standard"/>
              <w:spacing w:before="240"/>
              <w:rPr>
                <w:rFonts w:cs="Times New Roman"/>
                <w:b/>
                <w:bCs/>
                <w:lang w:val="lv-LV"/>
              </w:rPr>
            </w:pPr>
            <w:r w:rsidRPr="00594249">
              <w:rPr>
                <w:rFonts w:cs="Times New Roman"/>
                <w:b/>
                <w:bCs/>
                <w:lang w:val="lv-LV"/>
              </w:rPr>
              <w:t>Sabiedrības darbības risku pārvaldīšana</w:t>
            </w:r>
          </w:p>
          <w:p w14:paraId="33C3A8C4" w14:textId="3DBCF6E9" w:rsidR="00C55B65" w:rsidRPr="00594249" w:rsidRDefault="00C55B65" w:rsidP="00594249">
            <w:pPr>
              <w:pStyle w:val="Standard"/>
              <w:jc w:val="both"/>
              <w:rPr>
                <w:rFonts w:cs="Times New Roman"/>
                <w:lang w:val="lv-LV"/>
              </w:rPr>
            </w:pPr>
            <w:r w:rsidRPr="00594249">
              <w:rPr>
                <w:rFonts w:cs="Times New Roman"/>
                <w:lang w:val="lv-LV"/>
              </w:rPr>
              <w:t>Lietuva un Igaunija, vadoties no Eiropas valstu pieredzes, jau atteikušās no prasības noteikt minimālā paju kapitāla lielumu. Kapitāls, kuru drīkst palielināt un samazināt bez kopsapulces lēmuma, vienojoties dažām personām, nekad risku kontrolē nespēs konkurēt ar kapitālu, kura</w:t>
            </w:r>
            <w:r w:rsidR="006A2061">
              <w:rPr>
                <w:rFonts w:cs="Times New Roman"/>
                <w:lang w:val="lv-LV"/>
              </w:rPr>
              <w:t xml:space="preserve"> </w:t>
            </w:r>
            <w:r w:rsidRPr="00594249">
              <w:rPr>
                <w:rFonts w:cs="Times New Roman"/>
                <w:lang w:val="lv-LV"/>
              </w:rPr>
              <w:t>samazināšanai nepieciešams kopsapulces lēmums un statūtu regulējums.</w:t>
            </w:r>
          </w:p>
          <w:p w14:paraId="742E33A1" w14:textId="77777777" w:rsidR="00C55B65" w:rsidRPr="00594249" w:rsidRDefault="00C55B65" w:rsidP="00594249">
            <w:pPr>
              <w:pStyle w:val="Standard"/>
              <w:jc w:val="both"/>
              <w:rPr>
                <w:rFonts w:cs="Times New Roman"/>
                <w:lang w:val="lv-LV"/>
              </w:rPr>
            </w:pPr>
            <w:r w:rsidRPr="00594249">
              <w:rPr>
                <w:rFonts w:cs="Times New Roman"/>
                <w:lang w:val="lv-LV"/>
              </w:rPr>
              <w:t>Eiropas Regulas ļauj komercsabiedrībām no rezerves kapitāla finansēt daļu iegādi, bet tas ir aizliegts kooperatīvajām sabiedrībām t.sk. KKS.</w:t>
            </w:r>
          </w:p>
          <w:p w14:paraId="2B7F8BD2" w14:textId="77777777" w:rsidR="00C55B65" w:rsidRPr="00594249" w:rsidRDefault="00C55B65" w:rsidP="00594249">
            <w:pPr>
              <w:pStyle w:val="Standard"/>
              <w:jc w:val="both"/>
              <w:rPr>
                <w:rFonts w:cs="Times New Roman"/>
                <w:lang w:val="lv-LV"/>
              </w:rPr>
            </w:pPr>
            <w:r w:rsidRPr="00594249">
              <w:rPr>
                <w:rFonts w:cs="Times New Roman"/>
                <w:lang w:val="lv-LV"/>
              </w:rPr>
              <w:t>Ļaujot KKS kapitāla veidošanu un izmantošanu regulēt ārpus statūtiem, LB palielina gan likviditātes, gan riska darījumu koncentrācijas, gan operacionālos, gan darbības atbilstības riskus.</w:t>
            </w:r>
          </w:p>
          <w:p w14:paraId="5723B328" w14:textId="77777777" w:rsidR="00C55B65" w:rsidRPr="00594249" w:rsidRDefault="00C55B65" w:rsidP="00594249">
            <w:pPr>
              <w:pStyle w:val="Standard"/>
              <w:jc w:val="both"/>
              <w:rPr>
                <w:rFonts w:cs="Times New Roman"/>
                <w:lang w:val="lv-LV"/>
              </w:rPr>
            </w:pPr>
            <w:r w:rsidRPr="00594249">
              <w:rPr>
                <w:rFonts w:cs="Times New Roman"/>
                <w:lang w:val="lv-LV"/>
              </w:rPr>
              <w:t>LB paļaušanās tikai uz valdes godaprātu, nav attaisnojusies un negatīvi ietekmējusi KKS attīstību kopumā.</w:t>
            </w:r>
          </w:p>
          <w:p w14:paraId="0F9CE465" w14:textId="77777777" w:rsidR="00C55B65" w:rsidRPr="00594249" w:rsidRDefault="00C55B65" w:rsidP="00594249">
            <w:pPr>
              <w:pStyle w:val="Standard"/>
              <w:rPr>
                <w:rFonts w:cs="Times New Roman"/>
                <w:lang w:val="lv-LV"/>
              </w:rPr>
            </w:pPr>
          </w:p>
        </w:tc>
        <w:tc>
          <w:tcPr>
            <w:tcW w:w="4401" w:type="dxa"/>
            <w:tcBorders>
              <w:top w:val="single" w:sz="4" w:space="0" w:color="auto"/>
              <w:left w:val="single" w:sz="4" w:space="0" w:color="auto"/>
              <w:bottom w:val="single" w:sz="4" w:space="0" w:color="auto"/>
              <w:right w:val="single" w:sz="4" w:space="0" w:color="auto"/>
            </w:tcBorders>
          </w:tcPr>
          <w:p w14:paraId="10F2A886" w14:textId="77777777" w:rsidR="00C55B65" w:rsidRPr="00594249" w:rsidRDefault="00C55B65" w:rsidP="00594249">
            <w:pPr>
              <w:spacing w:line="240" w:lineRule="auto"/>
              <w:rPr>
                <w:rFonts w:ascii="Times New Roman" w:hAnsi="Times New Roman" w:cs="Times New Roman"/>
                <w:b/>
                <w:bCs/>
                <w:iCs/>
                <w:sz w:val="24"/>
                <w:szCs w:val="24"/>
              </w:rPr>
            </w:pPr>
            <w:r w:rsidRPr="00594249">
              <w:rPr>
                <w:rFonts w:ascii="Times New Roman" w:hAnsi="Times New Roman" w:cs="Times New Roman"/>
                <w:b/>
                <w:bCs/>
                <w:iCs/>
                <w:sz w:val="24"/>
                <w:szCs w:val="24"/>
              </w:rPr>
              <w:t>Nav ņemts vērā.</w:t>
            </w:r>
          </w:p>
          <w:p w14:paraId="4837C823" w14:textId="3A9FBA6B" w:rsidR="00C55B65" w:rsidRPr="00594249" w:rsidRDefault="00C55B65" w:rsidP="00594249">
            <w:pPr>
              <w:spacing w:before="240" w:line="240" w:lineRule="auto"/>
              <w:rPr>
                <w:rFonts w:ascii="Times New Roman" w:hAnsi="Times New Roman" w:cs="Times New Roman"/>
                <w:b/>
                <w:bCs/>
                <w:iCs/>
                <w:sz w:val="24"/>
                <w:szCs w:val="24"/>
              </w:rPr>
            </w:pPr>
            <w:r w:rsidRPr="00594249">
              <w:rPr>
                <w:rFonts w:ascii="Times New Roman" w:hAnsi="Times New Roman" w:cs="Times New Roman"/>
                <w:iCs/>
                <w:sz w:val="24"/>
                <w:szCs w:val="24"/>
              </w:rPr>
              <w:t>Lū</w:t>
            </w:r>
            <w:r w:rsidR="00EE45C2">
              <w:rPr>
                <w:rFonts w:ascii="Times New Roman" w:hAnsi="Times New Roman" w:cs="Times New Roman"/>
                <w:iCs/>
                <w:sz w:val="24"/>
                <w:szCs w:val="24"/>
              </w:rPr>
              <w:t>dzam</w:t>
            </w:r>
            <w:r w:rsidRPr="00594249">
              <w:rPr>
                <w:rFonts w:ascii="Times New Roman" w:hAnsi="Times New Roman" w:cs="Times New Roman"/>
                <w:iCs/>
                <w:sz w:val="24"/>
                <w:szCs w:val="24"/>
              </w:rPr>
              <w:t xml:space="preserve"> skatīt skaidrojumu, kas sniegts </w:t>
            </w:r>
            <w:r w:rsidR="00EE45C2">
              <w:rPr>
                <w:rFonts w:ascii="Times New Roman" w:hAnsi="Times New Roman" w:cs="Times New Roman"/>
                <w:iCs/>
                <w:sz w:val="24"/>
                <w:szCs w:val="24"/>
              </w:rPr>
              <w:t>par</w:t>
            </w:r>
            <w:r w:rsidRPr="00594249">
              <w:rPr>
                <w:rFonts w:ascii="Times New Roman" w:hAnsi="Times New Roman" w:cs="Times New Roman"/>
                <w:iCs/>
                <w:sz w:val="24"/>
                <w:szCs w:val="24"/>
              </w:rPr>
              <w:t xml:space="preserve"> komentāru Nr. 1 un Nr.</w:t>
            </w:r>
            <w:r w:rsidR="006A2061">
              <w:rPr>
                <w:rFonts w:ascii="Times New Roman" w:hAnsi="Times New Roman" w:cs="Times New Roman"/>
                <w:iCs/>
                <w:sz w:val="24"/>
                <w:szCs w:val="24"/>
              </w:rPr>
              <w:t> </w:t>
            </w:r>
            <w:r w:rsidRPr="00594249">
              <w:rPr>
                <w:rFonts w:ascii="Times New Roman" w:hAnsi="Times New Roman" w:cs="Times New Roman"/>
                <w:iCs/>
                <w:sz w:val="24"/>
                <w:szCs w:val="24"/>
              </w:rPr>
              <w:t>5.</w:t>
            </w:r>
          </w:p>
        </w:tc>
      </w:tr>
    </w:tbl>
    <w:p w14:paraId="3CBE41FB" w14:textId="77777777" w:rsidR="00C55B65" w:rsidRPr="00B11BB5" w:rsidRDefault="00C55B65" w:rsidP="00C55B65"/>
    <w:p w14:paraId="6E718083" w14:textId="77777777" w:rsidR="00CA3502" w:rsidRDefault="00CA3502" w:rsidP="00175148">
      <w:pPr>
        <w:spacing w:after="0" w:line="240" w:lineRule="auto"/>
        <w:rPr>
          <w:rFonts w:ascii="Times New Roman" w:hAnsi="Times New Roman" w:cs="Times New Roman"/>
          <w:sz w:val="24"/>
          <w:szCs w:val="24"/>
        </w:rPr>
      </w:pPr>
    </w:p>
    <w:sectPr w:rsidR="00CA3502" w:rsidSect="00C55B65">
      <w:pgSz w:w="16838" w:h="11906" w:orient="landscape"/>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7F8BE" w14:textId="77777777" w:rsidR="00F90B0A" w:rsidRDefault="00F90B0A" w:rsidP="009B27BE">
      <w:pPr>
        <w:spacing w:after="0" w:line="240" w:lineRule="auto"/>
      </w:pPr>
      <w:r>
        <w:separator/>
      </w:r>
    </w:p>
  </w:endnote>
  <w:endnote w:type="continuationSeparator" w:id="0">
    <w:p w14:paraId="3EB3F382" w14:textId="77777777" w:rsidR="00F90B0A" w:rsidRDefault="00F90B0A"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9A60A" w14:textId="77777777" w:rsidR="00F90B0A" w:rsidRDefault="00F90B0A" w:rsidP="009B27BE">
      <w:pPr>
        <w:spacing w:after="0" w:line="240" w:lineRule="auto"/>
      </w:pPr>
      <w:r>
        <w:separator/>
      </w:r>
    </w:p>
  </w:footnote>
  <w:footnote w:type="continuationSeparator" w:id="0">
    <w:p w14:paraId="6906A8F9" w14:textId="77777777" w:rsidR="00F90B0A" w:rsidRDefault="00F90B0A"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690C0DE2" w14:textId="03395BFA"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13BE6551"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F37E4"/>
    <w:multiLevelType w:val="hybridMultilevel"/>
    <w:tmpl w:val="CE1EE3AE"/>
    <w:lvl w:ilvl="0" w:tplc="AD588B34">
      <w:start w:val="1"/>
      <w:numFmt w:val="decimal"/>
      <w:lvlText w:val="%1)"/>
      <w:lvlJc w:val="left"/>
      <w:pPr>
        <w:ind w:left="458" w:hanging="360"/>
      </w:pPr>
      <w:rPr>
        <w:rFonts w:hint="default"/>
      </w:rPr>
    </w:lvl>
    <w:lvl w:ilvl="1" w:tplc="08090019" w:tentative="1">
      <w:start w:val="1"/>
      <w:numFmt w:val="lowerLetter"/>
      <w:lvlText w:val="%2."/>
      <w:lvlJc w:val="left"/>
      <w:pPr>
        <w:ind w:left="1178" w:hanging="360"/>
      </w:pPr>
    </w:lvl>
    <w:lvl w:ilvl="2" w:tplc="0809001B" w:tentative="1">
      <w:start w:val="1"/>
      <w:numFmt w:val="lowerRoman"/>
      <w:lvlText w:val="%3."/>
      <w:lvlJc w:val="right"/>
      <w:pPr>
        <w:ind w:left="1898" w:hanging="180"/>
      </w:pPr>
    </w:lvl>
    <w:lvl w:ilvl="3" w:tplc="0809000F" w:tentative="1">
      <w:start w:val="1"/>
      <w:numFmt w:val="decimal"/>
      <w:lvlText w:val="%4."/>
      <w:lvlJc w:val="left"/>
      <w:pPr>
        <w:ind w:left="2618" w:hanging="360"/>
      </w:pPr>
    </w:lvl>
    <w:lvl w:ilvl="4" w:tplc="08090019" w:tentative="1">
      <w:start w:val="1"/>
      <w:numFmt w:val="lowerLetter"/>
      <w:lvlText w:val="%5."/>
      <w:lvlJc w:val="left"/>
      <w:pPr>
        <w:ind w:left="3338" w:hanging="360"/>
      </w:pPr>
    </w:lvl>
    <w:lvl w:ilvl="5" w:tplc="0809001B" w:tentative="1">
      <w:start w:val="1"/>
      <w:numFmt w:val="lowerRoman"/>
      <w:lvlText w:val="%6."/>
      <w:lvlJc w:val="right"/>
      <w:pPr>
        <w:ind w:left="4058" w:hanging="180"/>
      </w:pPr>
    </w:lvl>
    <w:lvl w:ilvl="6" w:tplc="0809000F" w:tentative="1">
      <w:start w:val="1"/>
      <w:numFmt w:val="decimal"/>
      <w:lvlText w:val="%7."/>
      <w:lvlJc w:val="left"/>
      <w:pPr>
        <w:ind w:left="4778" w:hanging="360"/>
      </w:pPr>
    </w:lvl>
    <w:lvl w:ilvl="7" w:tplc="08090019" w:tentative="1">
      <w:start w:val="1"/>
      <w:numFmt w:val="lowerLetter"/>
      <w:lvlText w:val="%8."/>
      <w:lvlJc w:val="left"/>
      <w:pPr>
        <w:ind w:left="5498" w:hanging="360"/>
      </w:pPr>
    </w:lvl>
    <w:lvl w:ilvl="8" w:tplc="0809001B" w:tentative="1">
      <w:start w:val="1"/>
      <w:numFmt w:val="lowerRoman"/>
      <w:lvlText w:val="%9."/>
      <w:lvlJc w:val="right"/>
      <w:pPr>
        <w:ind w:left="6218" w:hanging="180"/>
      </w:pPr>
    </w:lvl>
  </w:abstractNum>
  <w:abstractNum w:abstractNumId="1" w15:restartNumberingAfterBreak="0">
    <w:nsid w:val="0AFB6360"/>
    <w:multiLevelType w:val="hybridMultilevel"/>
    <w:tmpl w:val="DBC830F2"/>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454D4A"/>
    <w:multiLevelType w:val="hybridMultilevel"/>
    <w:tmpl w:val="FE26B7D4"/>
    <w:lvl w:ilvl="0" w:tplc="79D68328">
      <w:start w:val="1"/>
      <w:numFmt w:val="decimal"/>
      <w:lvlText w:val="%1)"/>
      <w:lvlJc w:val="left"/>
      <w:pPr>
        <w:ind w:left="420" w:hanging="360"/>
      </w:pPr>
      <w:rPr>
        <w:rFonts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 w15:restartNumberingAfterBreak="0">
    <w:nsid w:val="21D46A8C"/>
    <w:multiLevelType w:val="hybridMultilevel"/>
    <w:tmpl w:val="0D64399E"/>
    <w:lvl w:ilvl="0" w:tplc="E5B4DC60">
      <w:start w:val="1"/>
      <w:numFmt w:val="upperRoman"/>
      <w:suff w:val="space"/>
      <w:lvlText w:val="%1."/>
      <w:lvlJc w:val="left"/>
      <w:pPr>
        <w:ind w:left="1701"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9516D7"/>
    <w:multiLevelType w:val="hybridMultilevel"/>
    <w:tmpl w:val="8648162E"/>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251B9E"/>
    <w:multiLevelType w:val="hybridMultilevel"/>
    <w:tmpl w:val="9BBCF174"/>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5E0F14"/>
    <w:multiLevelType w:val="multilevel"/>
    <w:tmpl w:val="0860CB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7E1251"/>
    <w:multiLevelType w:val="hybridMultilevel"/>
    <w:tmpl w:val="B11E3D92"/>
    <w:lvl w:ilvl="0" w:tplc="79D68328">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8" w15:restartNumberingAfterBreak="0">
    <w:nsid w:val="3172125A"/>
    <w:multiLevelType w:val="hybridMultilevel"/>
    <w:tmpl w:val="9A02AC08"/>
    <w:lvl w:ilvl="0" w:tplc="F8E4EFDE">
      <w:start w:val="23"/>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9" w15:restartNumberingAfterBreak="0">
    <w:nsid w:val="42AE56A5"/>
    <w:multiLevelType w:val="hybridMultilevel"/>
    <w:tmpl w:val="46C67DF8"/>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56C74D0"/>
    <w:multiLevelType w:val="hybridMultilevel"/>
    <w:tmpl w:val="560097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6DA5D8C"/>
    <w:multiLevelType w:val="multilevel"/>
    <w:tmpl w:val="D6F88384"/>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3BB7D32"/>
    <w:multiLevelType w:val="multilevel"/>
    <w:tmpl w:val="44887920"/>
    <w:lvl w:ilvl="0">
      <w:start w:val="1"/>
      <w:numFmt w:val="decimal"/>
      <w:pStyle w:val="NApunkts1"/>
      <w:lvlText w:val="%1."/>
      <w:lvlJc w:val="right"/>
      <w:pPr>
        <w:ind w:left="1069" w:hanging="360"/>
      </w:pPr>
      <w:rPr>
        <w:rFonts w:hint="default"/>
        <w:b/>
        <w:bCs/>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69B4D3A"/>
    <w:multiLevelType w:val="hybridMultilevel"/>
    <w:tmpl w:val="DD0250A6"/>
    <w:lvl w:ilvl="0" w:tplc="042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8AF7D10"/>
    <w:multiLevelType w:val="hybridMultilevel"/>
    <w:tmpl w:val="C1D6E556"/>
    <w:lvl w:ilvl="0" w:tplc="0426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0AE2FB7"/>
    <w:multiLevelType w:val="hybridMultilevel"/>
    <w:tmpl w:val="C02286B4"/>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8F07474"/>
    <w:multiLevelType w:val="hybridMultilevel"/>
    <w:tmpl w:val="BDC834FC"/>
    <w:lvl w:ilvl="0" w:tplc="0426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F210E1"/>
    <w:multiLevelType w:val="hybridMultilevel"/>
    <w:tmpl w:val="5BDA2842"/>
    <w:lvl w:ilvl="0" w:tplc="868E8046">
      <w:start w:val="24"/>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16cid:durableId="1957129373">
    <w:abstractNumId w:val="12"/>
  </w:num>
  <w:num w:numId="2" w16cid:durableId="1796287625">
    <w:abstractNumId w:val="10"/>
  </w:num>
  <w:num w:numId="3" w16cid:durableId="533620441">
    <w:abstractNumId w:val="14"/>
  </w:num>
  <w:num w:numId="4" w16cid:durableId="202908476">
    <w:abstractNumId w:val="1"/>
  </w:num>
  <w:num w:numId="5" w16cid:durableId="1261989382">
    <w:abstractNumId w:val="7"/>
  </w:num>
  <w:num w:numId="6" w16cid:durableId="452135360">
    <w:abstractNumId w:val="11"/>
  </w:num>
  <w:num w:numId="7" w16cid:durableId="1869830358">
    <w:abstractNumId w:val="3"/>
  </w:num>
  <w:num w:numId="8" w16cid:durableId="527253329">
    <w:abstractNumId w:val="4"/>
  </w:num>
  <w:num w:numId="9" w16cid:durableId="1391883432">
    <w:abstractNumId w:val="9"/>
  </w:num>
  <w:num w:numId="10" w16cid:durableId="1145124015">
    <w:abstractNumId w:val="5"/>
  </w:num>
  <w:num w:numId="11" w16cid:durableId="1649940536">
    <w:abstractNumId w:val="16"/>
  </w:num>
  <w:num w:numId="12" w16cid:durableId="210384007">
    <w:abstractNumId w:val="0"/>
  </w:num>
  <w:num w:numId="13" w16cid:durableId="598367674">
    <w:abstractNumId w:val="15"/>
  </w:num>
  <w:num w:numId="14" w16cid:durableId="138693498">
    <w:abstractNumId w:val="12"/>
  </w:num>
  <w:num w:numId="15" w16cid:durableId="1903708746">
    <w:abstractNumId w:val="6"/>
  </w:num>
  <w:num w:numId="16" w16cid:durableId="1478646099">
    <w:abstractNumId w:val="2"/>
  </w:num>
  <w:num w:numId="17" w16cid:durableId="743986837">
    <w:abstractNumId w:val="13"/>
  </w:num>
  <w:num w:numId="18" w16cid:durableId="399720071">
    <w:abstractNumId w:val="8"/>
  </w:num>
  <w:num w:numId="19" w16cid:durableId="15049779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E"/>
    <w:rsid w:val="000263F5"/>
    <w:rsid w:val="00031718"/>
    <w:rsid w:val="00037813"/>
    <w:rsid w:val="00042DA2"/>
    <w:rsid w:val="00050A11"/>
    <w:rsid w:val="00082629"/>
    <w:rsid w:val="0008510E"/>
    <w:rsid w:val="00091A17"/>
    <w:rsid w:val="00093F6A"/>
    <w:rsid w:val="0009616F"/>
    <w:rsid w:val="000A016D"/>
    <w:rsid w:val="000A4BCE"/>
    <w:rsid w:val="000B20CF"/>
    <w:rsid w:val="000B3B51"/>
    <w:rsid w:val="000B4E0A"/>
    <w:rsid w:val="000B6F71"/>
    <w:rsid w:val="000C05F6"/>
    <w:rsid w:val="000C29D8"/>
    <w:rsid w:val="000C6FFD"/>
    <w:rsid w:val="00114D16"/>
    <w:rsid w:val="00123491"/>
    <w:rsid w:val="00132070"/>
    <w:rsid w:val="00133F6A"/>
    <w:rsid w:val="00134394"/>
    <w:rsid w:val="00143A48"/>
    <w:rsid w:val="00143A66"/>
    <w:rsid w:val="00155829"/>
    <w:rsid w:val="0016366B"/>
    <w:rsid w:val="001657D4"/>
    <w:rsid w:val="0017020C"/>
    <w:rsid w:val="00171330"/>
    <w:rsid w:val="001719D0"/>
    <w:rsid w:val="00175148"/>
    <w:rsid w:val="0018077D"/>
    <w:rsid w:val="00180E71"/>
    <w:rsid w:val="001A2F80"/>
    <w:rsid w:val="001A5171"/>
    <w:rsid w:val="001A66F7"/>
    <w:rsid w:val="001C5050"/>
    <w:rsid w:val="001C62E7"/>
    <w:rsid w:val="001D34DD"/>
    <w:rsid w:val="001D39BD"/>
    <w:rsid w:val="001D7DB1"/>
    <w:rsid w:val="001E02C5"/>
    <w:rsid w:val="001E0B00"/>
    <w:rsid w:val="001E493F"/>
    <w:rsid w:val="001F10B6"/>
    <w:rsid w:val="001F441D"/>
    <w:rsid w:val="002157ED"/>
    <w:rsid w:val="00241456"/>
    <w:rsid w:val="0024349C"/>
    <w:rsid w:val="002449C4"/>
    <w:rsid w:val="002514E1"/>
    <w:rsid w:val="00252D00"/>
    <w:rsid w:val="00256FD7"/>
    <w:rsid w:val="00262AFB"/>
    <w:rsid w:val="002703B1"/>
    <w:rsid w:val="00285B6D"/>
    <w:rsid w:val="00287024"/>
    <w:rsid w:val="00291FCE"/>
    <w:rsid w:val="0029352D"/>
    <w:rsid w:val="002B1705"/>
    <w:rsid w:val="002B29EC"/>
    <w:rsid w:val="002B4DEA"/>
    <w:rsid w:val="002C1693"/>
    <w:rsid w:val="002C576C"/>
    <w:rsid w:val="002C7A1D"/>
    <w:rsid w:val="002D25BE"/>
    <w:rsid w:val="002E2E36"/>
    <w:rsid w:val="002F6D4D"/>
    <w:rsid w:val="0030028C"/>
    <w:rsid w:val="0030095A"/>
    <w:rsid w:val="0030374D"/>
    <w:rsid w:val="00304279"/>
    <w:rsid w:val="0030767D"/>
    <w:rsid w:val="00307915"/>
    <w:rsid w:val="00317A94"/>
    <w:rsid w:val="003246DF"/>
    <w:rsid w:val="0032495A"/>
    <w:rsid w:val="003269C0"/>
    <w:rsid w:val="003344C2"/>
    <w:rsid w:val="00335796"/>
    <w:rsid w:val="003378E9"/>
    <w:rsid w:val="00344BF9"/>
    <w:rsid w:val="003479E4"/>
    <w:rsid w:val="00352147"/>
    <w:rsid w:val="00360076"/>
    <w:rsid w:val="00361591"/>
    <w:rsid w:val="00364E76"/>
    <w:rsid w:val="00365394"/>
    <w:rsid w:val="00380793"/>
    <w:rsid w:val="00387182"/>
    <w:rsid w:val="00387C23"/>
    <w:rsid w:val="0039593E"/>
    <w:rsid w:val="00397365"/>
    <w:rsid w:val="003A7AD9"/>
    <w:rsid w:val="003B3FB0"/>
    <w:rsid w:val="003B481B"/>
    <w:rsid w:val="003B76C8"/>
    <w:rsid w:val="003C41DA"/>
    <w:rsid w:val="003D1B24"/>
    <w:rsid w:val="003D57D2"/>
    <w:rsid w:val="003E0B16"/>
    <w:rsid w:val="003E22AF"/>
    <w:rsid w:val="003E4E9A"/>
    <w:rsid w:val="003F75AD"/>
    <w:rsid w:val="00402371"/>
    <w:rsid w:val="00405D2C"/>
    <w:rsid w:val="00410A42"/>
    <w:rsid w:val="00415106"/>
    <w:rsid w:val="00420EDF"/>
    <w:rsid w:val="00421546"/>
    <w:rsid w:val="00444DAD"/>
    <w:rsid w:val="00462A13"/>
    <w:rsid w:val="00483561"/>
    <w:rsid w:val="00490E7E"/>
    <w:rsid w:val="0049248A"/>
    <w:rsid w:val="004926C5"/>
    <w:rsid w:val="004A03BA"/>
    <w:rsid w:val="004A3FB2"/>
    <w:rsid w:val="004A50AA"/>
    <w:rsid w:val="004A70FE"/>
    <w:rsid w:val="004A712C"/>
    <w:rsid w:val="004C0CEF"/>
    <w:rsid w:val="004C119C"/>
    <w:rsid w:val="004C2982"/>
    <w:rsid w:val="004C3CB6"/>
    <w:rsid w:val="004D6871"/>
    <w:rsid w:val="004E26F3"/>
    <w:rsid w:val="004F2B06"/>
    <w:rsid w:val="00503E9B"/>
    <w:rsid w:val="00504CD1"/>
    <w:rsid w:val="00525F2D"/>
    <w:rsid w:val="00534913"/>
    <w:rsid w:val="00550D3E"/>
    <w:rsid w:val="005704F1"/>
    <w:rsid w:val="00575D56"/>
    <w:rsid w:val="0058615D"/>
    <w:rsid w:val="005913DA"/>
    <w:rsid w:val="00594249"/>
    <w:rsid w:val="0059785C"/>
    <w:rsid w:val="005A2636"/>
    <w:rsid w:val="005B2D45"/>
    <w:rsid w:val="005B3E28"/>
    <w:rsid w:val="005C03CE"/>
    <w:rsid w:val="005D2FB7"/>
    <w:rsid w:val="005E2D0F"/>
    <w:rsid w:val="0060016E"/>
    <w:rsid w:val="00604A07"/>
    <w:rsid w:val="006066CA"/>
    <w:rsid w:val="00614B40"/>
    <w:rsid w:val="00624E00"/>
    <w:rsid w:val="00630EDA"/>
    <w:rsid w:val="006341E7"/>
    <w:rsid w:val="0063540F"/>
    <w:rsid w:val="00642172"/>
    <w:rsid w:val="00647F95"/>
    <w:rsid w:val="00651370"/>
    <w:rsid w:val="0066047F"/>
    <w:rsid w:val="00663EBF"/>
    <w:rsid w:val="00664855"/>
    <w:rsid w:val="00667164"/>
    <w:rsid w:val="0067277C"/>
    <w:rsid w:val="0068376C"/>
    <w:rsid w:val="00694040"/>
    <w:rsid w:val="006A2061"/>
    <w:rsid w:val="006B09D1"/>
    <w:rsid w:val="006B4C04"/>
    <w:rsid w:val="006B534D"/>
    <w:rsid w:val="006B649E"/>
    <w:rsid w:val="006D53DF"/>
    <w:rsid w:val="006E7495"/>
    <w:rsid w:val="00703EFE"/>
    <w:rsid w:val="00705518"/>
    <w:rsid w:val="007160AA"/>
    <w:rsid w:val="00716806"/>
    <w:rsid w:val="007264C9"/>
    <w:rsid w:val="007330D5"/>
    <w:rsid w:val="007406AE"/>
    <w:rsid w:val="00743043"/>
    <w:rsid w:val="00743601"/>
    <w:rsid w:val="007513D9"/>
    <w:rsid w:val="00751E0D"/>
    <w:rsid w:val="00754658"/>
    <w:rsid w:val="007547C4"/>
    <w:rsid w:val="00756820"/>
    <w:rsid w:val="00762371"/>
    <w:rsid w:val="007750B7"/>
    <w:rsid w:val="007751C0"/>
    <w:rsid w:val="007770E5"/>
    <w:rsid w:val="00781160"/>
    <w:rsid w:val="0078519E"/>
    <w:rsid w:val="00790CDB"/>
    <w:rsid w:val="007956D4"/>
    <w:rsid w:val="007B61E6"/>
    <w:rsid w:val="007B6E31"/>
    <w:rsid w:val="007B73AC"/>
    <w:rsid w:val="007D23E9"/>
    <w:rsid w:val="007E313B"/>
    <w:rsid w:val="008079DE"/>
    <w:rsid w:val="008154B3"/>
    <w:rsid w:val="00815A73"/>
    <w:rsid w:val="0082339E"/>
    <w:rsid w:val="00825B65"/>
    <w:rsid w:val="00830C0F"/>
    <w:rsid w:val="0084210D"/>
    <w:rsid w:val="00844576"/>
    <w:rsid w:val="00856971"/>
    <w:rsid w:val="00864654"/>
    <w:rsid w:val="00864718"/>
    <w:rsid w:val="00864BFD"/>
    <w:rsid w:val="008705AE"/>
    <w:rsid w:val="00886E9C"/>
    <w:rsid w:val="00894E25"/>
    <w:rsid w:val="00896AE1"/>
    <w:rsid w:val="00897247"/>
    <w:rsid w:val="008A0512"/>
    <w:rsid w:val="008A17BA"/>
    <w:rsid w:val="008A6F02"/>
    <w:rsid w:val="008B34AB"/>
    <w:rsid w:val="008C3B86"/>
    <w:rsid w:val="008D36E4"/>
    <w:rsid w:val="008D52A1"/>
    <w:rsid w:val="008E00BE"/>
    <w:rsid w:val="008E3B4B"/>
    <w:rsid w:val="008E3C33"/>
    <w:rsid w:val="008F4392"/>
    <w:rsid w:val="008F557C"/>
    <w:rsid w:val="00900326"/>
    <w:rsid w:val="00904010"/>
    <w:rsid w:val="009171F4"/>
    <w:rsid w:val="00920831"/>
    <w:rsid w:val="00921599"/>
    <w:rsid w:val="0092660F"/>
    <w:rsid w:val="0093274E"/>
    <w:rsid w:val="00952B8E"/>
    <w:rsid w:val="0095411E"/>
    <w:rsid w:val="009548E9"/>
    <w:rsid w:val="00955F48"/>
    <w:rsid w:val="00965A8E"/>
    <w:rsid w:val="00986CF3"/>
    <w:rsid w:val="009876E8"/>
    <w:rsid w:val="00990428"/>
    <w:rsid w:val="009A5923"/>
    <w:rsid w:val="009A5B44"/>
    <w:rsid w:val="009B27BE"/>
    <w:rsid w:val="009C4386"/>
    <w:rsid w:val="009D4BD3"/>
    <w:rsid w:val="009D69BC"/>
    <w:rsid w:val="009D7879"/>
    <w:rsid w:val="009E3CA8"/>
    <w:rsid w:val="009E3DC0"/>
    <w:rsid w:val="009E4C9E"/>
    <w:rsid w:val="009E7A1B"/>
    <w:rsid w:val="009F1EDC"/>
    <w:rsid w:val="009F23B8"/>
    <w:rsid w:val="00A03285"/>
    <w:rsid w:val="00A0418B"/>
    <w:rsid w:val="00A06ADA"/>
    <w:rsid w:val="00A074D4"/>
    <w:rsid w:val="00A21F45"/>
    <w:rsid w:val="00A30272"/>
    <w:rsid w:val="00A30EB6"/>
    <w:rsid w:val="00A35B17"/>
    <w:rsid w:val="00A36AB5"/>
    <w:rsid w:val="00A4167A"/>
    <w:rsid w:val="00A42788"/>
    <w:rsid w:val="00A51AAD"/>
    <w:rsid w:val="00A60EF8"/>
    <w:rsid w:val="00A70B0C"/>
    <w:rsid w:val="00A82EDB"/>
    <w:rsid w:val="00A8680F"/>
    <w:rsid w:val="00A9227B"/>
    <w:rsid w:val="00A97009"/>
    <w:rsid w:val="00A97597"/>
    <w:rsid w:val="00AA4B46"/>
    <w:rsid w:val="00AB2008"/>
    <w:rsid w:val="00AB7149"/>
    <w:rsid w:val="00AE4B8B"/>
    <w:rsid w:val="00AF1DAB"/>
    <w:rsid w:val="00AF69C8"/>
    <w:rsid w:val="00B01DBF"/>
    <w:rsid w:val="00B05891"/>
    <w:rsid w:val="00B06434"/>
    <w:rsid w:val="00B14004"/>
    <w:rsid w:val="00B17B91"/>
    <w:rsid w:val="00B234BB"/>
    <w:rsid w:val="00B239A5"/>
    <w:rsid w:val="00B23C9D"/>
    <w:rsid w:val="00B32536"/>
    <w:rsid w:val="00B32FD9"/>
    <w:rsid w:val="00B35953"/>
    <w:rsid w:val="00B40E23"/>
    <w:rsid w:val="00B431E3"/>
    <w:rsid w:val="00B445D7"/>
    <w:rsid w:val="00B46EEE"/>
    <w:rsid w:val="00B61AAF"/>
    <w:rsid w:val="00B62244"/>
    <w:rsid w:val="00B72AB3"/>
    <w:rsid w:val="00B90CB4"/>
    <w:rsid w:val="00B95DAB"/>
    <w:rsid w:val="00BA1D4E"/>
    <w:rsid w:val="00BB28B2"/>
    <w:rsid w:val="00BB3028"/>
    <w:rsid w:val="00BD1D1C"/>
    <w:rsid w:val="00BF5A9B"/>
    <w:rsid w:val="00C025B7"/>
    <w:rsid w:val="00C11F32"/>
    <w:rsid w:val="00C1208C"/>
    <w:rsid w:val="00C211FF"/>
    <w:rsid w:val="00C342C5"/>
    <w:rsid w:val="00C463D4"/>
    <w:rsid w:val="00C55B65"/>
    <w:rsid w:val="00C653C7"/>
    <w:rsid w:val="00C66230"/>
    <w:rsid w:val="00C66547"/>
    <w:rsid w:val="00C6662C"/>
    <w:rsid w:val="00C671C4"/>
    <w:rsid w:val="00C7393B"/>
    <w:rsid w:val="00C809D0"/>
    <w:rsid w:val="00C83FEF"/>
    <w:rsid w:val="00C85C34"/>
    <w:rsid w:val="00C904E0"/>
    <w:rsid w:val="00CA0DE3"/>
    <w:rsid w:val="00CA2682"/>
    <w:rsid w:val="00CA28AB"/>
    <w:rsid w:val="00CA3389"/>
    <w:rsid w:val="00CA3502"/>
    <w:rsid w:val="00CA6517"/>
    <w:rsid w:val="00CB593C"/>
    <w:rsid w:val="00CD13F4"/>
    <w:rsid w:val="00CE208C"/>
    <w:rsid w:val="00CE69E4"/>
    <w:rsid w:val="00D01434"/>
    <w:rsid w:val="00D06B03"/>
    <w:rsid w:val="00D07C8C"/>
    <w:rsid w:val="00D10CA7"/>
    <w:rsid w:val="00D13344"/>
    <w:rsid w:val="00D17D5D"/>
    <w:rsid w:val="00D22B0E"/>
    <w:rsid w:val="00D24514"/>
    <w:rsid w:val="00D260A0"/>
    <w:rsid w:val="00D32063"/>
    <w:rsid w:val="00D368CD"/>
    <w:rsid w:val="00D40E90"/>
    <w:rsid w:val="00D41081"/>
    <w:rsid w:val="00D44669"/>
    <w:rsid w:val="00D469D9"/>
    <w:rsid w:val="00D5495E"/>
    <w:rsid w:val="00D63F50"/>
    <w:rsid w:val="00D64F74"/>
    <w:rsid w:val="00D728EA"/>
    <w:rsid w:val="00D73E39"/>
    <w:rsid w:val="00D76409"/>
    <w:rsid w:val="00D81490"/>
    <w:rsid w:val="00D94AFC"/>
    <w:rsid w:val="00D9640A"/>
    <w:rsid w:val="00DA1216"/>
    <w:rsid w:val="00DC6D97"/>
    <w:rsid w:val="00DD203B"/>
    <w:rsid w:val="00DD6DA2"/>
    <w:rsid w:val="00DD709E"/>
    <w:rsid w:val="00DF55E1"/>
    <w:rsid w:val="00E02E95"/>
    <w:rsid w:val="00E04474"/>
    <w:rsid w:val="00E14A2F"/>
    <w:rsid w:val="00E23DDC"/>
    <w:rsid w:val="00E24E51"/>
    <w:rsid w:val="00E253DA"/>
    <w:rsid w:val="00E333F8"/>
    <w:rsid w:val="00E33A06"/>
    <w:rsid w:val="00E4384A"/>
    <w:rsid w:val="00E44FC8"/>
    <w:rsid w:val="00E45822"/>
    <w:rsid w:val="00E45B03"/>
    <w:rsid w:val="00E45FC9"/>
    <w:rsid w:val="00E46591"/>
    <w:rsid w:val="00E530E4"/>
    <w:rsid w:val="00E53DE9"/>
    <w:rsid w:val="00E60064"/>
    <w:rsid w:val="00E608DB"/>
    <w:rsid w:val="00E652AF"/>
    <w:rsid w:val="00E66A2A"/>
    <w:rsid w:val="00E81DA1"/>
    <w:rsid w:val="00E92694"/>
    <w:rsid w:val="00E9482F"/>
    <w:rsid w:val="00E96B27"/>
    <w:rsid w:val="00E96BF9"/>
    <w:rsid w:val="00EB18F1"/>
    <w:rsid w:val="00EB261C"/>
    <w:rsid w:val="00EB37F6"/>
    <w:rsid w:val="00EB3E06"/>
    <w:rsid w:val="00EC2BFA"/>
    <w:rsid w:val="00ED320C"/>
    <w:rsid w:val="00EE45C2"/>
    <w:rsid w:val="00EF330D"/>
    <w:rsid w:val="00F0253E"/>
    <w:rsid w:val="00F02DAC"/>
    <w:rsid w:val="00F03930"/>
    <w:rsid w:val="00F03DA8"/>
    <w:rsid w:val="00F1264E"/>
    <w:rsid w:val="00F37826"/>
    <w:rsid w:val="00F45843"/>
    <w:rsid w:val="00F45927"/>
    <w:rsid w:val="00F506D9"/>
    <w:rsid w:val="00F54D6D"/>
    <w:rsid w:val="00F57FBC"/>
    <w:rsid w:val="00F62B5F"/>
    <w:rsid w:val="00F6335E"/>
    <w:rsid w:val="00F703B1"/>
    <w:rsid w:val="00F71640"/>
    <w:rsid w:val="00F900E9"/>
    <w:rsid w:val="00F90B0A"/>
    <w:rsid w:val="00FA4B91"/>
    <w:rsid w:val="00FA567A"/>
    <w:rsid w:val="00FA7995"/>
    <w:rsid w:val="00FB0FFE"/>
    <w:rsid w:val="00FB4854"/>
    <w:rsid w:val="00FB4E27"/>
    <w:rsid w:val="00FB5004"/>
    <w:rsid w:val="00FB5EA0"/>
    <w:rsid w:val="00FC1CBA"/>
    <w:rsid w:val="00FD6794"/>
    <w:rsid w:val="00FD7A56"/>
    <w:rsid w:val="00FE50F4"/>
    <w:rsid w:val="6AF99C1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EB3A48"/>
  <w15:chartTrackingRefBased/>
  <w15:docId w15:val="{DC318F0F-5FD4-416D-B1E8-94CDD398F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4A70FE"/>
    <w:pPr>
      <w:spacing w:after="0" w:line="240" w:lineRule="auto"/>
    </w:pPr>
  </w:style>
  <w:style w:type="character" w:styleId="CommentReference">
    <w:name w:val="annotation reference"/>
    <w:basedOn w:val="DefaultParagraphFont"/>
    <w:uiPriority w:val="99"/>
    <w:semiHidden/>
    <w:unhideWhenUsed/>
    <w:rsid w:val="004A70FE"/>
    <w:rPr>
      <w:sz w:val="16"/>
      <w:szCs w:val="16"/>
    </w:rPr>
  </w:style>
  <w:style w:type="paragraph" w:styleId="CommentText">
    <w:name w:val="annotation text"/>
    <w:basedOn w:val="Normal"/>
    <w:link w:val="CommentTextChar"/>
    <w:uiPriority w:val="99"/>
    <w:unhideWhenUsed/>
    <w:rsid w:val="004A70FE"/>
    <w:pPr>
      <w:spacing w:line="240" w:lineRule="auto"/>
    </w:pPr>
    <w:rPr>
      <w:sz w:val="20"/>
      <w:szCs w:val="20"/>
    </w:rPr>
  </w:style>
  <w:style w:type="character" w:customStyle="1" w:styleId="CommentTextChar">
    <w:name w:val="Comment Text Char"/>
    <w:basedOn w:val="DefaultParagraphFont"/>
    <w:link w:val="CommentText"/>
    <w:uiPriority w:val="99"/>
    <w:rsid w:val="004A70FE"/>
    <w:rPr>
      <w:sz w:val="20"/>
      <w:szCs w:val="20"/>
    </w:rPr>
  </w:style>
  <w:style w:type="paragraph" w:styleId="CommentSubject">
    <w:name w:val="annotation subject"/>
    <w:basedOn w:val="CommentText"/>
    <w:next w:val="CommentText"/>
    <w:link w:val="CommentSubjectChar"/>
    <w:uiPriority w:val="99"/>
    <w:semiHidden/>
    <w:unhideWhenUsed/>
    <w:rsid w:val="004A70FE"/>
    <w:rPr>
      <w:b/>
      <w:bCs/>
    </w:rPr>
  </w:style>
  <w:style w:type="character" w:customStyle="1" w:styleId="CommentSubjectChar">
    <w:name w:val="Comment Subject Char"/>
    <w:basedOn w:val="CommentTextChar"/>
    <w:link w:val="CommentSubject"/>
    <w:uiPriority w:val="99"/>
    <w:semiHidden/>
    <w:rsid w:val="004A70FE"/>
    <w:rPr>
      <w:b/>
      <w:bCs/>
      <w:sz w:val="20"/>
      <w:szCs w:val="20"/>
    </w:rPr>
  </w:style>
  <w:style w:type="character" w:styleId="Hyperlink">
    <w:name w:val="Hyperlink"/>
    <w:basedOn w:val="DefaultParagraphFont"/>
    <w:uiPriority w:val="99"/>
    <w:unhideWhenUsed/>
    <w:rsid w:val="000C29D8"/>
    <w:rPr>
      <w:color w:val="0563C1" w:themeColor="hyperlink"/>
      <w:u w:val="single"/>
    </w:rPr>
  </w:style>
  <w:style w:type="character" w:styleId="UnresolvedMention">
    <w:name w:val="Unresolved Mention"/>
    <w:basedOn w:val="DefaultParagraphFont"/>
    <w:uiPriority w:val="99"/>
    <w:semiHidden/>
    <w:unhideWhenUsed/>
    <w:rsid w:val="000C29D8"/>
    <w:rPr>
      <w:color w:val="605E5C"/>
      <w:shd w:val="clear" w:color="auto" w:fill="E1DFDD"/>
    </w:rPr>
  </w:style>
  <w:style w:type="paragraph" w:customStyle="1" w:styleId="NApunkts1">
    <w:name w:val="NA punkts 1"/>
    <w:basedOn w:val="Normal"/>
    <w:link w:val="NApunkts1Rakstz"/>
    <w:qFormat/>
    <w:rsid w:val="0029352D"/>
    <w:pPr>
      <w:numPr>
        <w:numId w:val="1"/>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29352D"/>
    <w:rPr>
      <w:rFonts w:ascii="Times New Roman" w:eastAsia="Times New Roman" w:hAnsi="Times New Roman" w:cs="Times New Roman"/>
      <w:sz w:val="24"/>
      <w:szCs w:val="24"/>
      <w:lang w:eastAsia="lv-LV"/>
    </w:rPr>
  </w:style>
  <w:style w:type="paragraph" w:customStyle="1" w:styleId="NApunkts2">
    <w:name w:val="NA punkts 2"/>
    <w:basedOn w:val="Normal"/>
    <w:qFormat/>
    <w:rsid w:val="0029352D"/>
    <w:pPr>
      <w:keepLines/>
      <w:numPr>
        <w:ilvl w:val="1"/>
        <w:numId w:val="1"/>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29352D"/>
    <w:pPr>
      <w:keepLines/>
      <w:numPr>
        <w:ilvl w:val="2"/>
        <w:numId w:val="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29352D"/>
    <w:pPr>
      <w:keepLines/>
      <w:numPr>
        <w:ilvl w:val="3"/>
        <w:numId w:val="1"/>
      </w:numPr>
      <w:spacing w:after="0" w:line="240" w:lineRule="auto"/>
      <w:jc w:val="both"/>
      <w:outlineLvl w:val="3"/>
    </w:pPr>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29352D"/>
    <w:rPr>
      <w:color w:val="808080"/>
    </w:rPr>
  </w:style>
  <w:style w:type="paragraph" w:styleId="ListParagraph">
    <w:name w:val="List Paragraph"/>
    <w:basedOn w:val="Normal"/>
    <w:uiPriority w:val="34"/>
    <w:qFormat/>
    <w:rsid w:val="0067277C"/>
    <w:pPr>
      <w:ind w:left="720"/>
      <w:contextualSpacing/>
    </w:pPr>
  </w:style>
  <w:style w:type="paragraph" w:customStyle="1" w:styleId="TableContents">
    <w:name w:val="Table Contents"/>
    <w:basedOn w:val="Normal"/>
    <w:rsid w:val="00F57FBC"/>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lainText">
    <w:name w:val="Plain Text"/>
    <w:basedOn w:val="Normal"/>
    <w:link w:val="PlainTextChar"/>
    <w:uiPriority w:val="99"/>
    <w:semiHidden/>
    <w:unhideWhenUsed/>
    <w:rsid w:val="005E2D0F"/>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semiHidden/>
    <w:rsid w:val="005E2D0F"/>
    <w:rPr>
      <w:rFonts w:ascii="Calibri" w:eastAsia="Calibri" w:hAnsi="Calibri" w:cs="Times New Roman"/>
      <w:szCs w:val="21"/>
    </w:rPr>
  </w:style>
  <w:style w:type="paragraph" w:customStyle="1" w:styleId="naisf">
    <w:name w:val="naisf"/>
    <w:basedOn w:val="Normal"/>
    <w:rsid w:val="00614B40"/>
    <w:pPr>
      <w:spacing w:before="100" w:beforeAutospacing="1" w:after="100" w:afterAutospacing="1" w:line="240" w:lineRule="auto"/>
      <w:jc w:val="both"/>
    </w:pPr>
    <w:rPr>
      <w:rFonts w:ascii="Times New Roman" w:eastAsia="Arial Unicode MS" w:hAnsi="Times New Roman" w:cs="Times New Roman"/>
      <w:sz w:val="24"/>
      <w:szCs w:val="24"/>
      <w:lang w:val="en-GB"/>
    </w:rPr>
  </w:style>
  <w:style w:type="character" w:styleId="FollowedHyperlink">
    <w:name w:val="FollowedHyperlink"/>
    <w:basedOn w:val="DefaultParagraphFont"/>
    <w:uiPriority w:val="99"/>
    <w:semiHidden/>
    <w:unhideWhenUsed/>
    <w:rsid w:val="008F4392"/>
    <w:rPr>
      <w:color w:val="954F72" w:themeColor="followedHyperlink"/>
      <w:u w:val="single"/>
    </w:rPr>
  </w:style>
  <w:style w:type="paragraph" w:customStyle="1" w:styleId="NAnodala">
    <w:name w:val="NA nodala"/>
    <w:basedOn w:val="Normal"/>
    <w:next w:val="NApunkts1"/>
    <w:autoRedefine/>
    <w:qFormat/>
    <w:rsid w:val="003D1B24"/>
    <w:pPr>
      <w:keepNext/>
      <w:keepLines/>
      <w:numPr>
        <w:numId w:val="6"/>
      </w:numPr>
      <w:spacing w:before="240" w:after="0" w:line="240" w:lineRule="auto"/>
      <w:outlineLvl w:val="0"/>
    </w:pPr>
    <w:rPr>
      <w:rFonts w:ascii="Times New Roman" w:eastAsia="Times New Roman" w:hAnsi="Times New Roman" w:cs="Times New Roman"/>
      <w:b/>
      <w:sz w:val="24"/>
      <w:szCs w:val="24"/>
      <w:lang w:eastAsia="lv-LV"/>
    </w:rPr>
  </w:style>
  <w:style w:type="paragraph" w:customStyle="1" w:styleId="NAapaksnodala">
    <w:name w:val="NA apaksnodala"/>
    <w:basedOn w:val="Normal"/>
    <w:rsid w:val="003D1B24"/>
    <w:pPr>
      <w:numPr>
        <w:ilvl w:val="1"/>
        <w:numId w:val="6"/>
      </w:numPr>
      <w:spacing w:before="240" w:after="240" w:line="240" w:lineRule="auto"/>
      <w:outlineLvl w:val="1"/>
    </w:pPr>
    <w:rPr>
      <w:rFonts w:ascii="Times New Roman" w:eastAsia="Times New Roman" w:hAnsi="Times New Roman" w:cs="Times New Roman"/>
      <w:b/>
      <w:sz w:val="24"/>
      <w:szCs w:val="24"/>
      <w:lang w:eastAsia="lv-LV"/>
    </w:rPr>
  </w:style>
  <w:style w:type="paragraph" w:customStyle="1" w:styleId="NAnodalaromiesucipari">
    <w:name w:val="NA nodala (romiesu cipari)"/>
    <w:basedOn w:val="Normal"/>
    <w:next w:val="NApunkts1"/>
    <w:autoRedefine/>
    <w:qFormat/>
    <w:rsid w:val="005A2636"/>
    <w:pPr>
      <w:spacing w:after="0" w:line="240" w:lineRule="auto"/>
      <w:ind w:left="60"/>
      <w:outlineLvl w:val="0"/>
    </w:pPr>
    <w:rPr>
      <w:rFonts w:ascii="Times New Roman" w:eastAsia="Times New Roman" w:hAnsi="Times New Roman" w:cs="Times New Roman"/>
      <w:b/>
      <w:sz w:val="24"/>
      <w:szCs w:val="24"/>
      <w:lang w:eastAsia="lv-LV"/>
    </w:rPr>
  </w:style>
  <w:style w:type="paragraph" w:customStyle="1" w:styleId="NApielikums">
    <w:name w:val="NA pielikums"/>
    <w:basedOn w:val="Normal"/>
    <w:link w:val="NApielikumsCharChar"/>
    <w:rsid w:val="00C55B65"/>
    <w:pPr>
      <w:spacing w:after="0" w:line="240" w:lineRule="auto"/>
      <w:jc w:val="right"/>
    </w:pPr>
    <w:rPr>
      <w:rFonts w:ascii="Times New Roman" w:eastAsia="Times New Roman" w:hAnsi="Times New Roman" w:cs="Times New Roman"/>
      <w:sz w:val="24"/>
      <w:szCs w:val="24"/>
      <w:lang w:eastAsia="lv-LV"/>
    </w:rPr>
  </w:style>
  <w:style w:type="character" w:customStyle="1" w:styleId="NApielikumsCharChar">
    <w:name w:val="NA pielikums Char Char"/>
    <w:basedOn w:val="DefaultParagraphFont"/>
    <w:link w:val="NApielikums"/>
    <w:rsid w:val="00C55B65"/>
    <w:rPr>
      <w:rFonts w:ascii="Times New Roman" w:eastAsia="Times New Roman" w:hAnsi="Times New Roman" w:cs="Times New Roman"/>
      <w:sz w:val="24"/>
      <w:szCs w:val="24"/>
      <w:lang w:eastAsia="lv-LV"/>
    </w:rPr>
  </w:style>
  <w:style w:type="paragraph" w:customStyle="1" w:styleId="Standard">
    <w:name w:val="Standard"/>
    <w:rsid w:val="00C55B6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1028067916">
      <w:bodyDiv w:val="1"/>
      <w:marLeft w:val="0"/>
      <w:marRight w:val="0"/>
      <w:marTop w:val="0"/>
      <w:marBottom w:val="0"/>
      <w:divBdr>
        <w:top w:val="none" w:sz="0" w:space="0" w:color="auto"/>
        <w:left w:val="none" w:sz="0" w:space="0" w:color="auto"/>
        <w:bottom w:val="none" w:sz="0" w:space="0" w:color="auto"/>
        <w:right w:val="none" w:sz="0" w:space="0" w:color="auto"/>
      </w:divBdr>
    </w:div>
    <w:div w:id="1984850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280278-starptautisko-un-latvijas-republikas-nacionalo-sankciju-likums"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298656-kooperativo-sabiedribu-likum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7115-krajaizdevu-sabiedribu-likums" TargetMode="External"/><Relationship Id="rId5" Type="http://schemas.openxmlformats.org/officeDocument/2006/relationships/numbering" Target="numbering.xml"/><Relationship Id="rId15" Type="http://schemas.openxmlformats.org/officeDocument/2006/relationships/hyperlink" Target="http://www.bank.l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178987-noziedzigi-iegutu-lidzeklu-legalizacijas-un-terorisma-un-proliferacijas-finansesanas-noversanas-likum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93B20695F34D039CA36F89A6BEC935"/>
        <w:category>
          <w:name w:val="Vispārīgi"/>
          <w:gallery w:val="placeholder"/>
        </w:category>
        <w:types>
          <w:type w:val="bbPlcHdr"/>
        </w:types>
        <w:behaviors>
          <w:behavior w:val="content"/>
        </w:behaviors>
        <w:guid w:val="{FF88F8DD-ED10-43C1-AE4A-CAA6E5EBBD76}"/>
      </w:docPartPr>
      <w:docPartBody>
        <w:p w:rsidR="005A7F1E" w:rsidRDefault="00F64D0B" w:rsidP="00F64D0B">
          <w:pPr>
            <w:pStyle w:val="BC93B20695F34D039CA36F89A6BEC935"/>
          </w:pPr>
          <w:r w:rsidRPr="00F5647B">
            <w:rPr>
              <w:rStyle w:val="PlaceholderText"/>
              <w:b/>
              <w:szCs w:val="24"/>
            </w:rPr>
            <w:t>[Nosaukums]</w:t>
          </w:r>
        </w:p>
      </w:docPartBody>
    </w:docPart>
    <w:docPart>
      <w:docPartPr>
        <w:name w:val="302698CD48F045EB80A761FB53C1F1E1"/>
        <w:category>
          <w:name w:val="General"/>
          <w:gallery w:val="placeholder"/>
        </w:category>
        <w:types>
          <w:type w:val="bbPlcHdr"/>
        </w:types>
        <w:behaviors>
          <w:behavior w:val="content"/>
        </w:behaviors>
        <w:guid w:val="{849F4C98-301E-41FB-A0F0-2D644ED1CB04}"/>
      </w:docPartPr>
      <w:docPartBody>
        <w:p w:rsidR="005D56BA" w:rsidRDefault="005D56BA" w:rsidP="005D56BA">
          <w:pPr>
            <w:pStyle w:val="302698CD48F045EB80A761FB53C1F1E1"/>
          </w:pPr>
          <w:r>
            <w:rPr>
              <w:rFonts w:ascii="Times New Roman" w:hAnsi="Times New Roman" w:cs="Times New Roman"/>
            </w:rPr>
            <w:t>{amats}</w:t>
          </w:r>
        </w:p>
      </w:docPartBody>
    </w:docPart>
    <w:docPart>
      <w:docPartPr>
        <w:name w:val="C37E4C8C84574674B108AF7E77DFB78E"/>
        <w:category>
          <w:name w:val="General"/>
          <w:gallery w:val="placeholder"/>
        </w:category>
        <w:types>
          <w:type w:val="bbPlcHdr"/>
        </w:types>
        <w:behaviors>
          <w:behavior w:val="content"/>
        </w:behaviors>
        <w:guid w:val="{B2790A05-2B11-47E0-A229-B4D080D2E520}"/>
      </w:docPartPr>
      <w:docPartBody>
        <w:p w:rsidR="005D56BA" w:rsidRDefault="005D56BA" w:rsidP="005D56BA">
          <w:pPr>
            <w:pStyle w:val="C37E4C8C84574674B108AF7E77DFB78E"/>
          </w:pPr>
          <w:r w:rsidRPr="00F75F63">
            <w:rPr>
              <w:rStyle w:val="PlaceholderText"/>
              <w:b/>
              <w:color w:val="808080" w:themeColor="background1" w:themeShade="80"/>
            </w:rPr>
            <w:t>[Nosaukums]</w:t>
          </w:r>
        </w:p>
      </w:docPartBody>
    </w:docPart>
    <w:docPart>
      <w:docPartPr>
        <w:name w:val="A252FE44433A4095A5814CEEA5A9ABFA"/>
        <w:category>
          <w:name w:val="General"/>
          <w:gallery w:val="placeholder"/>
        </w:category>
        <w:types>
          <w:type w:val="bbPlcHdr"/>
        </w:types>
        <w:behaviors>
          <w:behavior w:val="content"/>
        </w:behaviors>
        <w:guid w:val="{DB6B9C71-204D-4F1B-B434-16BA000B70BB}"/>
      </w:docPartPr>
      <w:docPartBody>
        <w:p w:rsidR="005D56BA" w:rsidRDefault="005D56BA" w:rsidP="005D56BA">
          <w:pPr>
            <w:pStyle w:val="A252FE44433A4095A5814CEEA5A9ABFA"/>
          </w:pPr>
          <w:r>
            <w:rPr>
              <w:rStyle w:val="PlaceholderText"/>
              <w:b/>
              <w:color w:val="808080" w:themeColor="background1" w:themeShade="80"/>
            </w:rPr>
            <w:t>[Nosaukums]</w:t>
          </w:r>
        </w:p>
      </w:docPartBody>
    </w:docPart>
    <w:docPart>
      <w:docPartPr>
        <w:name w:val="DC3233E89A6A4412B58DA91E8B6F9A2A"/>
        <w:category>
          <w:name w:val="General"/>
          <w:gallery w:val="placeholder"/>
        </w:category>
        <w:types>
          <w:type w:val="bbPlcHdr"/>
        </w:types>
        <w:behaviors>
          <w:behavior w:val="content"/>
        </w:behaviors>
        <w:guid w:val="{2EEA0631-BABA-4B7A-A430-60D58AE966B1}"/>
      </w:docPartPr>
      <w:docPartBody>
        <w:p w:rsidR="005D56BA" w:rsidRDefault="005D56BA" w:rsidP="005D56BA">
          <w:pPr>
            <w:pStyle w:val="DC3233E89A6A4412B58DA91E8B6F9A2A"/>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default"/>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D0B"/>
    <w:rsid w:val="00090447"/>
    <w:rsid w:val="000B3B51"/>
    <w:rsid w:val="00137A77"/>
    <w:rsid w:val="001A2F80"/>
    <w:rsid w:val="00291FCE"/>
    <w:rsid w:val="002F7172"/>
    <w:rsid w:val="00483561"/>
    <w:rsid w:val="004914D6"/>
    <w:rsid w:val="004E26F3"/>
    <w:rsid w:val="00550D3E"/>
    <w:rsid w:val="005A7F1E"/>
    <w:rsid w:val="005B2D45"/>
    <w:rsid w:val="005D56BA"/>
    <w:rsid w:val="00664855"/>
    <w:rsid w:val="006B4C04"/>
    <w:rsid w:val="00743601"/>
    <w:rsid w:val="007750B7"/>
    <w:rsid w:val="00815A73"/>
    <w:rsid w:val="00856971"/>
    <w:rsid w:val="00990428"/>
    <w:rsid w:val="009E3DC0"/>
    <w:rsid w:val="00A01F51"/>
    <w:rsid w:val="00A30EB6"/>
    <w:rsid w:val="00A60EF8"/>
    <w:rsid w:val="00A659F2"/>
    <w:rsid w:val="00AB2008"/>
    <w:rsid w:val="00B01DBF"/>
    <w:rsid w:val="00B05891"/>
    <w:rsid w:val="00B17B91"/>
    <w:rsid w:val="00B23C9D"/>
    <w:rsid w:val="00B32536"/>
    <w:rsid w:val="00BA1D4E"/>
    <w:rsid w:val="00C211FF"/>
    <w:rsid w:val="00C475BC"/>
    <w:rsid w:val="00C66230"/>
    <w:rsid w:val="00CA2682"/>
    <w:rsid w:val="00CE208C"/>
    <w:rsid w:val="00D260A0"/>
    <w:rsid w:val="00D76409"/>
    <w:rsid w:val="00E45FC9"/>
    <w:rsid w:val="00E66A2A"/>
    <w:rsid w:val="00E96B27"/>
    <w:rsid w:val="00EF6FE5"/>
    <w:rsid w:val="00F02DAC"/>
    <w:rsid w:val="00F621AC"/>
    <w:rsid w:val="00F64D0B"/>
    <w:rsid w:val="00F958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56BA"/>
    <w:rPr>
      <w:color w:val="808080"/>
    </w:rPr>
  </w:style>
  <w:style w:type="paragraph" w:customStyle="1" w:styleId="BC93B20695F34D039CA36F89A6BEC935">
    <w:name w:val="BC93B20695F34D039CA36F89A6BEC935"/>
    <w:rsid w:val="00F64D0B"/>
  </w:style>
  <w:style w:type="paragraph" w:customStyle="1" w:styleId="302698CD48F045EB80A761FB53C1F1E1">
    <w:name w:val="302698CD48F045EB80A761FB53C1F1E1"/>
    <w:rsid w:val="005D56BA"/>
    <w:pPr>
      <w:spacing w:line="278" w:lineRule="auto"/>
    </w:pPr>
    <w:rPr>
      <w:kern w:val="2"/>
      <w:sz w:val="24"/>
      <w:szCs w:val="24"/>
      <w:lang w:val="en-GB" w:eastAsia="en-GB"/>
      <w14:ligatures w14:val="standardContextual"/>
    </w:rPr>
  </w:style>
  <w:style w:type="paragraph" w:customStyle="1" w:styleId="C37E4C8C84574674B108AF7E77DFB78E">
    <w:name w:val="C37E4C8C84574674B108AF7E77DFB78E"/>
    <w:rsid w:val="005D56BA"/>
    <w:pPr>
      <w:spacing w:line="278" w:lineRule="auto"/>
    </w:pPr>
    <w:rPr>
      <w:kern w:val="2"/>
      <w:sz w:val="24"/>
      <w:szCs w:val="24"/>
      <w:lang w:val="en-GB" w:eastAsia="en-GB"/>
      <w14:ligatures w14:val="standardContextual"/>
    </w:rPr>
  </w:style>
  <w:style w:type="paragraph" w:customStyle="1" w:styleId="A252FE44433A4095A5814CEEA5A9ABFA">
    <w:name w:val="A252FE44433A4095A5814CEEA5A9ABFA"/>
    <w:rsid w:val="005D56BA"/>
    <w:pPr>
      <w:spacing w:line="278" w:lineRule="auto"/>
    </w:pPr>
    <w:rPr>
      <w:kern w:val="2"/>
      <w:sz w:val="24"/>
      <w:szCs w:val="24"/>
      <w:lang w:val="en-GB" w:eastAsia="en-GB"/>
      <w14:ligatures w14:val="standardContextual"/>
    </w:rPr>
  </w:style>
  <w:style w:type="paragraph" w:customStyle="1" w:styleId="DC3233E89A6A4412B58DA91E8B6F9A2A">
    <w:name w:val="DC3233E89A6A4412B58DA91E8B6F9A2A"/>
    <w:rsid w:val="005D56BA"/>
    <w:pPr>
      <w:spacing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FD6D19EF50DD84A8D36B5F3E08A0BD6" ma:contentTypeVersion="2" ma:contentTypeDescription="Izveidot jaunu dokumentu." ma:contentTypeScope="" ma:versionID="ef2be2e9ce5af37e45b91ed0e4faeaf6">
  <xsd:schema xmlns:xsd="http://www.w3.org/2001/XMLSchema" xmlns:xs="http://www.w3.org/2001/XMLSchema" xmlns:p="http://schemas.microsoft.com/office/2006/metadata/properties" xmlns:ns2="c3839d33-06ee-4ec5-9ac8-a0b133b69dac" targetNamespace="http://schemas.microsoft.com/office/2006/metadata/properties" ma:root="true" ma:fieldsID="b79f93171441047500386356e1b253c6" ns2:_="">
    <xsd:import namespace="c3839d33-06ee-4ec5-9ac8-a0b133b69d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839d33-06ee-4ec5-9ac8-a0b133b69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1C99D6-2FD2-4688-BCF2-664E8B28A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839d33-06ee-4ec5-9ac8-a0b133b69d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3FDE6C-1D96-4A7F-9FF9-7CF8B6B5150F}">
  <ds:schemaRefs>
    <ds:schemaRef ds:uri="http://schemas.microsoft.com/sharepoint/v3/contenttype/forms"/>
  </ds:schemaRefs>
</ds:datastoreItem>
</file>

<file path=customXml/itemProps3.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4.xml><?xml version="1.0" encoding="utf-8"?>
<ds:datastoreItem xmlns:ds="http://schemas.openxmlformats.org/officeDocument/2006/customXml" ds:itemID="{734247B7-3B87-4931-915D-C38A786B500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5965</Words>
  <Characters>34005</Characters>
  <Application>Microsoft Office Word</Application>
  <DocSecurity>0</DocSecurity>
  <Lines>283</Lines>
  <Paragraphs>79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Solvita Deksne</cp:lastModifiedBy>
  <cp:revision>3</cp:revision>
  <dcterms:created xsi:type="dcterms:W3CDTF">2025-09-01T10:13:00Z</dcterms:created>
  <dcterms:modified xsi:type="dcterms:W3CDTF">2025-09-01T12:31:00Z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0x0101007FD6D19EF50DD84A8D36B5F3E08A0BD6</vt:lpwstr>
  </property>
</Properties>
</file>