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106BA9" w14:textId="033117C9" w:rsidR="00D6396F" w:rsidRPr="004E6568" w:rsidRDefault="00D6396F" w:rsidP="004E6568">
      <w:pPr>
        <w:pStyle w:val="NApunkts1"/>
        <w:numPr>
          <w:ilvl w:val="0"/>
          <w:numId w:val="0"/>
        </w:numPr>
        <w:spacing w:before="0"/>
        <w:jc w:val="right"/>
        <w:rPr>
          <w:bCs/>
          <w:color w:val="000000" w:themeColor="text1"/>
        </w:rPr>
      </w:pPr>
      <w:r w:rsidRPr="004E6568">
        <w:rPr>
          <w:bCs/>
          <w:color w:val="000000" w:themeColor="text1"/>
        </w:rPr>
        <w:t>Pielikums</w:t>
      </w:r>
      <w:r>
        <w:rPr>
          <w:bCs/>
          <w:color w:val="000000" w:themeColor="text1"/>
        </w:rPr>
        <w:br/>
        <w:t>Latvijas Bankas noteikumu projekta anotācijai</w:t>
      </w:r>
    </w:p>
    <w:p w14:paraId="3C498CA4" w14:textId="604F02C8" w:rsidR="00D16A5F" w:rsidRDefault="00523F69" w:rsidP="004E6568">
      <w:pPr>
        <w:pStyle w:val="NApunkts1"/>
        <w:numPr>
          <w:ilvl w:val="0"/>
          <w:numId w:val="0"/>
        </w:numPr>
        <w:jc w:val="center"/>
        <w:rPr>
          <w:bCs/>
        </w:rPr>
      </w:pPr>
      <w:r>
        <w:rPr>
          <w:b/>
          <w:color w:val="000000" w:themeColor="text1"/>
        </w:rPr>
        <w:t>Sabiedrības līdzdalības gaitā saņemto p</w:t>
      </w:r>
      <w:r w:rsidRPr="00757BCA">
        <w:rPr>
          <w:b/>
          <w:color w:val="000000" w:themeColor="text1"/>
        </w:rPr>
        <w:t xml:space="preserve">riekšlikumu par </w:t>
      </w:r>
      <w:r>
        <w:rPr>
          <w:b/>
          <w:color w:val="000000" w:themeColor="text1"/>
        </w:rPr>
        <w:t xml:space="preserve">Latvijas Bankas </w:t>
      </w:r>
      <w:r w:rsidRPr="00757BCA">
        <w:rPr>
          <w:b/>
          <w:color w:val="000000" w:themeColor="text1"/>
        </w:rPr>
        <w:t>noteikumu projektu</w:t>
      </w:r>
      <w:r>
        <w:rPr>
          <w:b/>
          <w:color w:val="000000" w:themeColor="text1"/>
        </w:rPr>
        <w:t xml:space="preserve"> </w:t>
      </w:r>
      <w:r w:rsidR="00BB22BE">
        <w:rPr>
          <w:b/>
          <w:color w:val="000000" w:themeColor="text1"/>
        </w:rPr>
        <w:t>"</w:t>
      </w:r>
      <w:r w:rsidR="006F4326">
        <w:rPr>
          <w:b/>
          <w:color w:val="000000" w:themeColor="text1"/>
        </w:rPr>
        <w:t>Kredītriska pārvaldīšanas noteikumi</w:t>
      </w:r>
      <w:r w:rsidR="00BB22BE">
        <w:rPr>
          <w:b/>
          <w:color w:val="000000" w:themeColor="text1"/>
        </w:rPr>
        <w:t>"</w:t>
      </w:r>
      <w:r>
        <w:rPr>
          <w:b/>
          <w:color w:val="000000" w:themeColor="text1"/>
        </w:rPr>
        <w:t xml:space="preserve"> </w:t>
      </w:r>
      <w:r w:rsidRPr="00757BCA">
        <w:rPr>
          <w:b/>
          <w:color w:val="000000" w:themeColor="text1"/>
        </w:rPr>
        <w:t>apkopoju</w:t>
      </w:r>
      <w:r w:rsidR="00FE2017">
        <w:rPr>
          <w:b/>
          <w:color w:val="000000" w:themeColor="text1"/>
        </w:rPr>
        <w:t>ms</w:t>
      </w:r>
    </w:p>
    <w:p w14:paraId="6CA532F0" w14:textId="77777777" w:rsidR="00523F69" w:rsidRPr="009035E3" w:rsidRDefault="00523F69" w:rsidP="00D16A5F">
      <w:pPr>
        <w:pStyle w:val="NApunkts1"/>
        <w:numPr>
          <w:ilvl w:val="0"/>
          <w:numId w:val="0"/>
        </w:numPr>
        <w:rPr>
          <w:bCs/>
        </w:rPr>
      </w:pPr>
    </w:p>
    <w:tbl>
      <w:tblPr>
        <w:tblW w:w="14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4512"/>
        <w:gridCol w:w="4516"/>
        <w:gridCol w:w="4517"/>
      </w:tblGrid>
      <w:tr w:rsidR="00523F69" w:rsidRPr="00DA6E74" w14:paraId="14C7B98A" w14:textId="77777777" w:rsidTr="00523F69">
        <w:tc>
          <w:tcPr>
            <w:tcW w:w="0" w:type="auto"/>
            <w:tcBorders>
              <w:top w:val="single" w:sz="4" w:space="0" w:color="auto"/>
              <w:left w:val="single" w:sz="4" w:space="0" w:color="auto"/>
              <w:bottom w:val="single" w:sz="4" w:space="0" w:color="auto"/>
              <w:right w:val="single" w:sz="4" w:space="0" w:color="auto"/>
            </w:tcBorders>
          </w:tcPr>
          <w:p w14:paraId="18A00658" w14:textId="687F4079" w:rsidR="00D16A5F" w:rsidRPr="002F5992" w:rsidRDefault="00D16A5F" w:rsidP="00F62CB3">
            <w:pPr>
              <w:jc w:val="center"/>
              <w:rPr>
                <w:rFonts w:cs="Times New Roman"/>
                <w:b/>
                <w:szCs w:val="24"/>
              </w:rPr>
            </w:pPr>
            <w:r>
              <w:rPr>
                <w:rFonts w:cs="Times New Roman"/>
                <w:b/>
                <w:szCs w:val="24"/>
              </w:rPr>
              <w:t>Nr.</w:t>
            </w:r>
            <w:r>
              <w:rPr>
                <w:rFonts w:cs="Times New Roman"/>
                <w:b/>
                <w:szCs w:val="24"/>
              </w:rPr>
              <w:br/>
              <w:t>p.</w:t>
            </w:r>
            <w:r w:rsidR="00BB22BE">
              <w:rPr>
                <w:rFonts w:cs="Times New Roman"/>
                <w:b/>
                <w:szCs w:val="24"/>
              </w:rPr>
              <w:t> </w:t>
            </w:r>
            <w:r>
              <w:rPr>
                <w:rFonts w:cs="Times New Roman"/>
                <w:b/>
                <w:szCs w:val="24"/>
              </w:rPr>
              <w:t>k.</w:t>
            </w:r>
          </w:p>
        </w:tc>
        <w:tc>
          <w:tcPr>
            <w:tcW w:w="4535" w:type="dxa"/>
            <w:tcBorders>
              <w:top w:val="single" w:sz="4" w:space="0" w:color="auto"/>
              <w:left w:val="single" w:sz="4" w:space="0" w:color="auto"/>
              <w:bottom w:val="single" w:sz="4" w:space="0" w:color="auto"/>
              <w:right w:val="single" w:sz="4" w:space="0" w:color="auto"/>
            </w:tcBorders>
            <w:shd w:val="clear" w:color="auto" w:fill="auto"/>
            <w:hideMark/>
          </w:tcPr>
          <w:p w14:paraId="4E2019D6" w14:textId="77777777" w:rsidR="00D16A5F" w:rsidRPr="00DA6E74" w:rsidRDefault="00D16A5F" w:rsidP="00F62CB3">
            <w:pPr>
              <w:jc w:val="center"/>
              <w:rPr>
                <w:rFonts w:cs="Times New Roman"/>
                <w:b/>
                <w:szCs w:val="24"/>
              </w:rPr>
            </w:pPr>
            <w:r w:rsidRPr="002F5992">
              <w:rPr>
                <w:rFonts w:cs="Times New Roman"/>
                <w:b/>
                <w:szCs w:val="24"/>
              </w:rPr>
              <w:t>Sabiedrības līdzdalība</w:t>
            </w:r>
            <w:r>
              <w:rPr>
                <w:rFonts w:cs="Times New Roman"/>
                <w:b/>
                <w:szCs w:val="24"/>
              </w:rPr>
              <w:t>i</w:t>
            </w:r>
            <w:r w:rsidRPr="002F5992">
              <w:rPr>
                <w:rFonts w:cs="Times New Roman"/>
                <w:b/>
                <w:szCs w:val="24"/>
              </w:rPr>
              <w:t xml:space="preserve"> </w:t>
            </w:r>
            <w:r w:rsidRPr="00DA6E74">
              <w:rPr>
                <w:rFonts w:cs="Times New Roman"/>
                <w:b/>
                <w:szCs w:val="24"/>
              </w:rPr>
              <w:t>no</w:t>
            </w:r>
            <w:r>
              <w:rPr>
                <w:rFonts w:cs="Times New Roman"/>
                <w:b/>
                <w:szCs w:val="24"/>
              </w:rPr>
              <w:t>do</w:t>
            </w:r>
            <w:r w:rsidRPr="00DA6E74">
              <w:rPr>
                <w:rFonts w:cs="Times New Roman"/>
                <w:b/>
                <w:szCs w:val="24"/>
              </w:rPr>
              <w:t>tā projekta redakcija</w:t>
            </w:r>
            <w:r>
              <w:rPr>
                <w:rFonts w:cs="Times New Roman"/>
                <w:b/>
                <w:szCs w:val="24"/>
              </w:rPr>
              <w:t xml:space="preserve"> </w:t>
            </w:r>
            <w:r w:rsidRPr="00DA6E74">
              <w:rPr>
                <w:rFonts w:cs="Times New Roman"/>
                <w:b/>
                <w:iCs/>
                <w:szCs w:val="24"/>
              </w:rPr>
              <w:t>(konkrēt</w:t>
            </w:r>
            <w:r w:rsidR="00523F69">
              <w:rPr>
                <w:rFonts w:cs="Times New Roman"/>
                <w:b/>
                <w:iCs/>
                <w:szCs w:val="24"/>
              </w:rPr>
              <w:t>ā</w:t>
            </w:r>
            <w:r w:rsidRPr="00DA6E74">
              <w:rPr>
                <w:rFonts w:cs="Times New Roman"/>
                <w:b/>
                <w:iCs/>
                <w:szCs w:val="24"/>
              </w:rPr>
              <w:t xml:space="preserve"> punkta redakcija)</w:t>
            </w:r>
          </w:p>
        </w:tc>
        <w:tc>
          <w:tcPr>
            <w:tcW w:w="4535" w:type="dxa"/>
            <w:tcBorders>
              <w:top w:val="single" w:sz="4" w:space="0" w:color="auto"/>
              <w:left w:val="single" w:sz="4" w:space="0" w:color="auto"/>
              <w:bottom w:val="single" w:sz="4" w:space="0" w:color="auto"/>
              <w:right w:val="single" w:sz="4" w:space="0" w:color="auto"/>
            </w:tcBorders>
            <w:shd w:val="clear" w:color="auto" w:fill="auto"/>
            <w:hideMark/>
          </w:tcPr>
          <w:p w14:paraId="408C059A" w14:textId="77777777" w:rsidR="00D16A5F" w:rsidRPr="00DA6E74" w:rsidRDefault="00D16A5F" w:rsidP="00F62CB3">
            <w:pPr>
              <w:jc w:val="center"/>
              <w:rPr>
                <w:rFonts w:cs="Times New Roman"/>
                <w:b/>
                <w:szCs w:val="24"/>
              </w:rPr>
            </w:pPr>
            <w:r>
              <w:rPr>
                <w:rFonts w:cs="Times New Roman"/>
                <w:b/>
                <w:szCs w:val="24"/>
              </w:rPr>
              <w:t>Izteiktais i</w:t>
            </w:r>
            <w:r w:rsidRPr="00DA6E74">
              <w:rPr>
                <w:rFonts w:cs="Times New Roman"/>
                <w:b/>
                <w:szCs w:val="24"/>
              </w:rPr>
              <w:t>ebildums</w:t>
            </w:r>
            <w:r>
              <w:rPr>
                <w:rFonts w:cs="Times New Roman"/>
                <w:b/>
                <w:szCs w:val="24"/>
              </w:rPr>
              <w:t> (</w:t>
            </w:r>
            <w:r w:rsidRPr="00DA6E74">
              <w:rPr>
                <w:rFonts w:cs="Times New Roman"/>
                <w:b/>
                <w:szCs w:val="24"/>
              </w:rPr>
              <w:t>priekšlikums</w:t>
            </w:r>
            <w:r>
              <w:rPr>
                <w:rFonts w:cs="Times New Roman"/>
                <w:b/>
                <w:szCs w:val="24"/>
              </w:rPr>
              <w:t>)</w:t>
            </w:r>
            <w:r w:rsidRPr="00DA6E74">
              <w:rPr>
                <w:rFonts w:cs="Times New Roman"/>
                <w:b/>
                <w:iCs/>
                <w:szCs w:val="24"/>
              </w:rPr>
              <w:t xml:space="preserve"> par projekta konkrēto punktu</w:t>
            </w:r>
          </w:p>
        </w:tc>
        <w:tc>
          <w:tcPr>
            <w:tcW w:w="4535" w:type="dxa"/>
            <w:tcBorders>
              <w:top w:val="single" w:sz="4" w:space="0" w:color="auto"/>
              <w:left w:val="single" w:sz="4" w:space="0" w:color="auto"/>
              <w:bottom w:val="single" w:sz="4" w:space="0" w:color="auto"/>
              <w:right w:val="single" w:sz="4" w:space="0" w:color="auto"/>
            </w:tcBorders>
            <w:shd w:val="clear" w:color="auto" w:fill="auto"/>
            <w:hideMark/>
          </w:tcPr>
          <w:p w14:paraId="56BFBD23" w14:textId="77777777" w:rsidR="00D16A5F" w:rsidRPr="00DA6E74" w:rsidRDefault="00D16A5F" w:rsidP="00F62CB3">
            <w:pPr>
              <w:jc w:val="center"/>
              <w:rPr>
                <w:rFonts w:cs="Times New Roman"/>
                <w:b/>
                <w:szCs w:val="24"/>
              </w:rPr>
            </w:pPr>
            <w:r w:rsidRPr="00DA6E74">
              <w:rPr>
                <w:rFonts w:cs="Times New Roman"/>
                <w:b/>
                <w:iCs/>
                <w:szCs w:val="24"/>
              </w:rPr>
              <w:t xml:space="preserve">Latvijas Bankas </w:t>
            </w:r>
            <w:r w:rsidRPr="00DA6E74">
              <w:rPr>
                <w:rFonts w:cs="Times New Roman"/>
                <w:b/>
                <w:szCs w:val="24"/>
              </w:rPr>
              <w:t>viedoklis par izteikto iebildumu</w:t>
            </w:r>
            <w:r>
              <w:rPr>
                <w:rFonts w:cs="Times New Roman"/>
                <w:b/>
                <w:szCs w:val="24"/>
              </w:rPr>
              <w:t> (</w:t>
            </w:r>
            <w:r w:rsidRPr="00DA6E74">
              <w:rPr>
                <w:rFonts w:cs="Times New Roman"/>
                <w:b/>
                <w:szCs w:val="24"/>
              </w:rPr>
              <w:t>priekšlikumu</w:t>
            </w:r>
            <w:r>
              <w:rPr>
                <w:rFonts w:cs="Times New Roman"/>
                <w:b/>
                <w:szCs w:val="24"/>
              </w:rPr>
              <w:t>)</w:t>
            </w:r>
            <w:r w:rsidRPr="00DA6E74">
              <w:rPr>
                <w:rFonts w:cs="Times New Roman"/>
                <w:b/>
                <w:szCs w:val="24"/>
              </w:rPr>
              <w:t xml:space="preserve"> </w:t>
            </w:r>
            <w:r>
              <w:rPr>
                <w:rFonts w:cs="Times New Roman"/>
                <w:b/>
                <w:szCs w:val="24"/>
              </w:rPr>
              <w:t xml:space="preserve">un </w:t>
            </w:r>
            <w:r w:rsidRPr="00DA6E74">
              <w:rPr>
                <w:rFonts w:cs="Times New Roman"/>
                <w:b/>
                <w:iCs/>
                <w:szCs w:val="24"/>
              </w:rPr>
              <w:t>norād</w:t>
            </w:r>
            <w:r>
              <w:rPr>
                <w:rFonts w:cs="Times New Roman"/>
                <w:b/>
                <w:iCs/>
                <w:szCs w:val="24"/>
              </w:rPr>
              <w:t>e</w:t>
            </w:r>
            <w:r w:rsidRPr="00DA6E74">
              <w:rPr>
                <w:rFonts w:cs="Times New Roman"/>
                <w:b/>
                <w:iCs/>
                <w:szCs w:val="24"/>
              </w:rPr>
              <w:t xml:space="preserve">, vai </w:t>
            </w:r>
            <w:r>
              <w:rPr>
                <w:rFonts w:cs="Times New Roman"/>
                <w:b/>
                <w:iCs/>
                <w:szCs w:val="24"/>
              </w:rPr>
              <w:t>tas</w:t>
            </w:r>
            <w:r w:rsidRPr="00DA6E74">
              <w:rPr>
                <w:rFonts w:cs="Times New Roman"/>
                <w:b/>
                <w:iCs/>
                <w:szCs w:val="24"/>
              </w:rPr>
              <w:t xml:space="preserve"> ņemts vērā</w:t>
            </w:r>
          </w:p>
        </w:tc>
      </w:tr>
      <w:tr w:rsidR="00523F69" w:rsidRPr="00DA6E74" w14:paraId="2634767A" w14:textId="77777777" w:rsidTr="00523F69">
        <w:tc>
          <w:tcPr>
            <w:tcW w:w="0" w:type="auto"/>
            <w:tcBorders>
              <w:top w:val="single" w:sz="4" w:space="0" w:color="auto"/>
              <w:left w:val="single" w:sz="4" w:space="0" w:color="auto"/>
              <w:bottom w:val="single" w:sz="4" w:space="0" w:color="auto"/>
              <w:right w:val="single" w:sz="4" w:space="0" w:color="auto"/>
            </w:tcBorders>
          </w:tcPr>
          <w:p w14:paraId="4D25A418" w14:textId="77777777" w:rsidR="00523F69" w:rsidRPr="00523F69" w:rsidRDefault="00523F69" w:rsidP="00F62CB3">
            <w:pPr>
              <w:jc w:val="center"/>
              <w:rPr>
                <w:rFonts w:cs="Times New Roman"/>
                <w:bCs/>
                <w:szCs w:val="24"/>
              </w:rPr>
            </w:pPr>
            <w:r w:rsidRPr="00523F69">
              <w:rPr>
                <w:rFonts w:cs="Times New Roman"/>
                <w:bCs/>
                <w:szCs w:val="24"/>
              </w:rPr>
              <w:t>1.</w:t>
            </w: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59EEE8EE" w14:textId="14109124" w:rsidR="006F4326" w:rsidRPr="007306F6" w:rsidRDefault="006F4326" w:rsidP="004E6568">
            <w:pPr>
              <w:pStyle w:val="NApunkts1"/>
              <w:numPr>
                <w:ilvl w:val="0"/>
                <w:numId w:val="2"/>
              </w:numPr>
              <w:tabs>
                <w:tab w:val="left" w:pos="328"/>
              </w:tabs>
              <w:spacing w:before="0"/>
              <w:ind w:left="0" w:firstLine="0"/>
            </w:pPr>
            <w:r>
              <w:t xml:space="preserve">Iestāde, kura ir nozīmīgā uzraudzītā kredītiestāde Kredītiestāžu likuma 1. panta pirmās daļas 67. punkta izpratnē un kurai ir saistošas Eiropas Centrālās bankas noteiktās prasības kredītriska pārvaldīšanai un aktīvu kvalitātes novērtēšanai, šos noteikumus piemēro, ja tai saistošas prasības kredītriska pārvaldīšanai un aktīvu kvalitātes novērtēšanai nav noteikusi Eiropas Centrālā banka. </w:t>
            </w:r>
          </w:p>
          <w:p w14:paraId="38151911" w14:textId="77777777" w:rsidR="00523F69" w:rsidRPr="00523F69" w:rsidRDefault="00523F69" w:rsidP="00511A45">
            <w:pPr>
              <w:jc w:val="center"/>
              <w:rPr>
                <w:rFonts w:cs="Times New Roman"/>
                <w:bCs/>
                <w:szCs w:val="24"/>
              </w:rPr>
            </w:pP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222CA81E" w14:textId="77777777" w:rsidR="006F4326" w:rsidRPr="006F4326" w:rsidRDefault="006F4326" w:rsidP="004E6568">
            <w:pPr>
              <w:pStyle w:val="Default"/>
              <w:jc w:val="both"/>
              <w:rPr>
                <w:rFonts w:ascii="Times New Roman" w:hAnsi="Times New Roman" w:cs="Times New Roman"/>
              </w:rPr>
            </w:pPr>
            <w:r w:rsidRPr="006F4326">
              <w:rPr>
                <w:rFonts w:ascii="Times New Roman" w:hAnsi="Times New Roman" w:cs="Times New Roman"/>
              </w:rPr>
              <w:t xml:space="preserve"> Noteikumu projekta 4. punktā ir noteikts, ka Iestāde, kura ir nozīmīgā uzraudzītā kredītiestāde Kredītiestāžu likuma 1. panta pirmās daļas 67. punkta izpratnē un kurai ir saistošas Eiropas Centrālās bankas noteiktās prasības kredītriska pārvaldīšanai un aktīvu kvalitātes novērtēšanai, šos noteikumus piemēro, ja tai saistošas prasības kredītriska pārvaldīšanai un aktīvu kvalitātes novērtēšanai nav noteikusi Eiropas Centrālā banka. </w:t>
            </w:r>
          </w:p>
          <w:p w14:paraId="263A5C78" w14:textId="77777777" w:rsidR="006F4326" w:rsidRPr="006F4326" w:rsidRDefault="006F4326" w:rsidP="004E6568">
            <w:pPr>
              <w:pStyle w:val="Default"/>
              <w:jc w:val="both"/>
              <w:rPr>
                <w:rFonts w:ascii="Times New Roman" w:hAnsi="Times New Roman" w:cs="Times New Roman"/>
              </w:rPr>
            </w:pPr>
            <w:r w:rsidRPr="006F4326">
              <w:rPr>
                <w:rFonts w:ascii="Times New Roman" w:hAnsi="Times New Roman" w:cs="Times New Roman"/>
              </w:rPr>
              <w:t xml:space="preserve">Lai novērstu iespēju dažādai noteikuma punkta interpretācijai, piedāvājam izteikt 4.punktu šādā redakcijā: </w:t>
            </w:r>
          </w:p>
          <w:p w14:paraId="056DCAA8" w14:textId="489E504E" w:rsidR="00523F69" w:rsidRDefault="00BB22BE" w:rsidP="004E6568">
            <w:pPr>
              <w:jc w:val="both"/>
              <w:rPr>
                <w:rFonts w:cs="Times New Roman"/>
                <w:szCs w:val="24"/>
              </w:rPr>
            </w:pPr>
            <w:r>
              <w:rPr>
                <w:rFonts w:cs="Times New Roman"/>
                <w:szCs w:val="24"/>
              </w:rPr>
              <w:t>"</w:t>
            </w:r>
            <w:r w:rsidR="006F4326" w:rsidRPr="006F4326">
              <w:rPr>
                <w:rFonts w:cs="Times New Roman"/>
                <w:i/>
                <w:iCs/>
                <w:szCs w:val="24"/>
              </w:rPr>
              <w:t>Iestāde, kura ir nozīmīgā uzraudzītā kredītiestāde Kredītiestāžu likuma 1. panta pirmās daļas 67. punkta izpratnē un kurai ir saistošas Eiropas Centrālās bankas noteiktās prasības kredītriska pārvaldīšanai un aktīvu kvalitātes novērtēšanai, nepiemēro šo noteikumu VII, VIII un IX nodaļas prasības</w:t>
            </w:r>
            <w:r w:rsidR="006F4326" w:rsidRPr="006F4326">
              <w:rPr>
                <w:rFonts w:cs="Times New Roman"/>
                <w:szCs w:val="24"/>
              </w:rPr>
              <w:t>.</w:t>
            </w:r>
            <w:r>
              <w:rPr>
                <w:rFonts w:cs="Times New Roman"/>
                <w:szCs w:val="24"/>
              </w:rPr>
              <w:t>"</w:t>
            </w:r>
          </w:p>
          <w:p w14:paraId="1C6F6DAE" w14:textId="27FA2BB5" w:rsidR="00054629" w:rsidRPr="006F4326" w:rsidRDefault="00054629" w:rsidP="00511A45">
            <w:pPr>
              <w:jc w:val="center"/>
              <w:rPr>
                <w:rFonts w:cs="Times New Roman"/>
                <w:bCs/>
                <w:szCs w:val="24"/>
              </w:rPr>
            </w:pP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073D153E" w14:textId="77777777" w:rsidR="006F4326" w:rsidRPr="006F4326" w:rsidRDefault="006F4326" w:rsidP="006F4326">
            <w:pPr>
              <w:jc w:val="both"/>
              <w:rPr>
                <w:rFonts w:cs="Times New Roman"/>
                <w:b/>
                <w:iCs/>
                <w:szCs w:val="24"/>
              </w:rPr>
            </w:pPr>
            <w:r w:rsidRPr="006F4326">
              <w:rPr>
                <w:rFonts w:cs="Times New Roman"/>
                <w:b/>
                <w:iCs/>
                <w:szCs w:val="24"/>
              </w:rPr>
              <w:t xml:space="preserve">Ņemts vērā. </w:t>
            </w:r>
          </w:p>
          <w:p w14:paraId="033D4616" w14:textId="77777777" w:rsidR="00523F69" w:rsidRDefault="006F4326" w:rsidP="006F4326">
            <w:pPr>
              <w:jc w:val="both"/>
              <w:rPr>
                <w:rFonts w:cs="Times New Roman"/>
                <w:bCs/>
                <w:iCs/>
                <w:szCs w:val="24"/>
              </w:rPr>
            </w:pPr>
            <w:r>
              <w:rPr>
                <w:rFonts w:cs="Times New Roman"/>
                <w:bCs/>
                <w:iCs/>
                <w:szCs w:val="24"/>
              </w:rPr>
              <w:t xml:space="preserve">Jaunā redakcija: </w:t>
            </w:r>
          </w:p>
          <w:p w14:paraId="79CF7124" w14:textId="2BE50CE2" w:rsidR="006F4326" w:rsidRPr="00523F69" w:rsidRDefault="00BB22BE" w:rsidP="006F4326">
            <w:pPr>
              <w:jc w:val="both"/>
              <w:rPr>
                <w:rFonts w:cs="Times New Roman"/>
                <w:bCs/>
                <w:iCs/>
                <w:szCs w:val="24"/>
              </w:rPr>
            </w:pPr>
            <w:r>
              <w:rPr>
                <w:rFonts w:cs="Times New Roman"/>
                <w:bCs/>
                <w:iCs/>
                <w:szCs w:val="24"/>
              </w:rPr>
              <w:t>"</w:t>
            </w:r>
            <w:r w:rsidR="006F4326" w:rsidRPr="006F4326">
              <w:rPr>
                <w:rFonts w:cs="Times New Roman"/>
                <w:bCs/>
                <w:iCs/>
                <w:szCs w:val="24"/>
              </w:rPr>
              <w:t xml:space="preserve">Iestāde, kura ir nozīmīgā uzraudzītā kredītiestāde Kredītiestāžu likuma 1. panta pirmās daļas 67. punkta izpratnē un kurai ir saistošas Eiropas Centrālās bankas noteiktās prasības kredītriska pārvaldīšanai un aktīvu kvalitātes novērtēšanai, nepiemēro šo noteikumu </w:t>
            </w:r>
            <w:r w:rsidR="00916F56">
              <w:rPr>
                <w:rFonts w:cs="Times New Roman"/>
                <w:bCs/>
                <w:iCs/>
                <w:szCs w:val="24"/>
              </w:rPr>
              <w:t>7.</w:t>
            </w:r>
            <w:r w:rsidR="006F4326" w:rsidRPr="006F4326">
              <w:rPr>
                <w:rFonts w:cs="Times New Roman"/>
                <w:bCs/>
                <w:iCs/>
                <w:szCs w:val="24"/>
              </w:rPr>
              <w:t xml:space="preserve">, </w:t>
            </w:r>
            <w:r w:rsidR="00916F56">
              <w:rPr>
                <w:rFonts w:cs="Times New Roman"/>
                <w:bCs/>
                <w:iCs/>
                <w:szCs w:val="24"/>
              </w:rPr>
              <w:t>8.</w:t>
            </w:r>
            <w:r w:rsidR="006F4326" w:rsidRPr="006F4326">
              <w:rPr>
                <w:rFonts w:cs="Times New Roman"/>
                <w:bCs/>
                <w:iCs/>
                <w:szCs w:val="24"/>
              </w:rPr>
              <w:t xml:space="preserve"> un </w:t>
            </w:r>
            <w:r w:rsidR="00916F56">
              <w:rPr>
                <w:rFonts w:cs="Times New Roman"/>
                <w:bCs/>
                <w:iCs/>
                <w:szCs w:val="24"/>
              </w:rPr>
              <w:t>9.</w:t>
            </w:r>
            <w:r w:rsidR="006F4326" w:rsidRPr="006F4326">
              <w:rPr>
                <w:rFonts w:cs="Times New Roman"/>
                <w:bCs/>
                <w:iCs/>
                <w:szCs w:val="24"/>
              </w:rPr>
              <w:t xml:space="preserve"> nodaļas prasības.</w:t>
            </w:r>
            <w:r>
              <w:rPr>
                <w:rFonts w:cs="Times New Roman"/>
                <w:bCs/>
                <w:iCs/>
                <w:szCs w:val="24"/>
              </w:rPr>
              <w:t>"</w:t>
            </w:r>
          </w:p>
        </w:tc>
      </w:tr>
      <w:tr w:rsidR="00523F69" w:rsidRPr="00DA6E74" w14:paraId="11C61BCB" w14:textId="77777777" w:rsidTr="00523F69">
        <w:tc>
          <w:tcPr>
            <w:tcW w:w="0" w:type="auto"/>
            <w:tcBorders>
              <w:top w:val="single" w:sz="4" w:space="0" w:color="auto"/>
              <w:left w:val="single" w:sz="4" w:space="0" w:color="auto"/>
              <w:bottom w:val="single" w:sz="4" w:space="0" w:color="auto"/>
              <w:right w:val="single" w:sz="4" w:space="0" w:color="auto"/>
            </w:tcBorders>
          </w:tcPr>
          <w:p w14:paraId="45B1FEA9" w14:textId="77777777" w:rsidR="00523F69" w:rsidRPr="00523F69" w:rsidRDefault="00523F69" w:rsidP="00F62CB3">
            <w:pPr>
              <w:jc w:val="center"/>
              <w:rPr>
                <w:rFonts w:cs="Times New Roman"/>
                <w:bCs/>
                <w:szCs w:val="24"/>
              </w:rPr>
            </w:pPr>
            <w:r w:rsidRPr="00523F69">
              <w:rPr>
                <w:rFonts w:cs="Times New Roman"/>
                <w:bCs/>
                <w:szCs w:val="24"/>
              </w:rPr>
              <w:lastRenderedPageBreak/>
              <w:t>2.</w:t>
            </w: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7793439A" w14:textId="08A22551" w:rsidR="006F4326" w:rsidRPr="00337C85" w:rsidRDefault="006F4326" w:rsidP="004E6568">
            <w:pPr>
              <w:pStyle w:val="NApunkts1"/>
              <w:numPr>
                <w:ilvl w:val="0"/>
                <w:numId w:val="3"/>
              </w:numPr>
              <w:tabs>
                <w:tab w:val="left" w:pos="328"/>
                <w:tab w:val="left" w:pos="478"/>
                <w:tab w:val="left" w:pos="654"/>
              </w:tabs>
              <w:spacing w:before="0"/>
              <w:ind w:left="0" w:firstLine="0"/>
            </w:pPr>
            <w:r>
              <w:t xml:space="preserve">Piešķirot kredītu, iestādei ir pienākums pirms kredīta līguma noslēgšanas iepazīstināt aizņēmēju ar patiesu un pilnīgu informāciju par visiem līguma nosacījumiem un riskiem, t. sk.: </w:t>
            </w:r>
          </w:p>
          <w:p w14:paraId="6795586A" w14:textId="6F1CD52F" w:rsidR="006F4326" w:rsidRPr="00337C85" w:rsidRDefault="00BB22BE" w:rsidP="004E6568">
            <w:pPr>
              <w:pStyle w:val="NApunkts2"/>
              <w:numPr>
                <w:ilvl w:val="0"/>
                <w:numId w:val="0"/>
              </w:numPr>
              <w:tabs>
                <w:tab w:val="left" w:pos="328"/>
                <w:tab w:val="left" w:pos="478"/>
                <w:tab w:val="left" w:pos="654"/>
              </w:tabs>
            </w:pPr>
            <w:r>
              <w:t>[..]</w:t>
            </w:r>
          </w:p>
          <w:p w14:paraId="676DC2E1" w14:textId="326DDF33" w:rsidR="006F4326" w:rsidRPr="00337C85" w:rsidRDefault="006F4326" w:rsidP="004E6568">
            <w:pPr>
              <w:pStyle w:val="NApunkts2"/>
              <w:numPr>
                <w:ilvl w:val="1"/>
                <w:numId w:val="3"/>
              </w:numPr>
              <w:tabs>
                <w:tab w:val="left" w:pos="328"/>
                <w:tab w:val="left" w:pos="478"/>
                <w:tab w:val="left" w:pos="654"/>
              </w:tabs>
              <w:ind w:left="0" w:firstLine="0"/>
            </w:pPr>
            <w:r>
              <w:t xml:space="preserve"> ja kredīta līgums ir ar mainīgo procentu likmi, brīdināt par riskiem, kas saistīti ar procentu likmju pieauguma ietekmi uz aizņēmēja veicamo </w:t>
            </w:r>
            <w:proofErr w:type="spellStart"/>
            <w:r>
              <w:t>kredītmaksājumu</w:t>
            </w:r>
            <w:proofErr w:type="spellEnd"/>
            <w:r>
              <w:t xml:space="preserve"> apmēru, sniedzot aprēķina piemērus, kas ilustrē, kā procentu likmes pieaugums var ietekmēt parāda apkalpošanas izdevumu apmēru un to attiecību pret aizņēmēja ienākumiem;</w:t>
            </w:r>
            <w:r w:rsidRPr="00B968EE">
              <w:t xml:space="preserve"> </w:t>
            </w:r>
          </w:p>
          <w:p w14:paraId="58837927" w14:textId="77777777" w:rsidR="00523F69" w:rsidRPr="00523F69" w:rsidRDefault="00523F69" w:rsidP="004E6568">
            <w:pPr>
              <w:tabs>
                <w:tab w:val="left" w:pos="328"/>
                <w:tab w:val="left" w:pos="478"/>
                <w:tab w:val="left" w:pos="654"/>
              </w:tabs>
              <w:jc w:val="center"/>
              <w:rPr>
                <w:rFonts w:cs="Times New Roman"/>
                <w:bCs/>
                <w:szCs w:val="24"/>
              </w:rPr>
            </w:pP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0E4D1E59" w14:textId="5DA36901" w:rsidR="006F4326" w:rsidRPr="006F4326" w:rsidRDefault="006F4326" w:rsidP="004E6568">
            <w:pPr>
              <w:pStyle w:val="Default"/>
              <w:jc w:val="both"/>
              <w:rPr>
                <w:rFonts w:ascii="Times New Roman" w:hAnsi="Times New Roman" w:cs="Times New Roman"/>
              </w:rPr>
            </w:pPr>
            <w:r w:rsidRPr="006F4326">
              <w:rPr>
                <w:rFonts w:ascii="Times New Roman" w:hAnsi="Times New Roman" w:cs="Times New Roman"/>
              </w:rPr>
              <w:t xml:space="preserve"> Lūdzam precizēt Noteikumu projekta 49.2. punktu, kuru Asociācijas ieskatā nepieciešams vienādot ar Ministru Kabineta noteikumos Nr. 691 </w:t>
            </w:r>
            <w:r w:rsidR="00BB22BE">
              <w:rPr>
                <w:rFonts w:ascii="Times New Roman" w:hAnsi="Times New Roman" w:cs="Times New Roman"/>
              </w:rPr>
              <w:t>"</w:t>
            </w:r>
            <w:r w:rsidRPr="006F4326">
              <w:rPr>
                <w:rFonts w:ascii="Times New Roman" w:hAnsi="Times New Roman" w:cs="Times New Roman"/>
              </w:rPr>
              <w:t>Noteikumi par patērētāja kreditēšanu</w:t>
            </w:r>
            <w:r w:rsidR="00BB22BE">
              <w:rPr>
                <w:rFonts w:ascii="Times New Roman" w:hAnsi="Times New Roman" w:cs="Times New Roman"/>
              </w:rPr>
              <w:t>"</w:t>
            </w:r>
            <w:r w:rsidRPr="006F4326">
              <w:rPr>
                <w:rFonts w:ascii="Times New Roman" w:hAnsi="Times New Roman" w:cs="Times New Roman"/>
              </w:rPr>
              <w:t xml:space="preserve"> noteikto, jo </w:t>
            </w:r>
            <w:proofErr w:type="spellStart"/>
            <w:r w:rsidRPr="006F4326">
              <w:rPr>
                <w:rFonts w:ascii="Times New Roman" w:hAnsi="Times New Roman" w:cs="Times New Roman"/>
              </w:rPr>
              <w:t>pirmslīguma</w:t>
            </w:r>
            <w:proofErr w:type="spellEnd"/>
            <w:r w:rsidRPr="006F4326">
              <w:rPr>
                <w:rFonts w:ascii="Times New Roman" w:hAnsi="Times New Roman" w:cs="Times New Roman"/>
              </w:rPr>
              <w:t xml:space="preserve"> informācijā saskaņā ar noteikumu otro pielikumu ir jānorāda informācija tikai par to, ka mainīgā procentu likme var mainīties (t.sk. pieaugt un samazināties) un, piemērs, par kredīta maksājuma apmēra un gada procentu likmes izmaiņām, ja mainīgā procentu likme pieaug. Līdz ar to piedāvājam Noteikumu projekta 49.2. punktu izteikt šādā redakcijā: </w:t>
            </w:r>
          </w:p>
          <w:p w14:paraId="166D356C" w14:textId="5E15E842" w:rsidR="00523F69" w:rsidRDefault="00BB22BE" w:rsidP="004E6568">
            <w:pPr>
              <w:jc w:val="both"/>
              <w:rPr>
                <w:rFonts w:cs="Times New Roman"/>
                <w:i/>
                <w:iCs/>
                <w:szCs w:val="24"/>
              </w:rPr>
            </w:pPr>
            <w:r w:rsidRPr="004E6568">
              <w:rPr>
                <w:rFonts w:cs="Times New Roman"/>
                <w:i/>
                <w:iCs/>
                <w:szCs w:val="24"/>
              </w:rPr>
              <w:t>"</w:t>
            </w:r>
            <w:r w:rsidR="006F4326" w:rsidRPr="006F4326">
              <w:rPr>
                <w:rFonts w:cs="Times New Roman"/>
                <w:i/>
                <w:iCs/>
                <w:szCs w:val="24"/>
              </w:rPr>
              <w:t xml:space="preserve">ja kredīta līgums ir ar mainīgo procentu likmi, brīdināt par riskiem, kas saistīti ar procentu likmju pieauguma ietekmi uz aizņēmēja veicamo </w:t>
            </w:r>
            <w:proofErr w:type="spellStart"/>
            <w:r w:rsidR="006F4326" w:rsidRPr="006F4326">
              <w:rPr>
                <w:rFonts w:cs="Times New Roman"/>
                <w:i/>
                <w:iCs/>
                <w:szCs w:val="24"/>
              </w:rPr>
              <w:t>kredītmaksājumu</w:t>
            </w:r>
            <w:proofErr w:type="spellEnd"/>
            <w:r w:rsidR="006F4326" w:rsidRPr="006F4326">
              <w:rPr>
                <w:rFonts w:cs="Times New Roman"/>
                <w:i/>
                <w:iCs/>
                <w:szCs w:val="24"/>
              </w:rPr>
              <w:t xml:space="preserve"> apmēru, sniedzot aprēķina piemērus, kas ilustrē, kā procentu likmes pieaugums var ietekmēt parāda apkalpošanas izdevumu apmēru</w:t>
            </w:r>
            <w:r w:rsidR="00511A45">
              <w:rPr>
                <w:rFonts w:cs="Times New Roman"/>
                <w:i/>
                <w:iCs/>
                <w:szCs w:val="24"/>
              </w:rPr>
              <w:t>;</w:t>
            </w:r>
            <w:r>
              <w:rPr>
                <w:rFonts w:cs="Times New Roman"/>
                <w:i/>
                <w:iCs/>
                <w:szCs w:val="24"/>
              </w:rPr>
              <w:t>"</w:t>
            </w:r>
            <w:r w:rsidR="006F4326" w:rsidRPr="006F4326">
              <w:rPr>
                <w:rFonts w:cs="Times New Roman"/>
                <w:i/>
                <w:iCs/>
                <w:szCs w:val="24"/>
              </w:rPr>
              <w:t>.</w:t>
            </w:r>
          </w:p>
          <w:p w14:paraId="46CBAC40" w14:textId="3F91F8CD" w:rsidR="00054629" w:rsidRPr="006F4326" w:rsidRDefault="00054629" w:rsidP="00511A45">
            <w:pPr>
              <w:jc w:val="center"/>
              <w:rPr>
                <w:rFonts w:cs="Times New Roman"/>
                <w:bCs/>
                <w:szCs w:val="24"/>
              </w:rPr>
            </w:pP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0C58C0F6" w14:textId="77777777" w:rsidR="006F4326" w:rsidRPr="006F4326" w:rsidRDefault="006F4326" w:rsidP="006F4326">
            <w:pPr>
              <w:jc w:val="both"/>
              <w:rPr>
                <w:rFonts w:cs="Times New Roman"/>
                <w:b/>
                <w:iCs/>
                <w:szCs w:val="24"/>
              </w:rPr>
            </w:pPr>
            <w:r w:rsidRPr="006F4326">
              <w:rPr>
                <w:rFonts w:cs="Times New Roman"/>
                <w:b/>
                <w:iCs/>
                <w:szCs w:val="24"/>
              </w:rPr>
              <w:t xml:space="preserve">Ņemts vērā. </w:t>
            </w:r>
          </w:p>
          <w:p w14:paraId="43EF6393" w14:textId="77777777" w:rsidR="006F4326" w:rsidRDefault="006F4326" w:rsidP="006F4326">
            <w:pPr>
              <w:jc w:val="both"/>
              <w:rPr>
                <w:rFonts w:cs="Times New Roman"/>
                <w:bCs/>
                <w:iCs/>
                <w:szCs w:val="24"/>
              </w:rPr>
            </w:pPr>
            <w:r>
              <w:rPr>
                <w:rFonts w:cs="Times New Roman"/>
                <w:bCs/>
                <w:iCs/>
                <w:szCs w:val="24"/>
              </w:rPr>
              <w:t xml:space="preserve">Jaunā redakcija: </w:t>
            </w:r>
          </w:p>
          <w:p w14:paraId="0E9C0059" w14:textId="5B894D4F" w:rsidR="00523F69" w:rsidRPr="00523F69" w:rsidRDefault="00BB22BE" w:rsidP="004E6568">
            <w:pPr>
              <w:jc w:val="both"/>
              <w:rPr>
                <w:rFonts w:cs="Times New Roman"/>
                <w:bCs/>
                <w:iCs/>
                <w:szCs w:val="24"/>
              </w:rPr>
            </w:pPr>
            <w:r>
              <w:t>"[..]</w:t>
            </w:r>
            <w:r w:rsidR="006F4326">
              <w:t xml:space="preserve"> ja kredīta līgums ir ar mainīgo procentu likmi, brīdināt par riskiem, kas saistīti ar procentu likmju pieauguma ietekmi uz aizņēmēja veicamo </w:t>
            </w:r>
            <w:proofErr w:type="spellStart"/>
            <w:r w:rsidR="006F4326">
              <w:t>kredītmaksājumu</w:t>
            </w:r>
            <w:proofErr w:type="spellEnd"/>
            <w:r w:rsidR="006F4326">
              <w:t xml:space="preserve"> apmēru, sniedzot aprēķina piemērus, kas ilustrē, kā procentu likmes pieaugums var ietekmēt parāda apkalpošanas izdevumu </w:t>
            </w:r>
            <w:proofErr w:type="spellStart"/>
            <w:r w:rsidR="006F4326">
              <w:t>apmēru</w:t>
            </w:r>
            <w:r w:rsidR="006F4326" w:rsidRPr="006F4326">
              <w:rPr>
                <w:strike/>
              </w:rPr>
              <w:t>un</w:t>
            </w:r>
            <w:proofErr w:type="spellEnd"/>
            <w:r w:rsidR="006F4326" w:rsidRPr="006F4326">
              <w:rPr>
                <w:strike/>
              </w:rPr>
              <w:t xml:space="preserve"> to attiecību pret aizņēmēja ienākumiem</w:t>
            </w:r>
            <w:r w:rsidR="006F4326">
              <w:t>;</w:t>
            </w:r>
            <w:r>
              <w:t>"</w:t>
            </w:r>
            <w:r w:rsidR="00511A45">
              <w:t>.</w:t>
            </w:r>
          </w:p>
        </w:tc>
      </w:tr>
      <w:tr w:rsidR="006F4326" w:rsidRPr="00DA6E74" w14:paraId="109A489A" w14:textId="77777777" w:rsidTr="00523F69">
        <w:tc>
          <w:tcPr>
            <w:tcW w:w="0" w:type="auto"/>
            <w:tcBorders>
              <w:top w:val="single" w:sz="4" w:space="0" w:color="auto"/>
              <w:left w:val="single" w:sz="4" w:space="0" w:color="auto"/>
              <w:bottom w:val="single" w:sz="4" w:space="0" w:color="auto"/>
              <w:right w:val="single" w:sz="4" w:space="0" w:color="auto"/>
            </w:tcBorders>
          </w:tcPr>
          <w:p w14:paraId="7E3D0ED2" w14:textId="5693B890" w:rsidR="006F4326" w:rsidRPr="00523F69" w:rsidRDefault="006F4326" w:rsidP="00F62CB3">
            <w:pPr>
              <w:jc w:val="center"/>
              <w:rPr>
                <w:rFonts w:cs="Times New Roman"/>
                <w:bCs/>
                <w:szCs w:val="24"/>
              </w:rPr>
            </w:pPr>
            <w:r>
              <w:rPr>
                <w:rFonts w:cs="Times New Roman"/>
                <w:bCs/>
                <w:szCs w:val="24"/>
              </w:rPr>
              <w:t>3.</w:t>
            </w: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1EF4BB6D" w14:textId="3D67B0A8" w:rsidR="006277CA" w:rsidRPr="006277CA" w:rsidRDefault="006277CA" w:rsidP="004E6568">
            <w:pPr>
              <w:pStyle w:val="Default"/>
              <w:tabs>
                <w:tab w:val="left" w:pos="357"/>
                <w:tab w:val="left" w:pos="593"/>
                <w:tab w:val="left" w:pos="743"/>
              </w:tabs>
              <w:ind w:hanging="11"/>
              <w:jc w:val="both"/>
              <w:rPr>
                <w:rFonts w:ascii="Times New Roman" w:hAnsi="Times New Roman" w:cs="Times New Roman"/>
              </w:rPr>
            </w:pPr>
            <w:r w:rsidRPr="006277CA">
              <w:rPr>
                <w:rFonts w:ascii="Times New Roman" w:hAnsi="Times New Roman" w:cs="Times New Roman"/>
              </w:rPr>
              <w:t>72.</w:t>
            </w:r>
            <w:r w:rsidR="00C079E0">
              <w:rPr>
                <w:rFonts w:ascii="Times New Roman" w:hAnsi="Times New Roman" w:cs="Times New Roman"/>
              </w:rPr>
              <w:t xml:space="preserve"> </w:t>
            </w:r>
            <w:r w:rsidRPr="006277CA">
              <w:rPr>
                <w:rFonts w:ascii="Times New Roman" w:hAnsi="Times New Roman" w:cs="Times New Roman"/>
              </w:rPr>
              <w:t xml:space="preserve">Iestāde nepiemēro šo noteikumu 43. punktā, kā arī </w:t>
            </w:r>
            <w:r>
              <w:rPr>
                <w:rFonts w:ascii="Times New Roman" w:hAnsi="Times New Roman" w:cs="Times New Roman"/>
              </w:rPr>
              <w:t>73</w:t>
            </w:r>
            <w:r w:rsidRPr="006277CA">
              <w:rPr>
                <w:rFonts w:ascii="Times New Roman" w:hAnsi="Times New Roman" w:cs="Times New Roman"/>
              </w:rPr>
              <w:t xml:space="preserve">. un </w:t>
            </w:r>
            <w:r>
              <w:rPr>
                <w:rFonts w:ascii="Times New Roman" w:hAnsi="Times New Roman" w:cs="Times New Roman"/>
              </w:rPr>
              <w:t>75</w:t>
            </w:r>
            <w:r w:rsidRPr="006277CA">
              <w:rPr>
                <w:rFonts w:ascii="Times New Roman" w:hAnsi="Times New Roman" w:cs="Times New Roman"/>
              </w:rPr>
              <w:t>. punktā minētās maksimālā kredīta termiņa, DSTI rādītāja un DTI rādītāja prasības gadījumos, kas saskaņā ar Patērētāju tiesību aizsardzības likumu noteikti kā izņēmumi, uz kuriem neattiecina iestādes pienākumu izvērtēt patērētāja spēju atmaksāt kredītu, kā arī uz pārskatītiem aktīviem.</w:t>
            </w:r>
          </w:p>
          <w:p w14:paraId="076E7D09" w14:textId="61C37543" w:rsidR="006F4326" w:rsidRPr="006277CA" w:rsidRDefault="006F4326" w:rsidP="004E6568">
            <w:pPr>
              <w:tabs>
                <w:tab w:val="left" w:pos="345"/>
              </w:tabs>
              <w:ind w:hanging="11"/>
              <w:jc w:val="center"/>
              <w:rPr>
                <w:rFonts w:cs="Times New Roman"/>
                <w:bCs/>
                <w:szCs w:val="24"/>
              </w:rPr>
            </w:pP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5579A892" w14:textId="781EDCB2" w:rsidR="006F4326" w:rsidRPr="006277CA" w:rsidRDefault="006F4326" w:rsidP="004E6568">
            <w:pPr>
              <w:pStyle w:val="Default"/>
              <w:jc w:val="both"/>
              <w:rPr>
                <w:rFonts w:ascii="Times New Roman" w:hAnsi="Times New Roman" w:cs="Times New Roman"/>
              </w:rPr>
            </w:pPr>
            <w:r w:rsidRPr="006277CA">
              <w:rPr>
                <w:rFonts w:ascii="Times New Roman" w:hAnsi="Times New Roman" w:cs="Times New Roman"/>
              </w:rPr>
              <w:t xml:space="preserve">Noteikumu projekta 72.punktā lūdzam labot atsauces un piedāvājam punktu izteikt šādā redakcijā: </w:t>
            </w:r>
          </w:p>
          <w:p w14:paraId="34BF87BB" w14:textId="307AD7D7" w:rsidR="006F4326" w:rsidRPr="006277CA" w:rsidRDefault="00BB22BE" w:rsidP="004E6568">
            <w:pPr>
              <w:jc w:val="both"/>
              <w:rPr>
                <w:rFonts w:cs="Times New Roman"/>
                <w:bCs/>
                <w:szCs w:val="24"/>
              </w:rPr>
            </w:pPr>
            <w:r>
              <w:rPr>
                <w:rFonts w:cs="Times New Roman"/>
                <w:i/>
                <w:iCs/>
                <w:szCs w:val="24"/>
              </w:rPr>
              <w:t>"</w:t>
            </w:r>
            <w:r w:rsidR="006F4326" w:rsidRPr="006277CA">
              <w:rPr>
                <w:rFonts w:cs="Times New Roman"/>
                <w:i/>
                <w:iCs/>
                <w:szCs w:val="24"/>
              </w:rPr>
              <w:t xml:space="preserve">72. Iestāde nepiemēro šo noteikumu 43. punktā, kā arī 69. un 71. punktā minētās maksimālā kredīta termiņa, DSTI rādītāja un DTI rādītāja prasības gadījumos, kas saskaņā ar Patērētāju tiesību aizsardzības likumu noteikti kā izņēmumi, uz kuriem neattiecina iestādes pienākumu izvērtēt </w:t>
            </w:r>
            <w:r w:rsidR="006F4326" w:rsidRPr="006277CA">
              <w:rPr>
                <w:rFonts w:cs="Times New Roman"/>
                <w:i/>
                <w:iCs/>
                <w:szCs w:val="24"/>
              </w:rPr>
              <w:lastRenderedPageBreak/>
              <w:t>patērētāja spēju atmaksāt kredītu, kā arī uz pārskatītiem aktīviem.</w:t>
            </w:r>
            <w:r>
              <w:rPr>
                <w:rFonts w:cs="Times New Roman"/>
                <w:i/>
                <w:iCs/>
                <w:szCs w:val="24"/>
              </w:rPr>
              <w:t>"</w:t>
            </w: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68F2F06A" w14:textId="77777777" w:rsidR="006277CA" w:rsidRPr="006F4326" w:rsidRDefault="006277CA" w:rsidP="006277CA">
            <w:pPr>
              <w:jc w:val="both"/>
              <w:rPr>
                <w:rFonts w:cs="Times New Roman"/>
                <w:b/>
                <w:iCs/>
                <w:szCs w:val="24"/>
              </w:rPr>
            </w:pPr>
            <w:r w:rsidRPr="006F4326">
              <w:rPr>
                <w:rFonts w:cs="Times New Roman"/>
                <w:b/>
                <w:iCs/>
                <w:szCs w:val="24"/>
              </w:rPr>
              <w:lastRenderedPageBreak/>
              <w:t xml:space="preserve">Ņemts vērā. </w:t>
            </w:r>
          </w:p>
          <w:p w14:paraId="7A8C06EF" w14:textId="0C7D4BB2" w:rsidR="006277CA" w:rsidRPr="006277CA" w:rsidRDefault="006277CA" w:rsidP="006277CA">
            <w:pPr>
              <w:jc w:val="both"/>
              <w:rPr>
                <w:rFonts w:cs="Times New Roman"/>
                <w:bCs/>
                <w:iCs/>
                <w:szCs w:val="24"/>
              </w:rPr>
            </w:pPr>
            <w:r>
              <w:rPr>
                <w:rFonts w:cs="Times New Roman"/>
                <w:bCs/>
                <w:iCs/>
                <w:szCs w:val="24"/>
              </w:rPr>
              <w:t xml:space="preserve">Jaunā redakcija: </w:t>
            </w:r>
          </w:p>
          <w:p w14:paraId="462B107D" w14:textId="1E1DC524" w:rsidR="006277CA" w:rsidRPr="006277CA" w:rsidRDefault="00BB22BE" w:rsidP="004E6568">
            <w:pPr>
              <w:pStyle w:val="Default"/>
              <w:jc w:val="both"/>
              <w:rPr>
                <w:rFonts w:ascii="Times New Roman" w:hAnsi="Times New Roman" w:cs="Times New Roman"/>
              </w:rPr>
            </w:pPr>
            <w:r>
              <w:rPr>
                <w:rFonts w:ascii="Times New Roman" w:hAnsi="Times New Roman" w:cs="Times New Roman"/>
              </w:rPr>
              <w:t>"</w:t>
            </w:r>
            <w:r w:rsidR="006277CA" w:rsidRPr="006277CA">
              <w:rPr>
                <w:rFonts w:ascii="Times New Roman" w:hAnsi="Times New Roman" w:cs="Times New Roman"/>
              </w:rPr>
              <w:t xml:space="preserve">Iestāde nepiemēro šo noteikumu 43. punktā, kā arī </w:t>
            </w:r>
            <w:r w:rsidR="006277CA" w:rsidRPr="006277CA">
              <w:rPr>
                <w:rFonts w:ascii="Times New Roman" w:hAnsi="Times New Roman" w:cs="Times New Roman"/>
                <w:b/>
                <w:bCs/>
              </w:rPr>
              <w:t>69. un 71.</w:t>
            </w:r>
            <w:r w:rsidR="006277CA" w:rsidRPr="006277CA">
              <w:rPr>
                <w:rFonts w:ascii="Times New Roman" w:hAnsi="Times New Roman" w:cs="Times New Roman"/>
              </w:rPr>
              <w:t xml:space="preserve"> punktā minētās maksimālā kredīta termiņa, DSTI rādītāja un DTI rādītāja prasības </w:t>
            </w:r>
            <w:r w:rsidR="002E0211" w:rsidRPr="006277CA">
              <w:rPr>
                <w:rFonts w:ascii="Times New Roman" w:hAnsi="Times New Roman" w:cs="Times New Roman"/>
              </w:rPr>
              <w:t>pārskatītiem aktīviem</w:t>
            </w:r>
            <w:r w:rsidR="002E0211">
              <w:rPr>
                <w:rFonts w:ascii="Times New Roman" w:hAnsi="Times New Roman" w:cs="Times New Roman"/>
              </w:rPr>
              <w:t xml:space="preserve"> un</w:t>
            </w:r>
            <w:r w:rsidR="002E0211" w:rsidRPr="006277CA">
              <w:rPr>
                <w:rFonts w:ascii="Times New Roman" w:hAnsi="Times New Roman" w:cs="Times New Roman"/>
              </w:rPr>
              <w:t xml:space="preserve"> </w:t>
            </w:r>
            <w:r w:rsidR="006277CA" w:rsidRPr="006277CA">
              <w:rPr>
                <w:rFonts w:ascii="Times New Roman" w:hAnsi="Times New Roman" w:cs="Times New Roman"/>
              </w:rPr>
              <w:t>gadījumos, kas saskaņā ar Patērētāju tiesību aizsardzības likumu noteikti kā izņēmumi, uz kuriem neattiecina iestādes pienākumu izvērtēt patērētāja spēju atmaksāt kredītu.</w:t>
            </w:r>
            <w:r>
              <w:rPr>
                <w:rFonts w:ascii="Times New Roman" w:hAnsi="Times New Roman" w:cs="Times New Roman"/>
              </w:rPr>
              <w:t>"</w:t>
            </w:r>
          </w:p>
          <w:p w14:paraId="32C6D305" w14:textId="77777777" w:rsidR="006F4326" w:rsidRPr="00523F69" w:rsidRDefault="006F4326" w:rsidP="00F62CB3">
            <w:pPr>
              <w:jc w:val="center"/>
              <w:rPr>
                <w:rFonts w:cs="Times New Roman"/>
                <w:bCs/>
                <w:iCs/>
                <w:szCs w:val="24"/>
              </w:rPr>
            </w:pPr>
          </w:p>
        </w:tc>
      </w:tr>
      <w:tr w:rsidR="006F4326" w:rsidRPr="00DA6E74" w14:paraId="76DAD6E9" w14:textId="77777777" w:rsidTr="00523F69">
        <w:tc>
          <w:tcPr>
            <w:tcW w:w="0" w:type="auto"/>
            <w:tcBorders>
              <w:top w:val="single" w:sz="4" w:space="0" w:color="auto"/>
              <w:left w:val="single" w:sz="4" w:space="0" w:color="auto"/>
              <w:bottom w:val="single" w:sz="4" w:space="0" w:color="auto"/>
              <w:right w:val="single" w:sz="4" w:space="0" w:color="auto"/>
            </w:tcBorders>
          </w:tcPr>
          <w:p w14:paraId="1832A45D" w14:textId="63FB54FE" w:rsidR="006F4326" w:rsidRPr="00523F69" w:rsidRDefault="006F4326" w:rsidP="00AB1A2B">
            <w:pPr>
              <w:rPr>
                <w:rFonts w:cs="Times New Roman"/>
                <w:bCs/>
                <w:szCs w:val="24"/>
              </w:rPr>
            </w:pPr>
            <w:r>
              <w:rPr>
                <w:rFonts w:cs="Times New Roman"/>
                <w:bCs/>
                <w:szCs w:val="24"/>
              </w:rPr>
              <w:t>4.</w:t>
            </w: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69D83CCE" w14:textId="4B6C063C" w:rsidR="006F4326" w:rsidRPr="00523F69" w:rsidRDefault="00AB1A2B" w:rsidP="004E6568">
            <w:pPr>
              <w:tabs>
                <w:tab w:val="left" w:pos="357"/>
              </w:tabs>
              <w:jc w:val="both"/>
              <w:rPr>
                <w:rFonts w:cs="Times New Roman"/>
                <w:bCs/>
                <w:szCs w:val="24"/>
              </w:rPr>
            </w:pPr>
            <w:r>
              <w:rPr>
                <w:rFonts w:cs="Times New Roman"/>
                <w:bCs/>
                <w:szCs w:val="24"/>
              </w:rPr>
              <w:t xml:space="preserve">73. </w:t>
            </w:r>
            <w:r w:rsidRPr="00AB1A2B">
              <w:rPr>
                <w:rFonts w:cs="Times New Roman"/>
                <w:bCs/>
                <w:szCs w:val="24"/>
              </w:rPr>
              <w:t xml:space="preserve">Ja pēc kredīta termiņa beigām kredītņēmējam joprojām ir neizpildītas kredīta saistības (piemēram, kredīti piedziņas procesā), jauna kredīta izsniegšana kredītņēmējam ir aizliegta, ja vien tā netiek veikta pārskatīšanas pasākumu ietvaros atbilstoši šo noteikumu </w:t>
            </w:r>
            <w:r>
              <w:rPr>
                <w:rFonts w:cs="Times New Roman"/>
                <w:bCs/>
                <w:szCs w:val="24"/>
              </w:rPr>
              <w:t>7.</w:t>
            </w:r>
            <w:r w:rsidRPr="00AB1A2B">
              <w:rPr>
                <w:rFonts w:cs="Times New Roman"/>
                <w:bCs/>
                <w:szCs w:val="24"/>
              </w:rPr>
              <w:t xml:space="preserve"> nodaļai.</w:t>
            </w: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0A841104" w14:textId="77777777" w:rsidR="006277CA" w:rsidRPr="0069130F" w:rsidRDefault="006277CA" w:rsidP="004E6568">
            <w:pPr>
              <w:pStyle w:val="Default"/>
              <w:jc w:val="both"/>
              <w:rPr>
                <w:rFonts w:ascii="Times New Roman" w:hAnsi="Times New Roman" w:cs="Times New Roman"/>
              </w:rPr>
            </w:pPr>
            <w:r w:rsidRPr="0069130F">
              <w:rPr>
                <w:rFonts w:ascii="Times New Roman" w:hAnsi="Times New Roman" w:cs="Times New Roman"/>
              </w:rPr>
              <w:t xml:space="preserve">Noteikumu projekta 73. punktu lūdzam izteikt šādā redakcijā: </w:t>
            </w:r>
          </w:p>
          <w:p w14:paraId="27A18D72" w14:textId="7720AB59" w:rsidR="006F4326" w:rsidRPr="0069130F" w:rsidRDefault="00BB22BE" w:rsidP="004E6568">
            <w:pPr>
              <w:jc w:val="both"/>
              <w:rPr>
                <w:rFonts w:cs="Times New Roman"/>
                <w:bCs/>
                <w:i/>
                <w:iCs/>
                <w:szCs w:val="24"/>
              </w:rPr>
            </w:pPr>
            <w:r>
              <w:rPr>
                <w:rFonts w:cs="Times New Roman"/>
                <w:i/>
                <w:iCs/>
                <w:szCs w:val="24"/>
              </w:rPr>
              <w:t>"</w:t>
            </w:r>
            <w:r w:rsidR="006277CA" w:rsidRPr="0069130F">
              <w:rPr>
                <w:rFonts w:cs="Times New Roman"/>
                <w:i/>
                <w:iCs/>
                <w:szCs w:val="24"/>
              </w:rPr>
              <w:t>Ja pēc kredīta termiņa beigām aizņēmēja kredītsaistības ir ienākumus nenesošo kredītu statusā (piemēram, kredīti piedziņas procesā), jauna kredīta piešķiršana aizņēmējam ir aizliegta, ja vien tā netiek veikta pārskatīšanas pasākumu ietvaros atbilstoši šo noteikumu 7.nodaļai.</w:t>
            </w:r>
            <w:r>
              <w:rPr>
                <w:rFonts w:cs="Times New Roman"/>
                <w:i/>
                <w:iCs/>
                <w:szCs w:val="24"/>
              </w:rPr>
              <w:t>"</w:t>
            </w: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0AEE970E" w14:textId="77777777" w:rsidR="0069130F" w:rsidRPr="006F4326" w:rsidRDefault="0069130F" w:rsidP="0069130F">
            <w:pPr>
              <w:jc w:val="both"/>
              <w:rPr>
                <w:rFonts w:cs="Times New Roman"/>
                <w:b/>
                <w:iCs/>
                <w:szCs w:val="24"/>
              </w:rPr>
            </w:pPr>
            <w:r w:rsidRPr="006F4326">
              <w:rPr>
                <w:rFonts w:cs="Times New Roman"/>
                <w:b/>
                <w:iCs/>
                <w:szCs w:val="24"/>
              </w:rPr>
              <w:t xml:space="preserve">Ņemts vērā. </w:t>
            </w:r>
          </w:p>
          <w:p w14:paraId="7E25BDF6" w14:textId="77777777" w:rsidR="0069130F" w:rsidRPr="006277CA" w:rsidRDefault="0069130F" w:rsidP="0069130F">
            <w:pPr>
              <w:jc w:val="both"/>
              <w:rPr>
                <w:rFonts w:cs="Times New Roman"/>
                <w:bCs/>
                <w:iCs/>
                <w:szCs w:val="24"/>
              </w:rPr>
            </w:pPr>
            <w:r>
              <w:rPr>
                <w:rFonts w:cs="Times New Roman"/>
                <w:bCs/>
                <w:iCs/>
                <w:szCs w:val="24"/>
              </w:rPr>
              <w:t xml:space="preserve">Jaunā redakcija: </w:t>
            </w:r>
          </w:p>
          <w:p w14:paraId="313452ED" w14:textId="4A97E244" w:rsidR="006F4326" w:rsidRDefault="00BB22BE" w:rsidP="004E6568">
            <w:pPr>
              <w:jc w:val="both"/>
              <w:rPr>
                <w:rFonts w:cs="Times New Roman"/>
                <w:szCs w:val="24"/>
              </w:rPr>
            </w:pPr>
            <w:r w:rsidRPr="00736A66">
              <w:rPr>
                <w:rFonts w:cs="Times New Roman"/>
                <w:szCs w:val="24"/>
              </w:rPr>
              <w:t>"</w:t>
            </w:r>
            <w:r w:rsidR="0069130F" w:rsidRPr="00736A66">
              <w:rPr>
                <w:rFonts w:cs="Times New Roman"/>
                <w:szCs w:val="24"/>
              </w:rPr>
              <w:t>Ja pēc kredīta termiņa beigām aizņēmēja kredītsaistības ir ienākumus nenesoš</w:t>
            </w:r>
            <w:r w:rsidR="00AE18EF">
              <w:rPr>
                <w:rFonts w:cs="Times New Roman"/>
                <w:szCs w:val="24"/>
              </w:rPr>
              <w:t>a</w:t>
            </w:r>
            <w:r w:rsidR="0069130F" w:rsidRPr="00736A66">
              <w:rPr>
                <w:rFonts w:cs="Times New Roman"/>
                <w:szCs w:val="24"/>
              </w:rPr>
              <w:t xml:space="preserve"> kredīt</w:t>
            </w:r>
            <w:r w:rsidR="00AE18EF">
              <w:rPr>
                <w:rFonts w:cs="Times New Roman"/>
                <w:szCs w:val="24"/>
              </w:rPr>
              <w:t>a</w:t>
            </w:r>
            <w:r w:rsidR="0069130F" w:rsidRPr="00736A66">
              <w:rPr>
                <w:rFonts w:cs="Times New Roman"/>
                <w:szCs w:val="24"/>
              </w:rPr>
              <w:t xml:space="preserve"> statusā (piemēram, kredīti piedziņas procesā), jauna kredīta piešķiršana aizņēmējam ir aizliegta, ja vien tā netiek veikta pārskatīšanas pasākumu ietvaros atbilstoši šo noteikumu 7.</w:t>
            </w:r>
            <w:r w:rsidRPr="00736A66">
              <w:rPr>
                <w:rFonts w:cs="Times New Roman"/>
                <w:szCs w:val="24"/>
              </w:rPr>
              <w:t> </w:t>
            </w:r>
            <w:r w:rsidR="0069130F" w:rsidRPr="00736A66">
              <w:rPr>
                <w:rFonts w:cs="Times New Roman"/>
                <w:szCs w:val="24"/>
              </w:rPr>
              <w:t>nodaļai.</w:t>
            </w:r>
            <w:r w:rsidRPr="00736A66">
              <w:rPr>
                <w:rFonts w:cs="Times New Roman"/>
                <w:szCs w:val="24"/>
              </w:rPr>
              <w:t>"</w:t>
            </w:r>
          </w:p>
          <w:p w14:paraId="7BBC0363" w14:textId="0BB80107" w:rsidR="00054629" w:rsidRPr="0069130F" w:rsidRDefault="00054629" w:rsidP="0069130F">
            <w:pPr>
              <w:rPr>
                <w:rFonts w:cs="Times New Roman"/>
                <w:bCs/>
                <w:szCs w:val="24"/>
              </w:rPr>
            </w:pPr>
          </w:p>
        </w:tc>
      </w:tr>
      <w:tr w:rsidR="006F4326" w:rsidRPr="00DA6E74" w14:paraId="39BDA9BC" w14:textId="77777777" w:rsidTr="00523F69">
        <w:tc>
          <w:tcPr>
            <w:tcW w:w="0" w:type="auto"/>
            <w:tcBorders>
              <w:top w:val="single" w:sz="4" w:space="0" w:color="auto"/>
              <w:left w:val="single" w:sz="4" w:space="0" w:color="auto"/>
              <w:bottom w:val="single" w:sz="4" w:space="0" w:color="auto"/>
              <w:right w:val="single" w:sz="4" w:space="0" w:color="auto"/>
            </w:tcBorders>
          </w:tcPr>
          <w:p w14:paraId="5C59798A" w14:textId="483CF6D3" w:rsidR="006F4326" w:rsidRPr="00523F69" w:rsidRDefault="006F4326" w:rsidP="00F62CB3">
            <w:pPr>
              <w:jc w:val="center"/>
              <w:rPr>
                <w:rFonts w:cs="Times New Roman"/>
                <w:bCs/>
                <w:szCs w:val="24"/>
              </w:rPr>
            </w:pPr>
            <w:r>
              <w:rPr>
                <w:rFonts w:cs="Times New Roman"/>
                <w:bCs/>
                <w:szCs w:val="24"/>
              </w:rPr>
              <w:t>5.</w:t>
            </w: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4663A7CB" w14:textId="77777777" w:rsidR="0069130F" w:rsidRDefault="0069130F" w:rsidP="004E6568">
            <w:pPr>
              <w:pStyle w:val="NApunkts1"/>
              <w:numPr>
                <w:ilvl w:val="0"/>
                <w:numId w:val="0"/>
              </w:numPr>
              <w:spacing w:before="0"/>
            </w:pPr>
            <w:r>
              <w:t xml:space="preserve">76. Vērtējot patērētāja kreditēšanas līguma galvinieka, kas nav saimnieciskās darbības veicējs, spēju izpildīt no galvojuma līguma izrietošās saistības, iestāde: </w:t>
            </w:r>
          </w:p>
          <w:p w14:paraId="78F8C348" w14:textId="2DC0A98F" w:rsidR="0069130F" w:rsidRPr="004D4196" w:rsidRDefault="0069130F" w:rsidP="004E6568">
            <w:pPr>
              <w:pStyle w:val="NApunkts1"/>
              <w:numPr>
                <w:ilvl w:val="0"/>
                <w:numId w:val="0"/>
              </w:numPr>
              <w:spacing w:before="0"/>
            </w:pPr>
            <w:r w:rsidRPr="0069130F">
              <w:t>76.1. galviniekam, kas sniedz galvojumu, piemēro šo noteikumu </w:t>
            </w:r>
            <w:hyperlink r:id="rId10" w:anchor="p38" w:history="1">
              <w:r>
                <w:t>47</w:t>
              </w:r>
              <w:r w:rsidRPr="0069130F">
                <w:t>. </w:t>
              </w:r>
            </w:hyperlink>
            <w:r w:rsidR="00054629">
              <w:t>punktā, kā arī 73.</w:t>
            </w:r>
            <w:r w:rsidR="00BB22BE">
              <w:t> </w:t>
            </w:r>
            <w:r w:rsidR="00054629">
              <w:t>un 75.</w:t>
            </w:r>
            <w:r w:rsidRPr="0069130F">
              <w:t xml:space="preserve"> punktā minētās prasības, aprēķinā ietverot gan galvojuma saistības, par kurām tiek slēgts līgums, gan atlikušās citas esošās galvojuma saistības – abas vismaz 50</w:t>
            </w:r>
            <w:r w:rsidR="00BB22BE">
              <w:t> </w:t>
            </w:r>
            <w:r w:rsidRPr="0069130F">
              <w:t>procentu apmērā;</w:t>
            </w:r>
          </w:p>
          <w:p w14:paraId="6F9890C0" w14:textId="77777777" w:rsidR="006F4326" w:rsidRPr="0069130F" w:rsidRDefault="006F4326" w:rsidP="00F62CB3">
            <w:pPr>
              <w:jc w:val="center"/>
              <w:rPr>
                <w:rFonts w:eastAsia="Times New Roman" w:cs="Times New Roman"/>
                <w:szCs w:val="24"/>
              </w:rPr>
            </w:pP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4AF60BFD" w14:textId="65F4F23D" w:rsidR="006F4326" w:rsidRPr="0069130F" w:rsidRDefault="006277CA" w:rsidP="004E6568">
            <w:pPr>
              <w:jc w:val="both"/>
              <w:rPr>
                <w:rFonts w:cs="Times New Roman"/>
                <w:bCs/>
                <w:szCs w:val="24"/>
              </w:rPr>
            </w:pPr>
            <w:r w:rsidRPr="0069130F">
              <w:rPr>
                <w:rFonts w:cs="Times New Roman"/>
                <w:szCs w:val="24"/>
              </w:rPr>
              <w:t>Noteikumu projekta 76.1. punktā lūdzam labot atsauces uz saturiski atbilstošiem punktiem</w:t>
            </w: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17B60731" w14:textId="77777777" w:rsidR="0069130F" w:rsidRPr="006F4326" w:rsidRDefault="0069130F" w:rsidP="0069130F">
            <w:pPr>
              <w:jc w:val="both"/>
              <w:rPr>
                <w:rFonts w:cs="Times New Roman"/>
                <w:b/>
                <w:iCs/>
                <w:szCs w:val="24"/>
              </w:rPr>
            </w:pPr>
            <w:r w:rsidRPr="006F4326">
              <w:rPr>
                <w:rFonts w:cs="Times New Roman"/>
                <w:b/>
                <w:iCs/>
                <w:szCs w:val="24"/>
              </w:rPr>
              <w:t xml:space="preserve">Ņemts vērā. </w:t>
            </w:r>
          </w:p>
          <w:p w14:paraId="19178E36" w14:textId="4756B6E8" w:rsidR="0069130F" w:rsidRPr="0069130F" w:rsidRDefault="003D7611" w:rsidP="0069130F">
            <w:pPr>
              <w:jc w:val="both"/>
              <w:rPr>
                <w:rFonts w:cs="Times New Roman"/>
                <w:bCs/>
                <w:iCs/>
                <w:szCs w:val="24"/>
              </w:rPr>
            </w:pPr>
            <w:r>
              <w:rPr>
                <w:rFonts w:cs="Times New Roman"/>
                <w:bCs/>
                <w:iCs/>
                <w:szCs w:val="24"/>
              </w:rPr>
              <w:t xml:space="preserve">Ņemot vērā 6. priekšlikumu, mainīta punktu kārtība un šis punkts </w:t>
            </w:r>
            <w:r w:rsidR="00F35373">
              <w:rPr>
                <w:rFonts w:cs="Times New Roman"/>
                <w:bCs/>
                <w:iCs/>
                <w:szCs w:val="24"/>
              </w:rPr>
              <w:t xml:space="preserve">kļūst par 77. punktu. </w:t>
            </w:r>
            <w:r w:rsidR="0069130F">
              <w:rPr>
                <w:rFonts w:cs="Times New Roman"/>
                <w:bCs/>
                <w:iCs/>
                <w:szCs w:val="24"/>
              </w:rPr>
              <w:t xml:space="preserve">Jaunā redakcija: </w:t>
            </w:r>
          </w:p>
          <w:p w14:paraId="4D269572" w14:textId="4211F445" w:rsidR="0069130F" w:rsidRPr="00D304A1" w:rsidRDefault="00BB22BE" w:rsidP="0069130F">
            <w:pPr>
              <w:pStyle w:val="NApunkts2"/>
              <w:numPr>
                <w:ilvl w:val="0"/>
                <w:numId w:val="0"/>
              </w:numPr>
            </w:pPr>
            <w:r>
              <w:t>"[..]</w:t>
            </w:r>
            <w:r w:rsidR="0069130F">
              <w:t xml:space="preserve"> galviniekam, kas sniedz galvojumu, piemēro šo noteikumu </w:t>
            </w:r>
            <w:r w:rsidR="0069130F" w:rsidRPr="0069130F">
              <w:rPr>
                <w:b/>
                <w:bCs/>
              </w:rPr>
              <w:t>43</w:t>
            </w:r>
            <w:r w:rsidR="0069130F" w:rsidRPr="003250A1">
              <w:t xml:space="preserve">. punktā, kā arī </w:t>
            </w:r>
            <w:r w:rsidR="0069130F" w:rsidRPr="0069130F">
              <w:rPr>
                <w:b/>
                <w:bCs/>
              </w:rPr>
              <w:t>69. un 71. </w:t>
            </w:r>
            <w:r w:rsidR="0069130F" w:rsidRPr="0069130F">
              <w:t>punktā</w:t>
            </w:r>
            <w:r w:rsidR="0069130F" w:rsidRPr="00D304A1">
              <w:t xml:space="preserve"> minētās prasības, aprēķinā ietverot gan galvojuma saistības, par kurām tiek slēgts līgums, gan atlikušās citas esošās galvojuma saistības</w:t>
            </w:r>
            <w:r w:rsidR="0069130F">
              <w:t> </w:t>
            </w:r>
            <w:r w:rsidR="0069130F" w:rsidRPr="00D304A1">
              <w:t>– abas vismaz 50</w:t>
            </w:r>
            <w:r w:rsidR="00511A45">
              <w:t> </w:t>
            </w:r>
            <w:r w:rsidR="0069130F" w:rsidRPr="00D304A1">
              <w:t>procentu apmērā;</w:t>
            </w:r>
            <w:r>
              <w:t>"</w:t>
            </w:r>
            <w:r w:rsidR="00511A45">
              <w:t>.</w:t>
            </w:r>
          </w:p>
          <w:p w14:paraId="5C36B4A9" w14:textId="77777777" w:rsidR="006F4326" w:rsidRPr="00523F69" w:rsidRDefault="006F4326" w:rsidP="00F62CB3">
            <w:pPr>
              <w:jc w:val="center"/>
              <w:rPr>
                <w:rFonts w:cs="Times New Roman"/>
                <w:bCs/>
                <w:iCs/>
                <w:szCs w:val="24"/>
              </w:rPr>
            </w:pPr>
          </w:p>
        </w:tc>
      </w:tr>
      <w:tr w:rsidR="006F4326" w:rsidRPr="00DA6E74" w14:paraId="75EAEFF4" w14:textId="77777777" w:rsidTr="00523F69">
        <w:tc>
          <w:tcPr>
            <w:tcW w:w="0" w:type="auto"/>
            <w:tcBorders>
              <w:top w:val="single" w:sz="4" w:space="0" w:color="auto"/>
              <w:left w:val="single" w:sz="4" w:space="0" w:color="auto"/>
              <w:bottom w:val="single" w:sz="4" w:space="0" w:color="auto"/>
              <w:right w:val="single" w:sz="4" w:space="0" w:color="auto"/>
            </w:tcBorders>
          </w:tcPr>
          <w:p w14:paraId="3C25722E" w14:textId="55594B0D" w:rsidR="006F4326" w:rsidRPr="00523F69" w:rsidRDefault="006F4326" w:rsidP="00F62CB3">
            <w:pPr>
              <w:jc w:val="center"/>
              <w:rPr>
                <w:rFonts w:cs="Times New Roman"/>
                <w:bCs/>
                <w:szCs w:val="24"/>
              </w:rPr>
            </w:pPr>
            <w:r>
              <w:rPr>
                <w:rFonts w:cs="Times New Roman"/>
                <w:bCs/>
                <w:szCs w:val="24"/>
              </w:rPr>
              <w:t>6.</w:t>
            </w: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5D6421D2" w14:textId="51593B0A" w:rsidR="00054629" w:rsidRDefault="00054629" w:rsidP="004E6568">
            <w:pPr>
              <w:pStyle w:val="NApunkts1"/>
              <w:numPr>
                <w:ilvl w:val="0"/>
                <w:numId w:val="5"/>
              </w:numPr>
              <w:tabs>
                <w:tab w:val="left" w:pos="336"/>
                <w:tab w:val="left" w:pos="593"/>
              </w:tabs>
              <w:spacing w:before="0"/>
              <w:ind w:left="0" w:firstLine="0"/>
            </w:pPr>
            <w:r>
              <w:t xml:space="preserve">Vērtējot patērētāja kreditēšanas līguma galvinieka, kas nav saimnieciskās darbības veicējs, spēju izpildīt no galvojuma līguma izrietošās saistības, iestāde: </w:t>
            </w:r>
          </w:p>
          <w:p w14:paraId="51D601F8" w14:textId="77777777" w:rsidR="00054629" w:rsidRPr="004D4196" w:rsidRDefault="00054629" w:rsidP="004E6568">
            <w:pPr>
              <w:pStyle w:val="NApunkts1"/>
              <w:numPr>
                <w:ilvl w:val="0"/>
                <w:numId w:val="0"/>
              </w:numPr>
              <w:tabs>
                <w:tab w:val="left" w:pos="336"/>
                <w:tab w:val="left" w:pos="593"/>
              </w:tabs>
              <w:spacing w:before="0"/>
            </w:pPr>
            <w:r w:rsidRPr="0069130F">
              <w:t>76.1. galviniekam, kas sniedz galvojumu, piemēro šo noteikumu </w:t>
            </w:r>
            <w:hyperlink r:id="rId11" w:anchor="p38" w:history="1">
              <w:r>
                <w:t>47</w:t>
              </w:r>
              <w:r w:rsidRPr="0069130F">
                <w:t>. </w:t>
              </w:r>
            </w:hyperlink>
            <w:r>
              <w:t>punktā, kā arī 73. un 75.</w:t>
            </w:r>
            <w:r w:rsidRPr="0069130F">
              <w:t xml:space="preserve"> punktā minētās prasības, aprēķinā ietverot gan galvojuma saistības, par kurām tiek slēgts līgums, gan atlikušās citas esošās </w:t>
            </w:r>
            <w:r w:rsidRPr="0069130F">
              <w:lastRenderedPageBreak/>
              <w:t>galvojuma saistības – abas vismaz 50 procentu apmērā;</w:t>
            </w:r>
          </w:p>
          <w:p w14:paraId="6EB6E69F" w14:textId="45E3BCBF" w:rsidR="00054629" w:rsidRPr="00316F94" w:rsidRDefault="00054629" w:rsidP="004E6568">
            <w:pPr>
              <w:pStyle w:val="NApunkts2"/>
              <w:numPr>
                <w:ilvl w:val="1"/>
                <w:numId w:val="5"/>
              </w:numPr>
              <w:tabs>
                <w:tab w:val="left" w:pos="336"/>
                <w:tab w:val="left" w:pos="593"/>
              </w:tabs>
              <w:ind w:left="0" w:firstLine="0"/>
            </w:pPr>
            <w:r>
              <w:t xml:space="preserve"> </w:t>
            </w:r>
            <w:r w:rsidRPr="00D304A1">
              <w:t>galvojuma līgumā nosaka katra</w:t>
            </w:r>
            <w:r>
              <w:t xml:space="preserve"> iesaistītā galvinieka galvojuma apmēru; </w:t>
            </w:r>
          </w:p>
          <w:p w14:paraId="79BA5539" w14:textId="236E9CEC" w:rsidR="00054629" w:rsidRDefault="00BB22BE" w:rsidP="004E6568">
            <w:pPr>
              <w:pStyle w:val="NApunkts2"/>
              <w:numPr>
                <w:ilvl w:val="1"/>
                <w:numId w:val="5"/>
              </w:numPr>
              <w:tabs>
                <w:tab w:val="left" w:pos="336"/>
                <w:tab w:val="left" w:pos="593"/>
              </w:tabs>
              <w:ind w:left="0" w:firstLine="0"/>
            </w:pPr>
            <w:r>
              <w:t xml:space="preserve"> </w:t>
            </w:r>
            <w:r w:rsidR="00054629">
              <w:t xml:space="preserve">ja kredītam tiek piesaistīti vairāki galvinieki, šo galvinieku DSTI rādītāja un DTI rādītāja vērtējumā viņu ienākumus un </w:t>
            </w:r>
            <w:proofErr w:type="spellStart"/>
            <w:r w:rsidR="00054629">
              <w:t>kredītmaksājumus</w:t>
            </w:r>
            <w:proofErr w:type="spellEnd"/>
            <w:r w:rsidR="00054629">
              <w:t xml:space="preserve"> var summēt;</w:t>
            </w:r>
          </w:p>
          <w:p w14:paraId="2C4741A1" w14:textId="45D4C3D2" w:rsidR="00054629" w:rsidRPr="00316F94" w:rsidRDefault="00054629" w:rsidP="004E6568">
            <w:pPr>
              <w:pStyle w:val="NApunkts2"/>
              <w:numPr>
                <w:ilvl w:val="1"/>
                <w:numId w:val="5"/>
              </w:numPr>
              <w:tabs>
                <w:tab w:val="left" w:pos="336"/>
                <w:tab w:val="left" w:pos="593"/>
              </w:tabs>
              <w:ind w:left="0" w:firstLine="0"/>
            </w:pPr>
            <w:r>
              <w:rPr>
                <w:b/>
                <w:bCs/>
              </w:rPr>
              <w:t xml:space="preserve"> </w:t>
            </w:r>
            <w:r w:rsidRPr="00054629">
              <w:t>ja kredīts tiek piešķirts aizņēmējam, kurš vienlaikus ir galvinieks par citām saistībām, viņa DSTI rādītāja un DTI rādītāja aprēķinā ņem vērā arī viņa sniegtos galvojumus (t. sk. galvojumus juridiskajai personai) vismaz 50</w:t>
            </w:r>
            <w:r w:rsidR="00BB22BE">
              <w:t> </w:t>
            </w:r>
            <w:r w:rsidRPr="00054629">
              <w:t>procentu apmērā no atlikušā saistību, par kurām sniegts galvojums, apmēra</w:t>
            </w:r>
            <w:r>
              <w:t>.</w:t>
            </w:r>
          </w:p>
          <w:p w14:paraId="039A233C" w14:textId="7FF46210" w:rsidR="006F4326" w:rsidRPr="00054629" w:rsidRDefault="00054629" w:rsidP="004E6568">
            <w:pPr>
              <w:pStyle w:val="NApunkts2"/>
              <w:numPr>
                <w:ilvl w:val="0"/>
                <w:numId w:val="0"/>
              </w:numPr>
              <w:tabs>
                <w:tab w:val="left" w:pos="336"/>
                <w:tab w:val="left" w:pos="593"/>
              </w:tabs>
            </w:pPr>
            <w:r>
              <w:t xml:space="preserve"> </w:t>
            </w: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4B466414" w14:textId="16D103AC" w:rsidR="006F4326" w:rsidRPr="0069130F" w:rsidRDefault="006277CA" w:rsidP="004E6568">
            <w:pPr>
              <w:jc w:val="both"/>
              <w:rPr>
                <w:rFonts w:cs="Times New Roman"/>
                <w:bCs/>
                <w:szCs w:val="24"/>
              </w:rPr>
            </w:pPr>
            <w:r w:rsidRPr="0069130F">
              <w:rPr>
                <w:rFonts w:cs="Times New Roman"/>
                <w:szCs w:val="24"/>
              </w:rPr>
              <w:lastRenderedPageBreak/>
              <w:t>Noteikumu projekta 76.4. punktam jāatrodas nevis pie 76. punkta, bet gan pie DSTI un DTI noteikumiem, jo punkts nosaka aizņēmēja kredītspējas izvērtēšanu un kā to ietekmē iepriekš sniegti galvojumi.</w:t>
            </w: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00FA49D6" w14:textId="15F9A3A6" w:rsidR="00054629" w:rsidRPr="006F4326" w:rsidRDefault="00054629" w:rsidP="00054629">
            <w:pPr>
              <w:jc w:val="both"/>
              <w:rPr>
                <w:rFonts w:cs="Times New Roman"/>
                <w:b/>
                <w:iCs/>
                <w:szCs w:val="24"/>
              </w:rPr>
            </w:pPr>
            <w:r w:rsidRPr="006F4326">
              <w:rPr>
                <w:rFonts w:cs="Times New Roman"/>
                <w:b/>
                <w:iCs/>
                <w:szCs w:val="24"/>
              </w:rPr>
              <w:t>Ņemts vērā</w:t>
            </w:r>
            <w:r w:rsidRPr="004E6568">
              <w:rPr>
                <w:rFonts w:cs="Times New Roman"/>
                <w:bCs/>
                <w:iCs/>
                <w:szCs w:val="24"/>
              </w:rPr>
              <w:t>,</w:t>
            </w:r>
            <w:r>
              <w:rPr>
                <w:rFonts w:cs="Times New Roman"/>
                <w:b/>
                <w:iCs/>
                <w:szCs w:val="24"/>
              </w:rPr>
              <w:t xml:space="preserve"> </w:t>
            </w:r>
            <w:r w:rsidR="00604F14" w:rsidRPr="00604F14">
              <w:rPr>
                <w:rFonts w:cs="Times New Roman"/>
                <w:bCs/>
                <w:iCs/>
                <w:szCs w:val="24"/>
              </w:rPr>
              <w:t>norma pārcelta uz noteikumu projekta 76. punktu</w:t>
            </w:r>
            <w:r w:rsidRPr="00604F14">
              <w:rPr>
                <w:rFonts w:cs="Times New Roman"/>
                <w:bCs/>
                <w:iCs/>
                <w:szCs w:val="24"/>
              </w:rPr>
              <w:t>.</w:t>
            </w:r>
          </w:p>
          <w:p w14:paraId="667A1E57" w14:textId="77777777" w:rsidR="006F4326" w:rsidRPr="00523F69" w:rsidRDefault="006F4326" w:rsidP="00604F14">
            <w:pPr>
              <w:pStyle w:val="NApunkts1"/>
              <w:numPr>
                <w:ilvl w:val="0"/>
                <w:numId w:val="0"/>
              </w:numPr>
              <w:rPr>
                <w:bCs/>
                <w:iCs/>
              </w:rPr>
            </w:pPr>
          </w:p>
        </w:tc>
      </w:tr>
      <w:tr w:rsidR="006F4326" w:rsidRPr="00DA6E74" w14:paraId="4814EDB3" w14:textId="77777777" w:rsidTr="00523F69">
        <w:tc>
          <w:tcPr>
            <w:tcW w:w="0" w:type="auto"/>
            <w:tcBorders>
              <w:top w:val="single" w:sz="4" w:space="0" w:color="auto"/>
              <w:left w:val="single" w:sz="4" w:space="0" w:color="auto"/>
              <w:bottom w:val="single" w:sz="4" w:space="0" w:color="auto"/>
              <w:right w:val="single" w:sz="4" w:space="0" w:color="auto"/>
            </w:tcBorders>
          </w:tcPr>
          <w:p w14:paraId="2E768175" w14:textId="07C0D3EB" w:rsidR="006F4326" w:rsidRPr="00523F69" w:rsidRDefault="006F4326" w:rsidP="00F62CB3">
            <w:pPr>
              <w:jc w:val="center"/>
              <w:rPr>
                <w:rFonts w:cs="Times New Roman"/>
                <w:bCs/>
                <w:szCs w:val="24"/>
              </w:rPr>
            </w:pPr>
            <w:r>
              <w:rPr>
                <w:rFonts w:cs="Times New Roman"/>
                <w:bCs/>
                <w:szCs w:val="24"/>
              </w:rPr>
              <w:t>7.</w:t>
            </w: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4DB4E763" w14:textId="32B34C03" w:rsidR="00F571CF" w:rsidRPr="00F571CF" w:rsidRDefault="00F571CF" w:rsidP="004E6568">
            <w:pPr>
              <w:ind w:hanging="11"/>
              <w:jc w:val="both"/>
              <w:rPr>
                <w:rFonts w:cs="Times New Roman"/>
                <w:bCs/>
                <w:iCs/>
                <w:szCs w:val="24"/>
              </w:rPr>
            </w:pPr>
            <w:r>
              <w:rPr>
                <w:rFonts w:cs="Times New Roman"/>
                <w:bCs/>
                <w:iCs/>
                <w:szCs w:val="24"/>
              </w:rPr>
              <w:t xml:space="preserve">77. </w:t>
            </w:r>
            <w:r>
              <w:t>Iestāde izstrādā kritērijus, balstoties uz kuriem šo noteikumu 57</w:t>
            </w:r>
            <w:r w:rsidRPr="003250A1">
              <w:t>. punktā</w:t>
            </w:r>
            <w:r>
              <w:t xml:space="preserve"> un 58</w:t>
            </w:r>
            <w:r w:rsidRPr="003250A1">
              <w:t>. punktā</w:t>
            </w:r>
            <w:r w:rsidRPr="00D304A1">
              <w:t xml:space="preserve"> un </w:t>
            </w:r>
            <w:r>
              <w:t>minētā proporcija no atlikušā saistību, par kurām sniegts galvojums, apmēra tiek noteikta augstāka nekā 50 procentu apmērā.</w:t>
            </w:r>
          </w:p>
          <w:p w14:paraId="135123C6" w14:textId="77777777" w:rsidR="006F4326" w:rsidRPr="00523F69" w:rsidRDefault="006F4326" w:rsidP="004E6568">
            <w:pPr>
              <w:ind w:hanging="11"/>
              <w:jc w:val="center"/>
              <w:rPr>
                <w:rFonts w:cs="Times New Roman"/>
                <w:bCs/>
                <w:szCs w:val="24"/>
              </w:rPr>
            </w:pP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1D653A5F" w14:textId="77777777" w:rsidR="00AB1A2B" w:rsidRPr="0069130F" w:rsidRDefault="00AB1A2B" w:rsidP="004E6568">
            <w:pPr>
              <w:pStyle w:val="Default"/>
              <w:jc w:val="both"/>
              <w:rPr>
                <w:rFonts w:ascii="Times New Roman" w:hAnsi="Times New Roman" w:cs="Times New Roman"/>
              </w:rPr>
            </w:pPr>
            <w:r w:rsidRPr="0069130F">
              <w:rPr>
                <w:rFonts w:ascii="Times New Roman" w:hAnsi="Times New Roman" w:cs="Times New Roman"/>
              </w:rPr>
              <w:t xml:space="preserve">Noteikumu projekta 77.punktā nepareiza atsauce uz punktiem. Piedāvājam punktu izteikt šādā redakcijā: </w:t>
            </w:r>
          </w:p>
          <w:p w14:paraId="4F7D0429" w14:textId="77777777" w:rsidR="00AB1A2B" w:rsidRPr="0069130F" w:rsidRDefault="00AB1A2B" w:rsidP="004E6568">
            <w:pPr>
              <w:pStyle w:val="Default"/>
              <w:jc w:val="both"/>
              <w:rPr>
                <w:rFonts w:ascii="Times New Roman" w:hAnsi="Times New Roman" w:cs="Times New Roman"/>
              </w:rPr>
            </w:pPr>
            <w:r w:rsidRPr="0069130F">
              <w:rPr>
                <w:rFonts w:ascii="Times New Roman" w:hAnsi="Times New Roman" w:cs="Times New Roman"/>
                <w:i/>
                <w:iCs/>
              </w:rPr>
              <w:t xml:space="preserve">77. Iestāde izstrādā kritērijus, balstoties uz kuriem šo noteikumu 76.1. un 76.4. apakšpunktos minētā proporcija no atlikušā saistību, par kurām sniegts galvojums, apmēra tiek noteikta augstāka nekā 50 procentu apmērā. </w:t>
            </w:r>
          </w:p>
          <w:p w14:paraId="0A1574D6" w14:textId="2E7FA7F9" w:rsidR="00AB1A2B" w:rsidRPr="0069130F" w:rsidRDefault="00AB1A2B" w:rsidP="004E6568">
            <w:pPr>
              <w:pStyle w:val="Default"/>
              <w:jc w:val="both"/>
              <w:rPr>
                <w:rFonts w:ascii="Times New Roman" w:hAnsi="Times New Roman" w:cs="Times New Roman"/>
              </w:rPr>
            </w:pPr>
            <w:r w:rsidRPr="0069130F">
              <w:rPr>
                <w:rFonts w:ascii="Times New Roman" w:hAnsi="Times New Roman" w:cs="Times New Roman"/>
              </w:rPr>
              <w:t xml:space="preserve">Vienlaikus saredzam punkta lietderību, ja tajā būtu noteikts, ka iestādēm ir tiesības piemērot mazāk kā 50%, nosakot konkrētus kritērijus. Piedāvājam 77.punktu grozīt, paredzot iestādei iespēju pašai noteikt kritērijus galvoto saistību izvērtēšanai gan </w:t>
            </w:r>
            <w:r w:rsidR="00BB22BE">
              <w:rPr>
                <w:rFonts w:ascii="Times New Roman" w:hAnsi="Times New Roman" w:cs="Times New Roman"/>
              </w:rPr>
              <w:t>"</w:t>
            </w:r>
            <w:r w:rsidRPr="0069130F">
              <w:rPr>
                <w:rFonts w:ascii="Times New Roman" w:hAnsi="Times New Roman" w:cs="Times New Roman"/>
              </w:rPr>
              <w:t>uz augšu</w:t>
            </w:r>
            <w:r w:rsidR="00BB22BE">
              <w:rPr>
                <w:rFonts w:ascii="Times New Roman" w:hAnsi="Times New Roman" w:cs="Times New Roman"/>
              </w:rPr>
              <w:t>"</w:t>
            </w:r>
            <w:r w:rsidRPr="0069130F">
              <w:rPr>
                <w:rFonts w:ascii="Times New Roman" w:hAnsi="Times New Roman" w:cs="Times New Roman"/>
              </w:rPr>
              <w:t xml:space="preserve">, gan </w:t>
            </w:r>
            <w:r w:rsidR="00BB22BE">
              <w:rPr>
                <w:rFonts w:ascii="Times New Roman" w:hAnsi="Times New Roman" w:cs="Times New Roman"/>
              </w:rPr>
              <w:t>"</w:t>
            </w:r>
            <w:r w:rsidRPr="0069130F">
              <w:rPr>
                <w:rFonts w:ascii="Times New Roman" w:hAnsi="Times New Roman" w:cs="Times New Roman"/>
              </w:rPr>
              <w:t>uz leju</w:t>
            </w:r>
            <w:r w:rsidR="00BB22BE">
              <w:rPr>
                <w:rFonts w:ascii="Times New Roman" w:hAnsi="Times New Roman" w:cs="Times New Roman"/>
              </w:rPr>
              <w:t>"</w:t>
            </w:r>
            <w:r w:rsidRPr="0069130F">
              <w:rPr>
                <w:rFonts w:ascii="Times New Roman" w:hAnsi="Times New Roman" w:cs="Times New Roman"/>
              </w:rPr>
              <w:t xml:space="preserve">. Redakcijas piemērs: </w:t>
            </w:r>
          </w:p>
          <w:p w14:paraId="742FE458" w14:textId="77777777" w:rsidR="00AB1A2B" w:rsidRPr="0069130F" w:rsidRDefault="00AB1A2B" w:rsidP="004E6568">
            <w:pPr>
              <w:pStyle w:val="Default"/>
              <w:jc w:val="both"/>
              <w:rPr>
                <w:rFonts w:ascii="Times New Roman" w:hAnsi="Times New Roman" w:cs="Times New Roman"/>
              </w:rPr>
            </w:pPr>
            <w:r w:rsidRPr="0069130F">
              <w:rPr>
                <w:rFonts w:ascii="Times New Roman" w:hAnsi="Times New Roman" w:cs="Times New Roman"/>
                <w:i/>
                <w:iCs/>
              </w:rPr>
              <w:lastRenderedPageBreak/>
              <w:t xml:space="preserve">Iestāde izstrādā kritērijus, kad maksājumu par galvotām saistībām var ņemt vērā apmērā, kas atšķiras no šo noteikumu 57.1. un 58.punktā paredzētā. </w:t>
            </w:r>
          </w:p>
          <w:p w14:paraId="230E8A62" w14:textId="48A52FAF" w:rsidR="006F4326" w:rsidRDefault="00AB1A2B" w:rsidP="004E6568">
            <w:pPr>
              <w:jc w:val="both"/>
              <w:rPr>
                <w:rFonts w:cs="Times New Roman"/>
                <w:szCs w:val="24"/>
              </w:rPr>
            </w:pPr>
            <w:r w:rsidRPr="0069130F">
              <w:rPr>
                <w:rFonts w:cs="Times New Roman"/>
                <w:szCs w:val="24"/>
              </w:rPr>
              <w:t xml:space="preserve">Tas ļautu ar atbilstošu pamatojumu konkrētām klientu grupām piemērot atbilstošus risinājumus (piemēram, fiziskās personas kavētā kredīta saistības, kurās konstatējams, ka galvotājs tās ir pārņēmis, ņemt vērā 100% apmērā, bet fizisko personu t.s. </w:t>
            </w:r>
            <w:r w:rsidR="00BB22BE">
              <w:rPr>
                <w:rFonts w:cs="Times New Roman"/>
                <w:szCs w:val="24"/>
              </w:rPr>
              <w:t>"</w:t>
            </w:r>
            <w:r w:rsidRPr="0069130F">
              <w:rPr>
                <w:rFonts w:cs="Times New Roman"/>
                <w:szCs w:val="24"/>
              </w:rPr>
              <w:t>komforta</w:t>
            </w:r>
            <w:r w:rsidR="00BB22BE">
              <w:rPr>
                <w:rFonts w:cs="Times New Roman"/>
                <w:szCs w:val="24"/>
              </w:rPr>
              <w:t>"</w:t>
            </w:r>
            <w:r w:rsidRPr="0069130F">
              <w:rPr>
                <w:rFonts w:cs="Times New Roman"/>
                <w:szCs w:val="24"/>
              </w:rPr>
              <w:t xml:space="preserve"> galvojumus par juridisko personu kredītiem neņemt vērā vispār vai ņemt vērā mazākā apmērā).</w:t>
            </w:r>
          </w:p>
          <w:p w14:paraId="2AD6143C" w14:textId="6C58036B" w:rsidR="000E547B" w:rsidRPr="0069130F" w:rsidRDefault="000E547B" w:rsidP="000E547B">
            <w:pPr>
              <w:rPr>
                <w:rFonts w:cs="Times New Roman"/>
                <w:bCs/>
                <w:szCs w:val="24"/>
              </w:rPr>
            </w:pP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5B89604D" w14:textId="68004052" w:rsidR="00DA32B9" w:rsidRDefault="00DA32B9" w:rsidP="00DA32B9">
            <w:pPr>
              <w:jc w:val="both"/>
              <w:rPr>
                <w:rFonts w:cs="Times New Roman"/>
                <w:b/>
                <w:iCs/>
                <w:szCs w:val="24"/>
              </w:rPr>
            </w:pPr>
            <w:r w:rsidRPr="006F4326">
              <w:rPr>
                <w:rFonts w:cs="Times New Roman"/>
                <w:b/>
                <w:iCs/>
                <w:szCs w:val="24"/>
              </w:rPr>
              <w:lastRenderedPageBreak/>
              <w:t xml:space="preserve">Ņemts vērā. </w:t>
            </w:r>
          </w:p>
          <w:p w14:paraId="3B76639D" w14:textId="4D69C9D1" w:rsidR="008250FB" w:rsidRPr="000E39A8" w:rsidRDefault="008250FB" w:rsidP="00DA32B9">
            <w:pPr>
              <w:jc w:val="both"/>
              <w:rPr>
                <w:rFonts w:cs="Times New Roman"/>
                <w:bCs/>
                <w:iCs/>
                <w:szCs w:val="24"/>
              </w:rPr>
            </w:pPr>
            <w:r w:rsidRPr="000E39A8">
              <w:rPr>
                <w:rFonts w:cs="Times New Roman"/>
                <w:bCs/>
                <w:iCs/>
                <w:szCs w:val="24"/>
              </w:rPr>
              <w:t xml:space="preserve">Norma pārcelta </w:t>
            </w:r>
            <w:r w:rsidR="006A3D46" w:rsidRPr="000E39A8">
              <w:rPr>
                <w:rFonts w:cs="Times New Roman"/>
                <w:bCs/>
                <w:iCs/>
                <w:szCs w:val="24"/>
              </w:rPr>
              <w:t>uz noteikumu projekta 77.4.</w:t>
            </w:r>
            <w:r w:rsidR="0078110D">
              <w:rPr>
                <w:rFonts w:cs="Times New Roman"/>
                <w:bCs/>
                <w:iCs/>
                <w:szCs w:val="24"/>
              </w:rPr>
              <w:t> </w:t>
            </w:r>
            <w:r w:rsidR="006A3D46" w:rsidRPr="000E39A8">
              <w:rPr>
                <w:rFonts w:cs="Times New Roman"/>
                <w:bCs/>
                <w:iCs/>
                <w:szCs w:val="24"/>
              </w:rPr>
              <w:t xml:space="preserve">apakšpunktu un </w:t>
            </w:r>
            <w:r w:rsidR="006A3D46" w:rsidRPr="006A4AF0">
              <w:rPr>
                <w:rFonts w:cs="Times New Roman"/>
                <w:bCs/>
                <w:iCs/>
                <w:szCs w:val="24"/>
              </w:rPr>
              <w:t>paplašināta atkāpe</w:t>
            </w:r>
            <w:r w:rsidR="006A3D46" w:rsidRPr="000E39A8">
              <w:rPr>
                <w:rFonts w:cs="Times New Roman"/>
                <w:bCs/>
                <w:iCs/>
                <w:szCs w:val="24"/>
              </w:rPr>
              <w:t xml:space="preserve">, lai padarītu </w:t>
            </w:r>
            <w:r w:rsidR="000E39A8" w:rsidRPr="000E39A8">
              <w:rPr>
                <w:rFonts w:cs="Times New Roman"/>
                <w:bCs/>
                <w:iCs/>
                <w:szCs w:val="24"/>
              </w:rPr>
              <w:t xml:space="preserve">to </w:t>
            </w:r>
            <w:r w:rsidR="006A3D46" w:rsidRPr="000E39A8">
              <w:rPr>
                <w:rFonts w:cs="Times New Roman"/>
                <w:bCs/>
                <w:iCs/>
                <w:szCs w:val="24"/>
              </w:rPr>
              <w:t xml:space="preserve">elastīgāku, </w:t>
            </w:r>
            <w:r w:rsidR="000E39A8" w:rsidRPr="000E39A8">
              <w:rPr>
                <w:rFonts w:cs="Times New Roman"/>
                <w:bCs/>
                <w:iCs/>
                <w:szCs w:val="24"/>
              </w:rPr>
              <w:t>ja šāda elastība ir pamatojama ar galvojuma līguma nosacījumiem.</w:t>
            </w:r>
            <w:r w:rsidR="006A3D46" w:rsidRPr="000E39A8">
              <w:rPr>
                <w:rFonts w:cs="Times New Roman"/>
                <w:bCs/>
                <w:iCs/>
                <w:szCs w:val="24"/>
              </w:rPr>
              <w:t xml:space="preserve"> </w:t>
            </w:r>
          </w:p>
          <w:p w14:paraId="34837361" w14:textId="77777777" w:rsidR="00345BCD" w:rsidRDefault="00345BCD" w:rsidP="00F571CF">
            <w:pPr>
              <w:jc w:val="both"/>
              <w:rPr>
                <w:rFonts w:cs="Times New Roman"/>
                <w:bCs/>
                <w:iCs/>
                <w:szCs w:val="24"/>
              </w:rPr>
            </w:pPr>
          </w:p>
          <w:p w14:paraId="41717BA6" w14:textId="20FA11A4" w:rsidR="00F571CF" w:rsidRDefault="00DA32B9" w:rsidP="00F571CF">
            <w:pPr>
              <w:jc w:val="both"/>
              <w:rPr>
                <w:rFonts w:cs="Times New Roman"/>
                <w:bCs/>
                <w:iCs/>
                <w:szCs w:val="24"/>
              </w:rPr>
            </w:pPr>
            <w:r>
              <w:rPr>
                <w:rFonts w:cs="Times New Roman"/>
                <w:bCs/>
                <w:iCs/>
                <w:szCs w:val="24"/>
              </w:rPr>
              <w:t>Jaunā redakcija:</w:t>
            </w:r>
          </w:p>
          <w:p w14:paraId="2ECF6A6E" w14:textId="04233A0C" w:rsidR="0040562B" w:rsidRPr="004D4196" w:rsidRDefault="00BB22BE" w:rsidP="00237496">
            <w:pPr>
              <w:pStyle w:val="NApunkts1"/>
              <w:numPr>
                <w:ilvl w:val="0"/>
                <w:numId w:val="0"/>
              </w:numPr>
              <w:spacing w:before="0"/>
            </w:pPr>
            <w:r>
              <w:rPr>
                <w:bCs/>
                <w:iCs/>
              </w:rPr>
              <w:t>"</w:t>
            </w:r>
            <w:r w:rsidR="00F82FBD">
              <w:rPr>
                <w:bCs/>
                <w:iCs/>
              </w:rPr>
              <w:t xml:space="preserve">77. </w:t>
            </w:r>
            <w:r w:rsidR="0040562B">
              <w:t xml:space="preserve">Vērtējot patērētāja kreditēšanas līguma galvinieka, kas nav saimnieciskās darbības veicējs, spēju izpildīt no galvojuma līguma izrietošās saistības, iestāde: </w:t>
            </w:r>
          </w:p>
          <w:p w14:paraId="2CCD7D68" w14:textId="5676A04C" w:rsidR="0040562B" w:rsidRDefault="00BB22BE" w:rsidP="00237496">
            <w:pPr>
              <w:pStyle w:val="NApunkts2"/>
              <w:numPr>
                <w:ilvl w:val="0"/>
                <w:numId w:val="0"/>
              </w:numPr>
            </w:pPr>
            <w:r>
              <w:t>[..]</w:t>
            </w:r>
          </w:p>
          <w:p w14:paraId="73470FC1" w14:textId="6257E0CB" w:rsidR="00F571CF" w:rsidRPr="00F82FBD" w:rsidRDefault="00FB4DD1" w:rsidP="004E6568">
            <w:pPr>
              <w:pStyle w:val="NApunkts2"/>
              <w:numPr>
                <w:ilvl w:val="1"/>
                <w:numId w:val="8"/>
              </w:numPr>
              <w:ind w:left="0" w:firstLine="0"/>
            </w:pPr>
            <w:r>
              <w:lastRenderedPageBreak/>
              <w:t>var piemērot atkāpi no šo noteikumu 76</w:t>
            </w:r>
            <w:r w:rsidRPr="00995032">
              <w:t>.</w:t>
            </w:r>
            <w:r w:rsidR="00BB22BE">
              <w:t> </w:t>
            </w:r>
            <w:r w:rsidRPr="00995032">
              <w:t>punktā</w:t>
            </w:r>
            <w:r>
              <w:t xml:space="preserve"> un</w:t>
            </w:r>
            <w:r w:rsidRPr="00995032">
              <w:t xml:space="preserve"> </w:t>
            </w:r>
            <w:r>
              <w:t>77</w:t>
            </w:r>
            <w:r w:rsidRPr="00995032">
              <w:t>.1.</w:t>
            </w:r>
            <w:r w:rsidR="00BB22BE">
              <w:t> </w:t>
            </w:r>
            <w:r>
              <w:t>apakšpunktā</w:t>
            </w:r>
            <w:r w:rsidRPr="00995032">
              <w:t xml:space="preserve"> paredzēt</w:t>
            </w:r>
            <w:r>
              <w:t>ā galvojuma saistību apmēra ierobežojuma, ja galvojuma līgumā ir paredzēts cits galvojuma saistību apmērs</w:t>
            </w:r>
            <w:r w:rsidR="0040562B">
              <w:t>.</w:t>
            </w:r>
            <w:r w:rsidR="00BB22BE">
              <w:t>"</w:t>
            </w:r>
          </w:p>
          <w:p w14:paraId="4040471C" w14:textId="08346550" w:rsidR="00DA32B9" w:rsidRPr="0069130F" w:rsidRDefault="00DA32B9" w:rsidP="00237496">
            <w:pPr>
              <w:jc w:val="both"/>
              <w:rPr>
                <w:rFonts w:cs="Times New Roman"/>
                <w:bCs/>
                <w:iCs/>
                <w:szCs w:val="24"/>
              </w:rPr>
            </w:pPr>
          </w:p>
          <w:p w14:paraId="71D30933" w14:textId="77777777" w:rsidR="006F4326" w:rsidRPr="00523F69" w:rsidRDefault="006F4326" w:rsidP="00F62CB3">
            <w:pPr>
              <w:jc w:val="center"/>
              <w:rPr>
                <w:rFonts w:cs="Times New Roman"/>
                <w:bCs/>
                <w:iCs/>
                <w:szCs w:val="24"/>
              </w:rPr>
            </w:pPr>
          </w:p>
        </w:tc>
      </w:tr>
      <w:tr w:rsidR="006F4326" w:rsidRPr="00DA6E74" w14:paraId="49A3852B" w14:textId="77777777" w:rsidTr="00523F69">
        <w:tc>
          <w:tcPr>
            <w:tcW w:w="0" w:type="auto"/>
            <w:tcBorders>
              <w:top w:val="single" w:sz="4" w:space="0" w:color="auto"/>
              <w:left w:val="single" w:sz="4" w:space="0" w:color="auto"/>
              <w:bottom w:val="single" w:sz="4" w:space="0" w:color="auto"/>
              <w:right w:val="single" w:sz="4" w:space="0" w:color="auto"/>
            </w:tcBorders>
          </w:tcPr>
          <w:p w14:paraId="65EFD5C0" w14:textId="0164BBF9" w:rsidR="006F4326" w:rsidRPr="00523F69" w:rsidRDefault="006F4326" w:rsidP="00F62CB3">
            <w:pPr>
              <w:jc w:val="center"/>
              <w:rPr>
                <w:rFonts w:cs="Times New Roman"/>
                <w:bCs/>
                <w:szCs w:val="24"/>
              </w:rPr>
            </w:pPr>
            <w:r>
              <w:rPr>
                <w:rFonts w:cs="Times New Roman"/>
                <w:bCs/>
                <w:szCs w:val="24"/>
              </w:rPr>
              <w:lastRenderedPageBreak/>
              <w:t xml:space="preserve">8. </w:t>
            </w: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37F9BA29" w14:textId="20D0D6A1" w:rsidR="00BB22BE" w:rsidRDefault="00C079E0" w:rsidP="004E6568">
            <w:pPr>
              <w:pStyle w:val="NApunkts1"/>
              <w:numPr>
                <w:ilvl w:val="0"/>
                <w:numId w:val="0"/>
              </w:numPr>
              <w:spacing w:before="0"/>
            </w:pPr>
            <w:r>
              <w:t>103. </w:t>
            </w:r>
            <w:r w:rsidR="00E85D67">
              <w:t>Iestāde nodrošina, ka nodrošinājumā esošā nekustamā īpašuma vērtējums tiek pienācīgi dokumentēts un satur skaidru, objektīvu un pārredzamu informāciju par novērtēšanas procesu, īpašuma parametriem un elementiem, kas ietekmē īpašuma vērtību, un ietver vismaz:</w:t>
            </w:r>
            <w:r w:rsidR="00BB22BE">
              <w:t xml:space="preserve"> </w:t>
            </w:r>
          </w:p>
          <w:p w14:paraId="3338EC33" w14:textId="06C69112" w:rsidR="00E85D67" w:rsidRDefault="00BB22BE" w:rsidP="004E6568">
            <w:pPr>
              <w:pStyle w:val="NApunkts1"/>
              <w:numPr>
                <w:ilvl w:val="0"/>
                <w:numId w:val="0"/>
              </w:numPr>
              <w:spacing w:before="0"/>
            </w:pPr>
            <w:r>
              <w:t>[..]</w:t>
            </w:r>
          </w:p>
          <w:p w14:paraId="3CE80BE7" w14:textId="0AB803F5" w:rsidR="006F4326" w:rsidRPr="00523F69" w:rsidRDefault="00BB22BE" w:rsidP="004E6568">
            <w:pPr>
              <w:pStyle w:val="NApunkts1"/>
              <w:numPr>
                <w:ilvl w:val="1"/>
                <w:numId w:val="7"/>
              </w:numPr>
              <w:spacing w:before="0"/>
              <w:ind w:left="0" w:firstLine="0"/>
              <w:rPr>
                <w:bCs/>
              </w:rPr>
            </w:pPr>
            <w:r>
              <w:t xml:space="preserve"> </w:t>
            </w:r>
            <w:r w:rsidR="00E85D67">
              <w:t>nekustamā īpašuma veidu, tehnisko stāvokli, kā arī tā vecumu</w:t>
            </w:r>
            <w:r w:rsidR="00E85D67" w:rsidRPr="00AA473C">
              <w:t>;</w:t>
            </w: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2D1D7F00" w14:textId="67D7F139" w:rsidR="006F4326" w:rsidRPr="00523F69" w:rsidRDefault="00AB1A2B" w:rsidP="004E6568">
            <w:pPr>
              <w:jc w:val="both"/>
              <w:rPr>
                <w:rFonts w:cs="Times New Roman"/>
                <w:bCs/>
                <w:szCs w:val="24"/>
              </w:rPr>
            </w:pPr>
            <w:r w:rsidRPr="00AB1A2B">
              <w:rPr>
                <w:rFonts w:cs="Times New Roman"/>
                <w:bCs/>
                <w:szCs w:val="24"/>
              </w:rPr>
              <w:t>Noteikumu projekta 103.3. punktu lūdzam atstāt esošajā redakcijā, kas paredz, ka vērtējumā jābūt norādītam nekustamā īpašuma pašreizējam pielietojumam, nekustamā īpašuma labākajam un efektīvākajam izmantošanas veidam (vai ir specifisks pielietojums un vai ir iespējams ekonomiski pamatoti to piemērot tirgus vajadzībām), īpašuma veidu, tehnisko stāvokli, kā arī īpašuma vecumu.</w:t>
            </w: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71309036" w14:textId="77777777" w:rsidR="00E85D67" w:rsidRPr="006F4326" w:rsidRDefault="00E85D67" w:rsidP="00E85D67">
            <w:pPr>
              <w:jc w:val="both"/>
              <w:rPr>
                <w:rFonts w:cs="Times New Roman"/>
                <w:b/>
                <w:iCs/>
                <w:szCs w:val="24"/>
              </w:rPr>
            </w:pPr>
            <w:r w:rsidRPr="006F4326">
              <w:rPr>
                <w:rFonts w:cs="Times New Roman"/>
                <w:b/>
                <w:iCs/>
                <w:szCs w:val="24"/>
              </w:rPr>
              <w:t xml:space="preserve">Ņemts vērā. </w:t>
            </w:r>
          </w:p>
          <w:p w14:paraId="6F195E3A" w14:textId="77777777" w:rsidR="00E85D67" w:rsidRDefault="00E85D67" w:rsidP="00E85D67">
            <w:pPr>
              <w:jc w:val="both"/>
              <w:rPr>
                <w:rFonts w:cs="Times New Roman"/>
                <w:bCs/>
                <w:iCs/>
                <w:szCs w:val="24"/>
              </w:rPr>
            </w:pPr>
            <w:r>
              <w:rPr>
                <w:rFonts w:cs="Times New Roman"/>
                <w:bCs/>
                <w:iCs/>
                <w:szCs w:val="24"/>
              </w:rPr>
              <w:t>Jaunā redakcija:</w:t>
            </w:r>
          </w:p>
          <w:p w14:paraId="5F9DF3EC" w14:textId="2001C1ED" w:rsidR="006F4326" w:rsidRPr="00523F69" w:rsidRDefault="00BB22BE" w:rsidP="004E6568">
            <w:pPr>
              <w:jc w:val="both"/>
              <w:rPr>
                <w:rFonts w:cs="Times New Roman"/>
                <w:bCs/>
                <w:iCs/>
                <w:szCs w:val="24"/>
              </w:rPr>
            </w:pPr>
            <w:r>
              <w:t xml:space="preserve">"[..] </w:t>
            </w:r>
            <w:r w:rsidR="00E85D67" w:rsidRPr="00AA473C">
              <w:t xml:space="preserve">nodrošinājuma </w:t>
            </w:r>
            <w:r w:rsidR="00E85D67" w:rsidRPr="009466BF">
              <w:t>aprakstu, t</w:t>
            </w:r>
            <w:r w:rsidR="00237496" w:rsidRPr="004E6568">
              <w:t>.</w:t>
            </w:r>
            <w:r w:rsidR="00237496" w:rsidRPr="009466BF">
              <w:t> sk.</w:t>
            </w:r>
            <w:r w:rsidR="00E85D67" w:rsidRPr="009466BF">
              <w:t xml:space="preserve"> tā pašreizējo pielietojumu, labāko un efektīvāko izmantošanas veidu (vai ir specifisks pielietojums un vai ir iespējams ekonomiski pamatoti to piemērot</w:t>
            </w:r>
            <w:r w:rsidR="00E85D67" w:rsidRPr="00AA473C">
              <w:t xml:space="preserve"> tirgus vajadzībām), </w:t>
            </w:r>
            <w:r w:rsidR="00244B4D">
              <w:t xml:space="preserve">nekustamā īpašuma </w:t>
            </w:r>
            <w:r w:rsidR="00E85D67" w:rsidRPr="00AA473C">
              <w:t xml:space="preserve">veidu, tehnisko stāvokli, kā arī </w:t>
            </w:r>
            <w:r w:rsidR="00244B4D">
              <w:t>tā</w:t>
            </w:r>
            <w:r w:rsidR="00E85D67" w:rsidRPr="00AA473C">
              <w:t xml:space="preserve"> vecumu;</w:t>
            </w:r>
            <w:r>
              <w:t>"</w:t>
            </w:r>
            <w:r w:rsidR="00511A45">
              <w:t>.</w:t>
            </w:r>
          </w:p>
        </w:tc>
      </w:tr>
    </w:tbl>
    <w:p w14:paraId="7824FCD4" w14:textId="77777777" w:rsidR="00D16A5F" w:rsidRDefault="00D16A5F" w:rsidP="00F62CB3">
      <w:pPr>
        <w:pStyle w:val="NApunkts1"/>
        <w:numPr>
          <w:ilvl w:val="0"/>
          <w:numId w:val="0"/>
        </w:numPr>
        <w:spacing w:before="0"/>
      </w:pPr>
    </w:p>
    <w:p w14:paraId="3E045929" w14:textId="77777777" w:rsidR="00D16A5F" w:rsidRDefault="00D16A5F" w:rsidP="00D16A5F">
      <w:pPr>
        <w:rPr>
          <w:rFonts w:cs="Times New Roman"/>
          <w:szCs w:val="24"/>
        </w:rPr>
      </w:pPr>
    </w:p>
    <w:p w14:paraId="47DD5562" w14:textId="6004316C" w:rsidR="00D16A5F" w:rsidRDefault="00D16A5F"/>
    <w:sectPr w:rsidR="00D16A5F" w:rsidSect="004E6568">
      <w:headerReference w:type="default" r:id="rId12"/>
      <w:pgSz w:w="16838" w:h="11906" w:orient="landscape"/>
      <w:pgMar w:top="1276"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7BCBA" w14:textId="77777777" w:rsidR="007F579E" w:rsidRDefault="007F579E" w:rsidP="00D16A5F">
      <w:r>
        <w:separator/>
      </w:r>
    </w:p>
  </w:endnote>
  <w:endnote w:type="continuationSeparator" w:id="0">
    <w:p w14:paraId="0D7BF2FF" w14:textId="77777777" w:rsidR="007F579E" w:rsidRDefault="007F579E" w:rsidP="00D16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4B74C8" w14:textId="77777777" w:rsidR="007F579E" w:rsidRDefault="007F579E" w:rsidP="00D16A5F">
      <w:r>
        <w:separator/>
      </w:r>
    </w:p>
  </w:footnote>
  <w:footnote w:type="continuationSeparator" w:id="0">
    <w:p w14:paraId="5EAB7B1D" w14:textId="77777777" w:rsidR="007F579E" w:rsidRDefault="007F579E" w:rsidP="00D16A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4667558"/>
      <w:docPartObj>
        <w:docPartGallery w:val="Page Numbers (Top of Page)"/>
        <w:docPartUnique/>
      </w:docPartObj>
    </w:sdtPr>
    <w:sdtEndPr/>
    <w:sdtContent>
      <w:p w14:paraId="27D076FD" w14:textId="4DA06123" w:rsidR="00511A45" w:rsidRDefault="00511A45">
        <w:pPr>
          <w:pStyle w:val="Header"/>
          <w:jc w:val="center"/>
        </w:pPr>
        <w:r>
          <w:fldChar w:fldCharType="begin"/>
        </w:r>
        <w:r>
          <w:instrText>PAGE   \* MERGEFORMAT</w:instrText>
        </w:r>
        <w:r>
          <w:fldChar w:fldCharType="separate"/>
        </w:r>
        <w:r>
          <w:t>2</w:t>
        </w:r>
        <w:r>
          <w:fldChar w:fldCharType="end"/>
        </w:r>
      </w:p>
    </w:sdtContent>
  </w:sdt>
  <w:p w14:paraId="369931F0" w14:textId="77777777" w:rsidR="00511A45" w:rsidRDefault="00511A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D20ED"/>
    <w:multiLevelType w:val="multilevel"/>
    <w:tmpl w:val="D4463890"/>
    <w:lvl w:ilvl="0">
      <w:start w:val="103"/>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224061F"/>
    <w:multiLevelType w:val="hybridMultilevel"/>
    <w:tmpl w:val="1CF07CD4"/>
    <w:lvl w:ilvl="0" w:tplc="0426000F">
      <w:start w:val="7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5F96CA5"/>
    <w:multiLevelType w:val="multilevel"/>
    <w:tmpl w:val="8B0CED64"/>
    <w:lvl w:ilvl="0">
      <w:start w:val="76"/>
      <w:numFmt w:val="decimal"/>
      <w:lvlText w:val="%1."/>
      <w:lvlJc w:val="left"/>
      <w:pPr>
        <w:ind w:left="720" w:hanging="360"/>
      </w:pPr>
      <w:rPr>
        <w:rFonts w:hint="default"/>
      </w:rPr>
    </w:lvl>
    <w:lvl w:ilvl="1">
      <w:start w:val="2"/>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6DC172E"/>
    <w:multiLevelType w:val="multilevel"/>
    <w:tmpl w:val="E30CF0C6"/>
    <w:lvl w:ilvl="0">
      <w:start w:val="77"/>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E022D6B"/>
    <w:multiLevelType w:val="hybridMultilevel"/>
    <w:tmpl w:val="94FE4DAC"/>
    <w:lvl w:ilvl="0" w:tplc="0426000F">
      <w:start w:val="4"/>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711C0DFE"/>
    <w:multiLevelType w:val="multilevel"/>
    <w:tmpl w:val="7C30A510"/>
    <w:lvl w:ilvl="0">
      <w:start w:val="49"/>
      <w:numFmt w:val="decimal"/>
      <w:lvlText w:val="%1."/>
      <w:lvlJc w:val="left"/>
      <w:pPr>
        <w:ind w:left="720" w:hanging="360"/>
      </w:pPr>
      <w:rPr>
        <w:rFonts w:hint="default"/>
      </w:rPr>
    </w:lvl>
    <w:lvl w:ilvl="1">
      <w:start w:val="2"/>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7A2A79C5"/>
    <w:multiLevelType w:val="multilevel"/>
    <w:tmpl w:val="4EE2B882"/>
    <w:lvl w:ilvl="0">
      <w:start w:val="103"/>
      <w:numFmt w:val="decimal"/>
      <w:lvlText w:val="%1"/>
      <w:lvlJc w:val="left"/>
      <w:pPr>
        <w:ind w:left="720" w:hanging="360"/>
      </w:pPr>
      <w:rPr>
        <w:rFonts w:hint="default"/>
      </w:rPr>
    </w:lvl>
    <w:lvl w:ilvl="1">
      <w:start w:val="4"/>
      <w:numFmt w:val="decimal"/>
      <w:isLgl/>
      <w:lvlText w:val="%1.%2."/>
      <w:lvlJc w:val="left"/>
      <w:pPr>
        <w:ind w:left="1320" w:hanging="60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120920498">
    <w:abstractNumId w:val="4"/>
  </w:num>
  <w:num w:numId="2" w16cid:durableId="1135215654">
    <w:abstractNumId w:val="5"/>
  </w:num>
  <w:num w:numId="3" w16cid:durableId="536159750">
    <w:abstractNumId w:val="6"/>
  </w:num>
  <w:num w:numId="4" w16cid:durableId="593323218">
    <w:abstractNumId w:val="1"/>
  </w:num>
  <w:num w:numId="5" w16cid:durableId="313724290">
    <w:abstractNumId w:val="2"/>
  </w:num>
  <w:num w:numId="6" w16cid:durableId="373695620">
    <w:abstractNumId w:val="7"/>
  </w:num>
  <w:num w:numId="7" w16cid:durableId="534385762">
    <w:abstractNumId w:val="0"/>
  </w:num>
  <w:num w:numId="8" w16cid:durableId="10709253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5E2"/>
    <w:rsid w:val="00054629"/>
    <w:rsid w:val="000E39A8"/>
    <w:rsid w:val="000E547B"/>
    <w:rsid w:val="001E7A73"/>
    <w:rsid w:val="00237496"/>
    <w:rsid w:val="00244B4D"/>
    <w:rsid w:val="002E0211"/>
    <w:rsid w:val="00336EE3"/>
    <w:rsid w:val="00345BCD"/>
    <w:rsid w:val="003D7611"/>
    <w:rsid w:val="003F35D7"/>
    <w:rsid w:val="0040562B"/>
    <w:rsid w:val="004155E2"/>
    <w:rsid w:val="004E6568"/>
    <w:rsid w:val="00511A45"/>
    <w:rsid w:val="00523F69"/>
    <w:rsid w:val="005253DB"/>
    <w:rsid w:val="005F4B04"/>
    <w:rsid w:val="00604F14"/>
    <w:rsid w:val="006277CA"/>
    <w:rsid w:val="0069130F"/>
    <w:rsid w:val="006A3D46"/>
    <w:rsid w:val="006A4AF0"/>
    <w:rsid w:val="006E7A87"/>
    <w:rsid w:val="006F4326"/>
    <w:rsid w:val="00736A66"/>
    <w:rsid w:val="0078110D"/>
    <w:rsid w:val="007D445F"/>
    <w:rsid w:val="007F579E"/>
    <w:rsid w:val="008250FB"/>
    <w:rsid w:val="00881708"/>
    <w:rsid w:val="00916F56"/>
    <w:rsid w:val="009379F3"/>
    <w:rsid w:val="009466BF"/>
    <w:rsid w:val="00AB1A2B"/>
    <w:rsid w:val="00AC2418"/>
    <w:rsid w:val="00AE18EF"/>
    <w:rsid w:val="00B67B4F"/>
    <w:rsid w:val="00BB22BE"/>
    <w:rsid w:val="00C079E0"/>
    <w:rsid w:val="00CE5174"/>
    <w:rsid w:val="00D16A5F"/>
    <w:rsid w:val="00D6396F"/>
    <w:rsid w:val="00DA32B9"/>
    <w:rsid w:val="00DB04EB"/>
    <w:rsid w:val="00DC3329"/>
    <w:rsid w:val="00E8273A"/>
    <w:rsid w:val="00E85D67"/>
    <w:rsid w:val="00E92F4C"/>
    <w:rsid w:val="00EB0DFC"/>
    <w:rsid w:val="00F35373"/>
    <w:rsid w:val="00F571CF"/>
    <w:rsid w:val="00F82FBD"/>
    <w:rsid w:val="00FB4DD1"/>
    <w:rsid w:val="00FE20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7C0866"/>
  <w15:chartTrackingRefBased/>
  <w15:docId w15:val="{E87B92BE-FDFF-48CE-B147-56F883AE3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A5F"/>
    <w:pPr>
      <w:spacing w:after="0" w:line="240" w:lineRule="auto"/>
    </w:pPr>
    <w:rPr>
      <w:rFonts w:ascii="Times New Roman" w:eastAsiaTheme="minorEastAsia" w:hAnsi="Times New Roman"/>
      <w:sz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16A5F"/>
    <w:rPr>
      <w:color w:val="808080"/>
    </w:rPr>
  </w:style>
  <w:style w:type="table" w:styleId="TableGrid">
    <w:name w:val="Table Grid"/>
    <w:basedOn w:val="TableNormal"/>
    <w:uiPriority w:val="59"/>
    <w:rsid w:val="00D16A5F"/>
    <w:pPr>
      <w:spacing w:after="0" w:line="240" w:lineRule="auto"/>
    </w:pPr>
    <w:rPr>
      <w:rFonts w:eastAsiaTheme="minorEastAsia"/>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pielikums">
    <w:name w:val="NA pielikums"/>
    <w:basedOn w:val="Normal"/>
    <w:link w:val="NApielikumsCharChar"/>
    <w:rsid w:val="00D16A5F"/>
    <w:pPr>
      <w:jc w:val="right"/>
    </w:pPr>
    <w:rPr>
      <w:rFonts w:eastAsia="Times New Roman" w:cs="Times New Roman"/>
      <w:szCs w:val="24"/>
    </w:rPr>
  </w:style>
  <w:style w:type="character" w:customStyle="1" w:styleId="NApielikumsCharChar">
    <w:name w:val="NA pielikums Char Char"/>
    <w:basedOn w:val="DefaultParagraphFont"/>
    <w:link w:val="NApielikums"/>
    <w:rsid w:val="00D16A5F"/>
    <w:rPr>
      <w:rFonts w:ascii="Times New Roman" w:eastAsia="Times New Roman" w:hAnsi="Times New Roman" w:cs="Times New Roman"/>
      <w:sz w:val="24"/>
      <w:szCs w:val="24"/>
      <w:lang w:eastAsia="lv-LV"/>
    </w:rPr>
  </w:style>
  <w:style w:type="paragraph" w:customStyle="1" w:styleId="NApunkts1">
    <w:name w:val="NA punkts 1"/>
    <w:basedOn w:val="Normal"/>
    <w:link w:val="NApunkts1Rakstz"/>
    <w:qFormat/>
    <w:rsid w:val="00D16A5F"/>
    <w:pPr>
      <w:numPr>
        <w:numId w:val="1"/>
      </w:numPr>
      <w:spacing w:before="240"/>
      <w:ind w:left="0" w:firstLine="0"/>
      <w:jc w:val="both"/>
      <w:outlineLvl w:val="0"/>
    </w:pPr>
    <w:rPr>
      <w:rFonts w:eastAsia="Times New Roman" w:cs="Times New Roman"/>
      <w:szCs w:val="24"/>
    </w:rPr>
  </w:style>
  <w:style w:type="character" w:customStyle="1" w:styleId="NApunkts1Rakstz">
    <w:name w:val="NA punkts 1 Rakstz."/>
    <w:basedOn w:val="DefaultParagraphFont"/>
    <w:link w:val="NApunkts1"/>
    <w:rsid w:val="00D16A5F"/>
    <w:rPr>
      <w:rFonts w:ascii="Times New Roman" w:eastAsia="Times New Roman" w:hAnsi="Times New Roman" w:cs="Times New Roman"/>
      <w:sz w:val="24"/>
      <w:szCs w:val="24"/>
      <w:lang w:eastAsia="lv-LV"/>
    </w:rPr>
  </w:style>
  <w:style w:type="paragraph" w:customStyle="1" w:styleId="NApunkts2">
    <w:name w:val="NA punkts 2"/>
    <w:basedOn w:val="Normal"/>
    <w:qFormat/>
    <w:rsid w:val="00D16A5F"/>
    <w:pPr>
      <w:keepLines/>
      <w:numPr>
        <w:ilvl w:val="1"/>
        <w:numId w:val="1"/>
      </w:numPr>
      <w:jc w:val="both"/>
      <w:outlineLvl w:val="1"/>
    </w:pPr>
    <w:rPr>
      <w:rFonts w:eastAsia="Times New Roman" w:cs="Times New Roman"/>
      <w:szCs w:val="24"/>
    </w:rPr>
  </w:style>
  <w:style w:type="paragraph" w:customStyle="1" w:styleId="NApunkts3">
    <w:name w:val="NA punkts 3"/>
    <w:basedOn w:val="Normal"/>
    <w:qFormat/>
    <w:rsid w:val="00D16A5F"/>
    <w:pPr>
      <w:keepLines/>
      <w:numPr>
        <w:ilvl w:val="2"/>
        <w:numId w:val="1"/>
      </w:numPr>
      <w:jc w:val="both"/>
      <w:outlineLvl w:val="2"/>
    </w:pPr>
    <w:rPr>
      <w:rFonts w:eastAsia="Times New Roman" w:cs="Times New Roman"/>
      <w:szCs w:val="24"/>
    </w:rPr>
  </w:style>
  <w:style w:type="paragraph" w:customStyle="1" w:styleId="NApunkts4">
    <w:name w:val="NA punkts 4"/>
    <w:basedOn w:val="Normal"/>
    <w:qFormat/>
    <w:rsid w:val="00D16A5F"/>
    <w:pPr>
      <w:keepLines/>
      <w:numPr>
        <w:ilvl w:val="3"/>
        <w:numId w:val="1"/>
      </w:numPr>
      <w:jc w:val="both"/>
      <w:outlineLvl w:val="3"/>
    </w:pPr>
    <w:rPr>
      <w:rFonts w:eastAsia="Times New Roman" w:cs="Times New Roman"/>
      <w:szCs w:val="24"/>
    </w:rPr>
  </w:style>
  <w:style w:type="paragraph" w:styleId="NoSpacing">
    <w:name w:val="No Spacing"/>
    <w:uiPriority w:val="1"/>
    <w:qFormat/>
    <w:rsid w:val="00D16A5F"/>
    <w:pPr>
      <w:spacing w:after="0" w:line="240" w:lineRule="auto"/>
    </w:pPr>
    <w:rPr>
      <w:rFonts w:ascii="Times New Roman" w:eastAsiaTheme="minorEastAsia" w:hAnsi="Times New Roman"/>
      <w:sz w:val="24"/>
      <w:lang w:eastAsia="lv-LV"/>
    </w:rPr>
  </w:style>
  <w:style w:type="paragraph" w:customStyle="1" w:styleId="Default">
    <w:name w:val="Default"/>
    <w:rsid w:val="006F4326"/>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semiHidden/>
    <w:unhideWhenUsed/>
    <w:rsid w:val="0069130F"/>
    <w:rPr>
      <w:color w:val="0000FF"/>
      <w:u w:val="single"/>
    </w:rPr>
  </w:style>
  <w:style w:type="paragraph" w:styleId="Revision">
    <w:name w:val="Revision"/>
    <w:hidden/>
    <w:uiPriority w:val="99"/>
    <w:semiHidden/>
    <w:rsid w:val="00BB22BE"/>
    <w:pPr>
      <w:spacing w:after="0" w:line="240" w:lineRule="auto"/>
    </w:pPr>
    <w:rPr>
      <w:rFonts w:ascii="Times New Roman" w:eastAsiaTheme="minorEastAsia" w:hAnsi="Times New Roman"/>
      <w:sz w:val="24"/>
      <w:lang w:eastAsia="lv-LV"/>
    </w:rPr>
  </w:style>
  <w:style w:type="paragraph" w:styleId="Header">
    <w:name w:val="header"/>
    <w:basedOn w:val="Normal"/>
    <w:link w:val="HeaderChar"/>
    <w:uiPriority w:val="99"/>
    <w:unhideWhenUsed/>
    <w:rsid w:val="00511A45"/>
    <w:pPr>
      <w:tabs>
        <w:tab w:val="center" w:pos="4153"/>
        <w:tab w:val="right" w:pos="8306"/>
      </w:tabs>
    </w:pPr>
  </w:style>
  <w:style w:type="character" w:customStyle="1" w:styleId="HeaderChar">
    <w:name w:val="Header Char"/>
    <w:basedOn w:val="DefaultParagraphFont"/>
    <w:link w:val="Header"/>
    <w:uiPriority w:val="99"/>
    <w:rsid w:val="00511A45"/>
    <w:rPr>
      <w:rFonts w:ascii="Times New Roman" w:eastAsiaTheme="minorEastAsia" w:hAnsi="Times New Roman"/>
      <w:sz w:val="24"/>
      <w:lang w:eastAsia="lv-LV"/>
    </w:rPr>
  </w:style>
  <w:style w:type="paragraph" w:styleId="Footer">
    <w:name w:val="footer"/>
    <w:basedOn w:val="Normal"/>
    <w:link w:val="FooterChar"/>
    <w:uiPriority w:val="99"/>
    <w:unhideWhenUsed/>
    <w:rsid w:val="00511A45"/>
    <w:pPr>
      <w:tabs>
        <w:tab w:val="center" w:pos="4153"/>
        <w:tab w:val="right" w:pos="8306"/>
      </w:tabs>
    </w:pPr>
  </w:style>
  <w:style w:type="character" w:customStyle="1" w:styleId="FooterChar">
    <w:name w:val="Footer Char"/>
    <w:basedOn w:val="DefaultParagraphFont"/>
    <w:link w:val="Footer"/>
    <w:uiPriority w:val="99"/>
    <w:rsid w:val="00511A45"/>
    <w:rPr>
      <w:rFonts w:ascii="Times New Roman" w:eastAsiaTheme="minorEastAsia" w:hAnsi="Times New Roman"/>
      <w:sz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likumi.lv/ta/id/320095" TargetMode="External"/><Relationship Id="rId5" Type="http://schemas.openxmlformats.org/officeDocument/2006/relationships/styles" Target="styles.xml"/><Relationship Id="rId10" Type="http://schemas.openxmlformats.org/officeDocument/2006/relationships/hyperlink" Target="https://likumi.lv/ta/id/320095"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NA_Sab_lidzd_priekslikumu_apkopojums.dotx"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544749315C8CC4419F801E94224A1404" ma:contentTypeVersion="5" ma:contentTypeDescription="Izveidot jaunu dokumentu." ma:contentTypeScope="" ma:versionID="461db653f3561c3ed71ed010869b9e86">
  <xsd:schema xmlns:xsd="http://www.w3.org/2001/XMLSchema" xmlns:xs="http://www.w3.org/2001/XMLSchema" xmlns:p="http://schemas.microsoft.com/office/2006/metadata/properties" xmlns:ns2="57c5957c-0e97-4ae8-b85e-5fa97def712d" xmlns:ns3="928dd83c-ecbd-433e-a159-60f4cef10446" targetNamespace="http://schemas.microsoft.com/office/2006/metadata/properties" ma:root="true" ma:fieldsID="1d7afecef0c5be95804ea5b0205063c4" ns2:_="" ns3:_="">
    <xsd:import namespace="57c5957c-0e97-4ae8-b85e-5fa97def712d"/>
    <xsd:import namespace="928dd83c-ecbd-433e-a159-60f4cef1044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c5957c-0e97-4ae8-b85e-5fa97def71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28dd83c-ecbd-433e-a159-60f4cef10446" elementFormDefault="qualified">
    <xsd:import namespace="http://schemas.microsoft.com/office/2006/documentManagement/types"/>
    <xsd:import namespace="http://schemas.microsoft.com/office/infopath/2007/PartnerControls"/>
    <xsd:element name="SharedWithUsers" ma:index="11"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2F466E-0083-465F-9F1D-B36CBA9C752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8B2A031-FF7E-4CE6-8C55-75CFA44AD2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c5957c-0e97-4ae8-b85e-5fa97def712d"/>
    <ds:schemaRef ds:uri="928dd83c-ecbd-433e-a159-60f4cef104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37C801-202B-44FD-A3EF-AB7285B68C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ANA_Sab_lidzd_priekslikumu_apkopojums.dotx</Template>
  <TotalTime>90</TotalTime>
  <Pages>5</Pages>
  <Words>7020</Words>
  <Characters>4002</Characters>
  <Application>Microsoft Office Word</Application>
  <DocSecurity>0</DocSecurity>
  <Lines>33</Lines>
  <Paragraphs>21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Viktors Veips</dc:creator>
  <cp:keywords/>
  <dc:description/>
  <cp:lastModifiedBy>Maija Valce</cp:lastModifiedBy>
  <cp:revision>15</cp:revision>
  <dcterms:created xsi:type="dcterms:W3CDTF">2023-11-21T13:29:00Z</dcterms:created>
  <dcterms:modified xsi:type="dcterms:W3CDTF">2023-11-27T08:12:00Z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0x010100544749315C8CC4419F801E94224A1404</vt:lpwstr>
  </property>
</Properties>
</file>