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96F1CE" w14:textId="0AD1DC2D" w:rsidR="00317A94" w:rsidRPr="003A7AD9" w:rsidRDefault="00CA28AB" w:rsidP="008A4147">
      <w:pPr>
        <w:spacing w:after="0" w:line="240" w:lineRule="auto"/>
        <w:jc w:val="center"/>
        <w:rPr>
          <w:rFonts w:ascii="Times New Roman" w:hAnsi="Times New Roman" w:cs="Times New Roman"/>
          <w:b/>
          <w:bCs/>
          <w:sz w:val="24"/>
          <w:szCs w:val="24"/>
        </w:rPr>
      </w:pPr>
      <w:bookmarkStart w:id="0" w:name="_Hlk127968955"/>
      <w:r w:rsidRPr="003A7AD9">
        <w:rPr>
          <w:rFonts w:ascii="Times New Roman" w:hAnsi="Times New Roman" w:cs="Times New Roman"/>
          <w:b/>
          <w:bCs/>
          <w:sz w:val="24"/>
          <w:szCs w:val="24"/>
        </w:rPr>
        <w:t>Latvijas Bankas noteikumu projekta</w:t>
      </w:r>
    </w:p>
    <w:p w14:paraId="2B6A3D35" w14:textId="1B28B3CB" w:rsidR="003B481B" w:rsidRDefault="00880453" w:rsidP="008A4147">
      <w:pPr>
        <w:spacing w:after="0" w:line="240" w:lineRule="auto"/>
        <w:jc w:val="center"/>
        <w:rPr>
          <w:rFonts w:ascii="Times New Roman" w:hAnsi="Times New Roman" w:cs="Times New Roman"/>
          <w:b/>
          <w:bCs/>
          <w:sz w:val="24"/>
          <w:szCs w:val="24"/>
        </w:rPr>
      </w:pPr>
      <w:sdt>
        <w:sdtPr>
          <w:rPr>
            <w:rFonts w:ascii="Times New Roman" w:hAnsi="Times New Roman" w:cs="Times New Roman"/>
            <w:b/>
            <w:bCs/>
            <w:sz w:val="24"/>
            <w:szCs w:val="24"/>
          </w:rPr>
          <w:alias w:val="Nosaukums"/>
          <w:tag w:val="Nosaukums"/>
          <w:id w:val="25447728"/>
          <w:placeholder>
            <w:docPart w:val="BC93B20695F34D039CA36F89A6BEC935"/>
          </w:placeholder>
        </w:sdtPr>
        <w:sdtEndPr/>
        <w:sdtContent>
          <w:r w:rsidR="005541EE">
            <w:rPr>
              <w:rFonts w:ascii="Times New Roman" w:hAnsi="Times New Roman" w:cs="Times New Roman"/>
              <w:b/>
              <w:bCs/>
              <w:sz w:val="24"/>
              <w:szCs w:val="24"/>
            </w:rPr>
            <w:t>"</w:t>
          </w:r>
          <w:r w:rsidR="00496244" w:rsidRPr="00496244">
            <w:rPr>
              <w:rFonts w:ascii="Times New Roman" w:hAnsi="Times New Roman" w:cs="Times New Roman"/>
              <w:b/>
              <w:bCs/>
              <w:sz w:val="24"/>
              <w:szCs w:val="24"/>
            </w:rPr>
            <w:t>Ieguldījumu brokeru sabiedrību pārvaldības sistēmas noteikumi</w:t>
          </w:r>
          <w:r w:rsidR="005541EE">
            <w:rPr>
              <w:rFonts w:ascii="Times New Roman" w:hAnsi="Times New Roman" w:cs="Times New Roman"/>
              <w:b/>
              <w:bCs/>
              <w:sz w:val="24"/>
              <w:szCs w:val="24"/>
            </w:rPr>
            <w:t>"</w:t>
          </w:r>
        </w:sdtContent>
      </w:sdt>
      <w:r w:rsidR="002B29EC">
        <w:rPr>
          <w:rFonts w:ascii="Times New Roman" w:hAnsi="Times New Roman" w:cs="Times New Roman"/>
          <w:b/>
          <w:bCs/>
          <w:sz w:val="24"/>
          <w:szCs w:val="24"/>
        </w:rPr>
        <w:t xml:space="preserve"> </w:t>
      </w:r>
      <w:bookmarkEnd w:id="0"/>
      <w:r w:rsidR="00387C23">
        <w:rPr>
          <w:rFonts w:ascii="Times New Roman" w:hAnsi="Times New Roman" w:cs="Times New Roman"/>
          <w:b/>
          <w:bCs/>
          <w:sz w:val="24"/>
          <w:szCs w:val="24"/>
        </w:rPr>
        <w:t>anotācija</w:t>
      </w:r>
    </w:p>
    <w:p w14:paraId="4396F82E" w14:textId="77777777" w:rsidR="008A4147" w:rsidRPr="001719D0" w:rsidRDefault="008A4147" w:rsidP="008A4147">
      <w:pPr>
        <w:spacing w:after="0" w:line="240" w:lineRule="auto"/>
        <w:jc w:val="center"/>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518"/>
      </w:tblGrid>
      <w:tr w:rsidR="000B4E0A" w:rsidRPr="000B4E0A" w14:paraId="075756D3" w14:textId="77777777" w:rsidTr="005541EE">
        <w:trPr>
          <w:trHeight w:val="567"/>
        </w:trPr>
        <w:tc>
          <w:tcPr>
            <w:tcW w:w="1405" w:type="pct"/>
            <w:shd w:val="clear" w:color="auto" w:fill="auto"/>
            <w:hideMark/>
          </w:tcPr>
          <w:p w14:paraId="6C10B54A" w14:textId="643851DF" w:rsidR="00CA28AB" w:rsidRPr="00E253DA" w:rsidRDefault="00A42788" w:rsidP="00B12E0F">
            <w:pPr>
              <w:spacing w:after="12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tc>
        <w:tc>
          <w:tcPr>
            <w:tcW w:w="3595" w:type="pct"/>
            <w:shd w:val="clear" w:color="auto" w:fill="auto"/>
          </w:tcPr>
          <w:p w14:paraId="5807C367" w14:textId="0CB22BBD" w:rsidR="0029352D" w:rsidRPr="009B27BE" w:rsidRDefault="00496244" w:rsidP="00993171">
            <w:pPr>
              <w:spacing w:after="120" w:line="240" w:lineRule="auto"/>
              <w:jc w:val="both"/>
              <w:rPr>
                <w:rFonts w:ascii="Times New Roman" w:eastAsia="Times New Roman" w:hAnsi="Times New Roman" w:cs="Times New Roman"/>
                <w:i/>
                <w:iCs/>
                <w:sz w:val="24"/>
                <w:szCs w:val="24"/>
                <w:lang w:eastAsia="lv-LV"/>
              </w:rPr>
            </w:pPr>
            <w:r w:rsidRPr="00496244">
              <w:rPr>
                <w:rFonts w:ascii="Times New Roman" w:eastAsia="Times New Roman" w:hAnsi="Times New Roman" w:cs="Times New Roman"/>
                <w:sz w:val="24"/>
                <w:szCs w:val="24"/>
                <w:lang w:eastAsia="lv-LV"/>
              </w:rPr>
              <w:t>Ieguldījumu brokeru sabiedrību pārvaldības sistēmas noteikumi</w:t>
            </w:r>
          </w:p>
        </w:tc>
      </w:tr>
      <w:tr w:rsidR="000B4E0A" w:rsidRPr="000B4E0A" w14:paraId="79017AD3" w14:textId="77777777" w:rsidTr="005541EE">
        <w:trPr>
          <w:trHeight w:val="555"/>
        </w:trPr>
        <w:tc>
          <w:tcPr>
            <w:tcW w:w="1405" w:type="pct"/>
            <w:shd w:val="clear" w:color="auto" w:fill="auto"/>
            <w:hideMark/>
          </w:tcPr>
          <w:p w14:paraId="3CAA80CE" w14:textId="5FA9D750" w:rsidR="00CA28AB" w:rsidRPr="00E253DA" w:rsidRDefault="00A42788" w:rsidP="00B12E0F">
            <w:pPr>
              <w:spacing w:after="12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tc>
        <w:tc>
          <w:tcPr>
            <w:tcW w:w="3595" w:type="pct"/>
            <w:shd w:val="clear" w:color="auto" w:fill="auto"/>
          </w:tcPr>
          <w:p w14:paraId="741C3E1B" w14:textId="71D4F970" w:rsidR="00E53DE9" w:rsidRPr="00317A94" w:rsidRDefault="00D07C8C" w:rsidP="00025C42">
            <w:pPr>
              <w:spacing w:after="120" w:line="240" w:lineRule="auto"/>
              <w:rPr>
                <w:rFonts w:ascii="Times New Roman" w:eastAsia="Times New Roman" w:hAnsi="Times New Roman" w:cs="Times New Roman"/>
                <w:sz w:val="24"/>
                <w:szCs w:val="24"/>
                <w:lang w:eastAsia="lv-LV"/>
              </w:rPr>
            </w:pPr>
            <w:r w:rsidRPr="00D07C8C">
              <w:rPr>
                <w:rFonts w:ascii="Times New Roman" w:eastAsia="Times New Roman" w:hAnsi="Times New Roman" w:cs="Times New Roman"/>
                <w:sz w:val="24"/>
                <w:szCs w:val="24"/>
                <w:lang w:eastAsia="lv-LV"/>
              </w:rPr>
              <w:t>Latvijas Bankas noteikumi</w:t>
            </w:r>
          </w:p>
        </w:tc>
      </w:tr>
      <w:tr w:rsidR="000B4E0A" w:rsidRPr="000B4E0A" w14:paraId="382B475A" w14:textId="77777777" w:rsidTr="005541EE">
        <w:trPr>
          <w:trHeight w:val="567"/>
        </w:trPr>
        <w:tc>
          <w:tcPr>
            <w:tcW w:w="1405" w:type="pct"/>
            <w:shd w:val="clear" w:color="auto" w:fill="auto"/>
            <w:hideMark/>
          </w:tcPr>
          <w:p w14:paraId="65BC8074" w14:textId="0F8BF45F" w:rsidR="00CA28AB" w:rsidRPr="00E253DA" w:rsidRDefault="00A42788" w:rsidP="00B12E0F">
            <w:pPr>
              <w:spacing w:after="12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Izdošanas pamatojums</w:t>
            </w:r>
          </w:p>
        </w:tc>
        <w:tc>
          <w:tcPr>
            <w:tcW w:w="3595" w:type="pct"/>
            <w:shd w:val="clear" w:color="auto" w:fill="auto"/>
          </w:tcPr>
          <w:p w14:paraId="0B98D083" w14:textId="42D94522" w:rsidR="00CA0DE3" w:rsidRPr="00317A94" w:rsidRDefault="00496244" w:rsidP="00025C42">
            <w:pPr>
              <w:spacing w:after="120" w:line="240" w:lineRule="auto"/>
              <w:jc w:val="both"/>
              <w:rPr>
                <w:rFonts w:ascii="Times New Roman" w:eastAsia="Times New Roman" w:hAnsi="Times New Roman" w:cs="Times New Roman"/>
                <w:sz w:val="24"/>
                <w:szCs w:val="24"/>
                <w:lang w:eastAsia="lv-LV"/>
              </w:rPr>
            </w:pPr>
            <w:r w:rsidRPr="00496244">
              <w:rPr>
                <w:rFonts w:ascii="Times New Roman" w:eastAsia="Times New Roman" w:hAnsi="Times New Roman" w:cs="Times New Roman"/>
                <w:sz w:val="24"/>
                <w:szCs w:val="24"/>
                <w:lang w:eastAsia="lv-LV"/>
              </w:rPr>
              <w:t>Ieguldījumu brokeru sabiedrību likuma</w:t>
            </w:r>
            <w:r>
              <w:rPr>
                <w:rFonts w:ascii="Times New Roman" w:eastAsia="Times New Roman" w:hAnsi="Times New Roman" w:cs="Times New Roman"/>
                <w:sz w:val="24"/>
                <w:szCs w:val="24"/>
                <w:lang w:eastAsia="lv-LV"/>
              </w:rPr>
              <w:t xml:space="preserve"> </w:t>
            </w:r>
            <w:r w:rsidRPr="00496244">
              <w:rPr>
                <w:rFonts w:ascii="Times New Roman" w:eastAsia="Times New Roman" w:hAnsi="Times New Roman" w:cs="Times New Roman"/>
                <w:sz w:val="24"/>
                <w:szCs w:val="24"/>
                <w:lang w:eastAsia="lv-LV"/>
              </w:rPr>
              <w:t>31.</w:t>
            </w:r>
            <w:r w:rsidR="00EB074B">
              <w:rPr>
                <w:rFonts w:ascii="Times New Roman" w:eastAsia="Times New Roman" w:hAnsi="Times New Roman" w:cs="Times New Roman"/>
                <w:sz w:val="24"/>
                <w:szCs w:val="24"/>
                <w:lang w:eastAsia="lv-LV"/>
              </w:rPr>
              <w:t> </w:t>
            </w:r>
            <w:r w:rsidRPr="00496244">
              <w:rPr>
                <w:rFonts w:ascii="Times New Roman" w:eastAsia="Times New Roman" w:hAnsi="Times New Roman" w:cs="Times New Roman"/>
                <w:sz w:val="24"/>
                <w:szCs w:val="24"/>
                <w:lang w:eastAsia="lv-LV"/>
              </w:rPr>
              <w:t>panta ceturt</w:t>
            </w:r>
            <w:r w:rsidR="000D2EB6">
              <w:rPr>
                <w:rFonts w:ascii="Times New Roman" w:eastAsia="Times New Roman" w:hAnsi="Times New Roman" w:cs="Times New Roman"/>
                <w:sz w:val="24"/>
                <w:szCs w:val="24"/>
                <w:lang w:eastAsia="lv-LV"/>
              </w:rPr>
              <w:t>ā</w:t>
            </w:r>
            <w:r w:rsidR="009B3FB7">
              <w:rPr>
                <w:rFonts w:ascii="Times New Roman" w:eastAsia="Times New Roman" w:hAnsi="Times New Roman" w:cs="Times New Roman"/>
                <w:sz w:val="24"/>
                <w:szCs w:val="24"/>
                <w:lang w:eastAsia="lv-LV"/>
              </w:rPr>
              <w:t xml:space="preserve"> un piekt</w:t>
            </w:r>
            <w:r w:rsidR="000D2EB6">
              <w:rPr>
                <w:rFonts w:ascii="Times New Roman" w:eastAsia="Times New Roman" w:hAnsi="Times New Roman" w:cs="Times New Roman"/>
                <w:sz w:val="24"/>
                <w:szCs w:val="24"/>
                <w:lang w:eastAsia="lv-LV"/>
              </w:rPr>
              <w:t>ā</w:t>
            </w:r>
            <w:r w:rsidR="009B3FB7">
              <w:rPr>
                <w:rFonts w:ascii="Times New Roman" w:eastAsia="Times New Roman" w:hAnsi="Times New Roman" w:cs="Times New Roman"/>
                <w:sz w:val="24"/>
                <w:szCs w:val="24"/>
                <w:lang w:eastAsia="lv-LV"/>
              </w:rPr>
              <w:t xml:space="preserve"> daļ</w:t>
            </w:r>
            <w:r w:rsidR="000D2EB6">
              <w:rPr>
                <w:rFonts w:ascii="Times New Roman" w:eastAsia="Times New Roman" w:hAnsi="Times New Roman" w:cs="Times New Roman"/>
                <w:sz w:val="24"/>
                <w:szCs w:val="24"/>
                <w:lang w:eastAsia="lv-LV"/>
              </w:rPr>
              <w:t>a</w:t>
            </w:r>
            <w:r w:rsidRPr="00496244">
              <w:rPr>
                <w:rFonts w:ascii="Times New Roman" w:eastAsia="Times New Roman" w:hAnsi="Times New Roman" w:cs="Times New Roman"/>
                <w:sz w:val="24"/>
                <w:szCs w:val="24"/>
                <w:lang w:eastAsia="lv-LV"/>
              </w:rPr>
              <w:t xml:space="preserve"> un 45.</w:t>
            </w:r>
            <w:r w:rsidR="00EB074B">
              <w:rPr>
                <w:rFonts w:ascii="Times New Roman" w:eastAsia="Times New Roman" w:hAnsi="Times New Roman" w:cs="Times New Roman"/>
                <w:sz w:val="24"/>
                <w:szCs w:val="24"/>
                <w:lang w:eastAsia="lv-LV"/>
              </w:rPr>
              <w:t> </w:t>
            </w:r>
            <w:r w:rsidRPr="00496244">
              <w:rPr>
                <w:rFonts w:ascii="Times New Roman" w:eastAsia="Times New Roman" w:hAnsi="Times New Roman" w:cs="Times New Roman"/>
                <w:sz w:val="24"/>
                <w:szCs w:val="24"/>
                <w:lang w:eastAsia="lv-LV"/>
              </w:rPr>
              <w:t>panta sest</w:t>
            </w:r>
            <w:r w:rsidR="000D2EB6">
              <w:rPr>
                <w:rFonts w:ascii="Times New Roman" w:eastAsia="Times New Roman" w:hAnsi="Times New Roman" w:cs="Times New Roman"/>
                <w:sz w:val="24"/>
                <w:szCs w:val="24"/>
                <w:lang w:eastAsia="lv-LV"/>
              </w:rPr>
              <w:t>ā</w:t>
            </w:r>
            <w:r w:rsidRPr="00496244">
              <w:rPr>
                <w:rFonts w:ascii="Times New Roman" w:eastAsia="Times New Roman" w:hAnsi="Times New Roman" w:cs="Times New Roman"/>
                <w:sz w:val="24"/>
                <w:szCs w:val="24"/>
                <w:lang w:eastAsia="lv-LV"/>
              </w:rPr>
              <w:t xml:space="preserve"> daļ</w:t>
            </w:r>
            <w:r w:rsidR="000D2EB6">
              <w:rPr>
                <w:rFonts w:ascii="Times New Roman" w:eastAsia="Times New Roman" w:hAnsi="Times New Roman" w:cs="Times New Roman"/>
                <w:sz w:val="24"/>
                <w:szCs w:val="24"/>
                <w:lang w:eastAsia="lv-LV"/>
              </w:rPr>
              <w:t>a</w:t>
            </w:r>
          </w:p>
        </w:tc>
      </w:tr>
      <w:tr w:rsidR="000B4E0A" w:rsidRPr="000B4E0A" w14:paraId="037D3A75" w14:textId="77777777" w:rsidTr="005541EE">
        <w:trPr>
          <w:trHeight w:val="567"/>
        </w:trPr>
        <w:tc>
          <w:tcPr>
            <w:tcW w:w="1405" w:type="pct"/>
            <w:shd w:val="clear" w:color="auto" w:fill="auto"/>
            <w:hideMark/>
          </w:tcPr>
          <w:p w14:paraId="6F5D11F2" w14:textId="072AAA3F" w:rsidR="00CA28AB" w:rsidRPr="00E253DA" w:rsidRDefault="00A42788" w:rsidP="00B12E0F">
            <w:pPr>
              <w:spacing w:after="12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tc>
        <w:tc>
          <w:tcPr>
            <w:tcW w:w="3595" w:type="pct"/>
            <w:shd w:val="clear" w:color="auto" w:fill="auto"/>
          </w:tcPr>
          <w:p w14:paraId="6BD3BAFC" w14:textId="77777777" w:rsidR="008A0512" w:rsidRDefault="008A0512" w:rsidP="005541EE">
            <w:pPr>
              <w:spacing w:after="120" w:line="240" w:lineRule="auto"/>
              <w:jc w:val="both"/>
              <w:rPr>
                <w:rFonts w:ascii="Times New Roman" w:eastAsia="Times New Roman" w:hAnsi="Times New Roman" w:cs="Times New Roman"/>
                <w:sz w:val="24"/>
                <w:szCs w:val="24"/>
                <w:lang w:eastAsia="lv-LV"/>
              </w:rPr>
            </w:pPr>
            <w:r w:rsidRPr="008A0512">
              <w:rPr>
                <w:rFonts w:ascii="Times New Roman" w:eastAsia="Times New Roman" w:hAnsi="Times New Roman" w:cs="Times New Roman"/>
                <w:sz w:val="24"/>
                <w:szCs w:val="24"/>
                <w:lang w:eastAsia="lv-LV"/>
              </w:rPr>
              <w:t>Saskaņā ar Latvijas Bankas likuma pārejas noteikumu 3. 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34B94AD0" w14:textId="3384A8A0" w:rsidR="008A0512" w:rsidRPr="008A0512" w:rsidRDefault="008A0512" w:rsidP="005541EE">
            <w:pPr>
              <w:spacing w:after="120" w:line="240" w:lineRule="auto"/>
              <w:jc w:val="both"/>
              <w:rPr>
                <w:rFonts w:ascii="Times New Roman" w:eastAsia="Times New Roman" w:hAnsi="Times New Roman" w:cs="Times New Roman"/>
                <w:sz w:val="24"/>
                <w:szCs w:val="24"/>
                <w:lang w:eastAsia="lv-LV"/>
              </w:rPr>
            </w:pPr>
            <w:r w:rsidRPr="008A0512">
              <w:rPr>
                <w:rFonts w:ascii="Times New Roman" w:eastAsia="Times New Roman" w:hAnsi="Times New Roman" w:cs="Times New Roman"/>
                <w:sz w:val="24"/>
                <w:szCs w:val="24"/>
                <w:lang w:eastAsia="lv-LV"/>
              </w:rPr>
              <w:t xml:space="preserve">Ņemot vērā minēto, Latvijas Banka ir izstrādājusi noteikumu projektu </w:t>
            </w:r>
            <w:r w:rsidR="005541EE">
              <w:rPr>
                <w:rFonts w:ascii="Times New Roman" w:eastAsia="Times New Roman" w:hAnsi="Times New Roman" w:cs="Times New Roman"/>
                <w:sz w:val="24"/>
                <w:szCs w:val="24"/>
                <w:lang w:eastAsia="lv-LV"/>
              </w:rPr>
              <w:t>"</w:t>
            </w:r>
            <w:r w:rsidR="00496244" w:rsidRPr="00496244">
              <w:rPr>
                <w:rFonts w:ascii="Times New Roman" w:eastAsia="Times New Roman" w:hAnsi="Times New Roman" w:cs="Times New Roman"/>
                <w:sz w:val="24"/>
                <w:szCs w:val="24"/>
                <w:lang w:eastAsia="lv-LV"/>
              </w:rPr>
              <w:t>Ieguldījumu brokeru sabiedrību pārvaldības sistēmas noteikumi</w:t>
            </w:r>
            <w:r w:rsidR="005541EE">
              <w:rPr>
                <w:rFonts w:ascii="Times New Roman" w:eastAsia="Times New Roman" w:hAnsi="Times New Roman" w:cs="Times New Roman"/>
                <w:sz w:val="24"/>
                <w:szCs w:val="24"/>
                <w:lang w:eastAsia="lv-LV"/>
              </w:rPr>
              <w:t>"</w:t>
            </w:r>
            <w:r w:rsidRPr="008A0512">
              <w:rPr>
                <w:rFonts w:ascii="Times New Roman" w:eastAsia="Times New Roman" w:hAnsi="Times New Roman" w:cs="Times New Roman"/>
                <w:sz w:val="24"/>
                <w:szCs w:val="24"/>
                <w:lang w:eastAsia="lv-LV"/>
              </w:rPr>
              <w:t xml:space="preserve"> (turpmāk – noteikumu projekts), kas aizstās </w:t>
            </w:r>
            <w:r w:rsidR="00387C23" w:rsidRPr="00387C23">
              <w:rPr>
                <w:rFonts w:ascii="Times New Roman" w:eastAsia="Times New Roman" w:hAnsi="Times New Roman" w:cs="Times New Roman"/>
                <w:sz w:val="24"/>
                <w:szCs w:val="24"/>
                <w:lang w:eastAsia="lv-LV"/>
              </w:rPr>
              <w:t xml:space="preserve">Finanšu un kapitāla tirgus komisijas </w:t>
            </w:r>
            <w:r w:rsidR="003140CC" w:rsidRPr="003140CC">
              <w:rPr>
                <w:rFonts w:ascii="Times New Roman" w:eastAsia="Times New Roman" w:hAnsi="Times New Roman" w:cs="Times New Roman"/>
                <w:sz w:val="24"/>
                <w:szCs w:val="24"/>
                <w:lang w:eastAsia="lv-LV"/>
              </w:rPr>
              <w:t>202</w:t>
            </w:r>
            <w:r w:rsidR="00496244">
              <w:rPr>
                <w:rFonts w:ascii="Times New Roman" w:eastAsia="Times New Roman" w:hAnsi="Times New Roman" w:cs="Times New Roman"/>
                <w:sz w:val="24"/>
                <w:szCs w:val="24"/>
                <w:lang w:eastAsia="lv-LV"/>
              </w:rPr>
              <w:t>2</w:t>
            </w:r>
            <w:r w:rsidR="003140CC" w:rsidRPr="003140CC">
              <w:rPr>
                <w:rFonts w:ascii="Times New Roman" w:eastAsia="Times New Roman" w:hAnsi="Times New Roman" w:cs="Times New Roman"/>
                <w:sz w:val="24"/>
                <w:szCs w:val="24"/>
                <w:lang w:eastAsia="lv-LV"/>
              </w:rPr>
              <w:t>.</w:t>
            </w:r>
            <w:r w:rsidR="00EB074B">
              <w:rPr>
                <w:rFonts w:ascii="Times New Roman" w:eastAsia="Times New Roman" w:hAnsi="Times New Roman" w:cs="Times New Roman"/>
                <w:sz w:val="24"/>
                <w:szCs w:val="24"/>
                <w:lang w:eastAsia="lv-LV"/>
              </w:rPr>
              <w:t> </w:t>
            </w:r>
            <w:r w:rsidR="003140CC" w:rsidRPr="003140CC">
              <w:rPr>
                <w:rFonts w:ascii="Times New Roman" w:eastAsia="Times New Roman" w:hAnsi="Times New Roman" w:cs="Times New Roman"/>
                <w:sz w:val="24"/>
                <w:szCs w:val="24"/>
                <w:lang w:eastAsia="lv-LV"/>
              </w:rPr>
              <w:t xml:space="preserve">gada </w:t>
            </w:r>
            <w:r w:rsidR="00496244">
              <w:rPr>
                <w:rFonts w:ascii="Times New Roman" w:eastAsia="Times New Roman" w:hAnsi="Times New Roman" w:cs="Times New Roman"/>
                <w:sz w:val="24"/>
                <w:szCs w:val="24"/>
                <w:lang w:eastAsia="lv-LV"/>
              </w:rPr>
              <w:t>6</w:t>
            </w:r>
            <w:r w:rsidR="003140CC" w:rsidRPr="003140CC">
              <w:rPr>
                <w:rFonts w:ascii="Times New Roman" w:eastAsia="Times New Roman" w:hAnsi="Times New Roman" w:cs="Times New Roman"/>
                <w:sz w:val="24"/>
                <w:szCs w:val="24"/>
                <w:lang w:eastAsia="lv-LV"/>
              </w:rPr>
              <w:t>.</w:t>
            </w:r>
            <w:r w:rsidR="00EB074B">
              <w:rPr>
                <w:rFonts w:ascii="Times New Roman" w:eastAsia="Times New Roman" w:hAnsi="Times New Roman" w:cs="Times New Roman"/>
                <w:sz w:val="24"/>
                <w:szCs w:val="24"/>
                <w:lang w:eastAsia="lv-LV"/>
              </w:rPr>
              <w:t> </w:t>
            </w:r>
            <w:r w:rsidR="003140CC" w:rsidRPr="003140CC">
              <w:rPr>
                <w:rFonts w:ascii="Times New Roman" w:eastAsia="Times New Roman" w:hAnsi="Times New Roman" w:cs="Times New Roman"/>
                <w:sz w:val="24"/>
                <w:szCs w:val="24"/>
                <w:lang w:eastAsia="lv-LV"/>
              </w:rPr>
              <w:t>decembra normatīvos noteikumus Nr.</w:t>
            </w:r>
            <w:r w:rsidR="00AB6525">
              <w:rPr>
                <w:rFonts w:ascii="Times New Roman" w:eastAsia="Times New Roman" w:hAnsi="Times New Roman" w:cs="Times New Roman"/>
                <w:sz w:val="24"/>
                <w:szCs w:val="24"/>
                <w:lang w:eastAsia="lv-LV"/>
              </w:rPr>
              <w:t> </w:t>
            </w:r>
            <w:r w:rsidR="003140CC" w:rsidRPr="003140CC">
              <w:rPr>
                <w:rFonts w:ascii="Times New Roman" w:eastAsia="Times New Roman" w:hAnsi="Times New Roman" w:cs="Times New Roman"/>
                <w:sz w:val="24"/>
                <w:szCs w:val="24"/>
                <w:lang w:eastAsia="lv-LV"/>
              </w:rPr>
              <w:t>2</w:t>
            </w:r>
            <w:r w:rsidR="00496244">
              <w:rPr>
                <w:rFonts w:ascii="Times New Roman" w:eastAsia="Times New Roman" w:hAnsi="Times New Roman" w:cs="Times New Roman"/>
                <w:sz w:val="24"/>
                <w:szCs w:val="24"/>
                <w:lang w:eastAsia="lv-LV"/>
              </w:rPr>
              <w:t>12</w:t>
            </w:r>
            <w:r w:rsidR="00EB074B">
              <w:rPr>
                <w:rFonts w:ascii="Times New Roman" w:eastAsia="Times New Roman" w:hAnsi="Times New Roman" w:cs="Times New Roman"/>
                <w:sz w:val="24"/>
                <w:szCs w:val="24"/>
                <w:lang w:eastAsia="lv-LV"/>
              </w:rPr>
              <w:t xml:space="preserve"> </w:t>
            </w:r>
            <w:r w:rsidR="005541EE">
              <w:rPr>
                <w:rFonts w:ascii="Times New Roman" w:eastAsia="Times New Roman" w:hAnsi="Times New Roman" w:cs="Times New Roman"/>
                <w:sz w:val="24"/>
                <w:szCs w:val="24"/>
                <w:lang w:eastAsia="lv-LV"/>
              </w:rPr>
              <w:t>"</w:t>
            </w:r>
            <w:r w:rsidR="00496244">
              <w:rPr>
                <w:rFonts w:ascii="Times New Roman" w:eastAsia="Times New Roman" w:hAnsi="Times New Roman" w:cs="Times New Roman"/>
                <w:sz w:val="24"/>
                <w:szCs w:val="24"/>
                <w:lang w:eastAsia="lv-LV"/>
              </w:rPr>
              <w:t>Ie</w:t>
            </w:r>
            <w:r w:rsidR="00496244" w:rsidRPr="00496244">
              <w:rPr>
                <w:rFonts w:ascii="Times New Roman" w:eastAsia="Times New Roman" w:hAnsi="Times New Roman" w:cs="Times New Roman"/>
                <w:sz w:val="24"/>
                <w:szCs w:val="24"/>
                <w:lang w:eastAsia="lv-LV"/>
              </w:rPr>
              <w:t>guldījumu brokeru sabiedrību pārvaldības sistēmas izveides normatīvie noteikumi</w:t>
            </w:r>
            <w:r w:rsidR="005541EE">
              <w:rPr>
                <w:rFonts w:ascii="Times New Roman" w:eastAsia="Times New Roman" w:hAnsi="Times New Roman" w:cs="Times New Roman"/>
                <w:sz w:val="24"/>
                <w:szCs w:val="24"/>
                <w:lang w:eastAsia="lv-LV"/>
              </w:rPr>
              <w:t>"</w:t>
            </w:r>
            <w:r w:rsidR="003140CC" w:rsidRPr="003140CC">
              <w:rPr>
                <w:rFonts w:ascii="Times New Roman" w:eastAsia="Times New Roman" w:hAnsi="Times New Roman" w:cs="Times New Roman"/>
                <w:sz w:val="24"/>
                <w:szCs w:val="24"/>
                <w:lang w:eastAsia="lv-LV"/>
              </w:rPr>
              <w:t xml:space="preserve"> </w:t>
            </w:r>
            <w:r w:rsidR="004408E4">
              <w:rPr>
                <w:rFonts w:ascii="Times New Roman" w:eastAsia="Times New Roman" w:hAnsi="Times New Roman" w:cs="Times New Roman"/>
                <w:sz w:val="24"/>
                <w:szCs w:val="24"/>
                <w:lang w:eastAsia="lv-LV"/>
              </w:rPr>
              <w:t>(turpmāk</w:t>
            </w:r>
            <w:r w:rsidR="00EB074B">
              <w:rPr>
                <w:rFonts w:ascii="Times New Roman" w:eastAsia="Times New Roman" w:hAnsi="Times New Roman" w:cs="Times New Roman"/>
                <w:sz w:val="24"/>
                <w:szCs w:val="24"/>
                <w:lang w:eastAsia="lv-LV"/>
              </w:rPr>
              <w:t> </w:t>
            </w:r>
            <w:r w:rsidR="004408E4">
              <w:rPr>
                <w:rFonts w:ascii="Times New Roman" w:eastAsia="Times New Roman" w:hAnsi="Times New Roman" w:cs="Times New Roman"/>
                <w:sz w:val="24"/>
                <w:szCs w:val="24"/>
                <w:lang w:eastAsia="lv-LV"/>
              </w:rPr>
              <w:t>– Noteikumi Nr.</w:t>
            </w:r>
            <w:r w:rsidR="00AB6525">
              <w:rPr>
                <w:rFonts w:ascii="Times New Roman" w:eastAsia="Times New Roman" w:hAnsi="Times New Roman" w:cs="Times New Roman"/>
                <w:sz w:val="24"/>
                <w:szCs w:val="24"/>
                <w:lang w:eastAsia="lv-LV"/>
              </w:rPr>
              <w:t> </w:t>
            </w:r>
            <w:r w:rsidR="004408E4">
              <w:rPr>
                <w:rFonts w:ascii="Times New Roman" w:eastAsia="Times New Roman" w:hAnsi="Times New Roman" w:cs="Times New Roman"/>
                <w:sz w:val="24"/>
                <w:szCs w:val="24"/>
                <w:lang w:eastAsia="lv-LV"/>
              </w:rPr>
              <w:t>2</w:t>
            </w:r>
            <w:r w:rsidR="00496244">
              <w:rPr>
                <w:rFonts w:ascii="Times New Roman" w:eastAsia="Times New Roman" w:hAnsi="Times New Roman" w:cs="Times New Roman"/>
                <w:sz w:val="24"/>
                <w:szCs w:val="24"/>
                <w:lang w:eastAsia="lv-LV"/>
              </w:rPr>
              <w:t>1</w:t>
            </w:r>
            <w:r w:rsidR="003140CC">
              <w:rPr>
                <w:rFonts w:ascii="Times New Roman" w:eastAsia="Times New Roman" w:hAnsi="Times New Roman" w:cs="Times New Roman"/>
                <w:sz w:val="24"/>
                <w:szCs w:val="24"/>
                <w:lang w:eastAsia="lv-LV"/>
              </w:rPr>
              <w:t>2</w:t>
            </w:r>
            <w:r w:rsidR="004408E4">
              <w:rPr>
                <w:rFonts w:ascii="Times New Roman" w:eastAsia="Times New Roman" w:hAnsi="Times New Roman" w:cs="Times New Roman"/>
                <w:sz w:val="24"/>
                <w:szCs w:val="24"/>
                <w:lang w:eastAsia="lv-LV"/>
              </w:rPr>
              <w:t>)</w:t>
            </w:r>
            <w:r w:rsidR="00387C23">
              <w:rPr>
                <w:rFonts w:ascii="Times New Roman" w:eastAsia="Times New Roman" w:hAnsi="Times New Roman" w:cs="Times New Roman"/>
                <w:sz w:val="24"/>
                <w:szCs w:val="24"/>
                <w:lang w:eastAsia="lv-LV"/>
              </w:rPr>
              <w:t>.</w:t>
            </w:r>
          </w:p>
          <w:p w14:paraId="2D9B9D62" w14:textId="6DF9D8C0" w:rsidR="00252D00" w:rsidRDefault="003E22AF" w:rsidP="005541EE">
            <w:pPr>
              <w:spacing w:after="12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sz w:val="24"/>
                <w:szCs w:val="24"/>
                <w:lang w:eastAsia="lv-LV"/>
              </w:rPr>
              <w:t xml:space="preserve">Noteikumu projekts </w:t>
            </w:r>
            <w:r w:rsidR="00ED320C">
              <w:rPr>
                <w:rFonts w:ascii="Times New Roman" w:eastAsia="Times New Roman" w:hAnsi="Times New Roman" w:cs="Times New Roman"/>
                <w:sz w:val="24"/>
                <w:szCs w:val="24"/>
                <w:lang w:eastAsia="lv-LV"/>
              </w:rPr>
              <w:t xml:space="preserve">izstrādāts ar mērķi </w:t>
            </w:r>
            <w:r w:rsidR="00ED320C" w:rsidRPr="00CA0DE3">
              <w:rPr>
                <w:rFonts w:ascii="Times New Roman" w:eastAsia="Times New Roman" w:hAnsi="Times New Roman" w:cs="Times New Roman"/>
                <w:color w:val="000000" w:themeColor="text1"/>
                <w:sz w:val="24"/>
                <w:szCs w:val="24"/>
                <w:lang w:eastAsia="lv-LV"/>
              </w:rPr>
              <w:t xml:space="preserve">nodrošināt, ka </w:t>
            </w:r>
            <w:r w:rsidR="00AB6525" w:rsidRPr="00AB6525">
              <w:rPr>
                <w:rFonts w:ascii="Times New Roman" w:eastAsia="Times New Roman" w:hAnsi="Times New Roman" w:cs="Times New Roman"/>
                <w:color w:val="000000" w:themeColor="text1"/>
                <w:sz w:val="24"/>
                <w:szCs w:val="24"/>
                <w:lang w:eastAsia="lv-LV"/>
              </w:rPr>
              <w:t>Latvijas Republikā reģistrēt</w:t>
            </w:r>
            <w:r w:rsidR="00AB6525">
              <w:rPr>
                <w:rFonts w:ascii="Times New Roman" w:eastAsia="Times New Roman" w:hAnsi="Times New Roman" w:cs="Times New Roman"/>
                <w:color w:val="000000" w:themeColor="text1"/>
                <w:sz w:val="24"/>
                <w:szCs w:val="24"/>
                <w:lang w:eastAsia="lv-LV"/>
              </w:rPr>
              <w:t>a</w:t>
            </w:r>
            <w:r w:rsidR="00F113C8">
              <w:rPr>
                <w:rFonts w:ascii="Times New Roman" w:eastAsia="Times New Roman" w:hAnsi="Times New Roman" w:cs="Times New Roman"/>
                <w:color w:val="000000" w:themeColor="text1"/>
                <w:sz w:val="24"/>
                <w:szCs w:val="24"/>
                <w:lang w:eastAsia="lv-LV"/>
              </w:rPr>
              <w:t>s</w:t>
            </w:r>
            <w:r w:rsidR="00AB6525">
              <w:rPr>
                <w:rFonts w:ascii="Times New Roman" w:eastAsia="Times New Roman" w:hAnsi="Times New Roman" w:cs="Times New Roman"/>
                <w:color w:val="000000" w:themeColor="text1"/>
                <w:sz w:val="24"/>
                <w:szCs w:val="24"/>
                <w:lang w:eastAsia="lv-LV"/>
              </w:rPr>
              <w:t xml:space="preserve"> </w:t>
            </w:r>
            <w:r w:rsidR="00496244">
              <w:rPr>
                <w:rFonts w:ascii="Times New Roman" w:eastAsia="Times New Roman" w:hAnsi="Times New Roman" w:cs="Times New Roman"/>
                <w:color w:val="000000" w:themeColor="text1"/>
                <w:sz w:val="24"/>
                <w:szCs w:val="24"/>
                <w:lang w:eastAsia="lv-LV"/>
              </w:rPr>
              <w:t xml:space="preserve">ieguldījumu brokeru sabiedrības </w:t>
            </w:r>
            <w:r w:rsidR="00F113C8" w:rsidRPr="00F113C8">
              <w:rPr>
                <w:rFonts w:ascii="Times New Roman" w:eastAsia="Times New Roman" w:hAnsi="Times New Roman" w:cs="Times New Roman"/>
                <w:color w:val="000000" w:themeColor="text1"/>
                <w:sz w:val="24"/>
                <w:szCs w:val="24"/>
                <w:lang w:eastAsia="lv-LV"/>
              </w:rPr>
              <w:t>(turpmāk</w:t>
            </w:r>
            <w:r w:rsidR="00A6548A">
              <w:rPr>
                <w:rFonts w:ascii="Times New Roman" w:eastAsia="Times New Roman" w:hAnsi="Times New Roman" w:cs="Times New Roman"/>
                <w:color w:val="000000" w:themeColor="text1"/>
                <w:sz w:val="24"/>
                <w:szCs w:val="24"/>
                <w:lang w:eastAsia="lv-LV"/>
              </w:rPr>
              <w:t xml:space="preserve"> arī</w:t>
            </w:r>
            <w:r w:rsidR="00EB074B">
              <w:rPr>
                <w:rFonts w:ascii="Times New Roman" w:eastAsia="Times New Roman" w:hAnsi="Times New Roman" w:cs="Times New Roman"/>
                <w:color w:val="000000" w:themeColor="text1"/>
                <w:sz w:val="24"/>
                <w:szCs w:val="24"/>
                <w:lang w:eastAsia="lv-LV"/>
              </w:rPr>
              <w:t> </w:t>
            </w:r>
            <w:r w:rsidR="00F113C8" w:rsidRPr="00F113C8">
              <w:rPr>
                <w:rFonts w:ascii="Times New Roman" w:eastAsia="Times New Roman" w:hAnsi="Times New Roman" w:cs="Times New Roman"/>
                <w:color w:val="000000" w:themeColor="text1"/>
                <w:sz w:val="24"/>
                <w:szCs w:val="24"/>
                <w:lang w:eastAsia="lv-LV"/>
              </w:rPr>
              <w:t xml:space="preserve">– </w:t>
            </w:r>
            <w:r w:rsidR="000028BC">
              <w:rPr>
                <w:rFonts w:ascii="Times New Roman" w:eastAsia="Times New Roman" w:hAnsi="Times New Roman" w:cs="Times New Roman"/>
                <w:color w:val="000000" w:themeColor="text1"/>
                <w:sz w:val="24"/>
                <w:szCs w:val="24"/>
                <w:lang w:eastAsia="lv-LV"/>
              </w:rPr>
              <w:t>sabiedrība</w:t>
            </w:r>
            <w:r w:rsidR="00F113C8">
              <w:rPr>
                <w:rFonts w:ascii="Times New Roman" w:eastAsia="Times New Roman" w:hAnsi="Times New Roman" w:cs="Times New Roman"/>
                <w:color w:val="000000" w:themeColor="text1"/>
                <w:sz w:val="24"/>
                <w:szCs w:val="24"/>
                <w:lang w:eastAsia="lv-LV"/>
              </w:rPr>
              <w:t xml:space="preserve">) </w:t>
            </w:r>
            <w:r w:rsidR="00ED320C" w:rsidRPr="00CA0DE3">
              <w:rPr>
                <w:rFonts w:ascii="Times New Roman" w:eastAsia="Times New Roman" w:hAnsi="Times New Roman" w:cs="Times New Roman"/>
                <w:color w:val="000000" w:themeColor="text1"/>
                <w:sz w:val="24"/>
                <w:szCs w:val="24"/>
                <w:lang w:eastAsia="lv-LV"/>
              </w:rPr>
              <w:t xml:space="preserve">izveido to darbības raksturam, apjomam un sarežģītībai piemērotu, visaptverošu un efektīvu </w:t>
            </w:r>
            <w:r w:rsidR="0040342E">
              <w:rPr>
                <w:rFonts w:ascii="Times New Roman" w:eastAsia="Times New Roman" w:hAnsi="Times New Roman" w:cs="Times New Roman"/>
                <w:color w:val="000000" w:themeColor="text1"/>
                <w:sz w:val="24"/>
                <w:szCs w:val="24"/>
                <w:lang w:eastAsia="lv-LV"/>
              </w:rPr>
              <w:t>pārvaldības sistēmu,</w:t>
            </w:r>
            <w:r w:rsidR="00AB6525">
              <w:rPr>
                <w:rFonts w:ascii="Times New Roman" w:eastAsia="Times New Roman" w:hAnsi="Times New Roman" w:cs="Times New Roman"/>
                <w:color w:val="000000" w:themeColor="text1"/>
                <w:sz w:val="24"/>
                <w:szCs w:val="24"/>
                <w:lang w:eastAsia="lv-LV"/>
              </w:rPr>
              <w:t xml:space="preserve"> tai skaitā</w:t>
            </w:r>
            <w:r w:rsidR="008A4147">
              <w:rPr>
                <w:rFonts w:ascii="Times New Roman" w:eastAsia="Times New Roman" w:hAnsi="Times New Roman" w:cs="Times New Roman"/>
                <w:color w:val="000000" w:themeColor="text1"/>
                <w:sz w:val="24"/>
                <w:szCs w:val="24"/>
                <w:lang w:eastAsia="lv-LV"/>
              </w:rPr>
              <w:t xml:space="preserve"> nodrošina</w:t>
            </w:r>
            <w:r w:rsidR="00AB6525">
              <w:rPr>
                <w:rFonts w:ascii="Times New Roman" w:eastAsia="Times New Roman" w:hAnsi="Times New Roman" w:cs="Times New Roman"/>
                <w:color w:val="000000" w:themeColor="text1"/>
                <w:sz w:val="24"/>
                <w:szCs w:val="24"/>
                <w:lang w:eastAsia="lv-LV"/>
              </w:rPr>
              <w:t xml:space="preserve"> atbilstošu </w:t>
            </w:r>
            <w:r>
              <w:rPr>
                <w:rFonts w:ascii="Times New Roman" w:eastAsia="Times New Roman" w:hAnsi="Times New Roman" w:cs="Times New Roman"/>
                <w:color w:val="000000" w:themeColor="text1"/>
                <w:sz w:val="24"/>
                <w:szCs w:val="24"/>
                <w:lang w:eastAsia="lv-LV"/>
              </w:rPr>
              <w:t xml:space="preserve">iekšējās kontroles </w:t>
            </w:r>
            <w:r w:rsidR="00AB6525">
              <w:rPr>
                <w:rFonts w:ascii="Times New Roman" w:eastAsia="Times New Roman" w:hAnsi="Times New Roman" w:cs="Times New Roman"/>
                <w:color w:val="000000" w:themeColor="text1"/>
                <w:sz w:val="24"/>
                <w:szCs w:val="24"/>
                <w:lang w:eastAsia="lv-LV"/>
              </w:rPr>
              <w:t>funkciju darbību</w:t>
            </w:r>
            <w:r>
              <w:rPr>
                <w:rFonts w:ascii="Times New Roman" w:eastAsia="Times New Roman" w:hAnsi="Times New Roman" w:cs="Times New Roman"/>
                <w:color w:val="000000" w:themeColor="text1"/>
                <w:sz w:val="24"/>
                <w:szCs w:val="24"/>
                <w:lang w:eastAsia="lv-LV"/>
              </w:rPr>
              <w:t>.</w:t>
            </w:r>
          </w:p>
          <w:p w14:paraId="4D6B0C66" w14:textId="7BFCD6C9" w:rsidR="00FA74AB" w:rsidRPr="00C827DE" w:rsidRDefault="00252D00" w:rsidP="005541EE">
            <w:pPr>
              <w:spacing w:after="120" w:line="240" w:lineRule="auto"/>
              <w:jc w:val="both"/>
              <w:rPr>
                <w:rFonts w:ascii="Times New Roman" w:eastAsia="Times New Roman" w:hAnsi="Times New Roman" w:cs="Times New Roman"/>
                <w:sz w:val="24"/>
                <w:szCs w:val="24"/>
                <w:lang w:eastAsia="lv-LV"/>
              </w:rPr>
            </w:pPr>
            <w:r w:rsidRPr="00DD709E">
              <w:rPr>
                <w:rFonts w:ascii="Times New Roman" w:eastAsia="Times New Roman" w:hAnsi="Times New Roman" w:cs="Times New Roman"/>
                <w:iCs/>
                <w:color w:val="000000" w:themeColor="text1"/>
                <w:sz w:val="24"/>
                <w:szCs w:val="24"/>
                <w:lang w:eastAsia="lv-LV"/>
              </w:rPr>
              <w:t>Noteikumu projekt</w:t>
            </w:r>
            <w:r w:rsidR="00AB6525">
              <w:rPr>
                <w:rFonts w:ascii="Times New Roman" w:eastAsia="Times New Roman" w:hAnsi="Times New Roman" w:cs="Times New Roman"/>
                <w:iCs/>
                <w:color w:val="000000" w:themeColor="text1"/>
                <w:sz w:val="24"/>
                <w:szCs w:val="24"/>
                <w:lang w:eastAsia="lv-LV"/>
              </w:rPr>
              <w:t xml:space="preserve">ā ietvertas prasības </w:t>
            </w:r>
            <w:r w:rsidR="000028BC">
              <w:rPr>
                <w:rFonts w:ascii="Times New Roman" w:eastAsia="Times New Roman" w:hAnsi="Times New Roman" w:cs="Times New Roman"/>
                <w:iCs/>
                <w:color w:val="000000" w:themeColor="text1"/>
                <w:sz w:val="24"/>
                <w:szCs w:val="24"/>
                <w:lang w:eastAsia="lv-LV"/>
              </w:rPr>
              <w:t>sabiedrības</w:t>
            </w:r>
            <w:r w:rsidR="00F113C8" w:rsidRPr="00F113C8">
              <w:rPr>
                <w:rFonts w:ascii="Times New Roman" w:eastAsia="Times New Roman" w:hAnsi="Times New Roman" w:cs="Times New Roman"/>
                <w:iCs/>
                <w:color w:val="000000" w:themeColor="text1"/>
                <w:sz w:val="24"/>
                <w:szCs w:val="24"/>
                <w:lang w:eastAsia="lv-LV"/>
              </w:rPr>
              <w:t xml:space="preserve"> darbības organizācija</w:t>
            </w:r>
            <w:r w:rsidR="00F113C8">
              <w:rPr>
                <w:rFonts w:ascii="Times New Roman" w:eastAsia="Times New Roman" w:hAnsi="Times New Roman" w:cs="Times New Roman"/>
                <w:iCs/>
                <w:color w:val="000000" w:themeColor="text1"/>
                <w:sz w:val="24"/>
                <w:szCs w:val="24"/>
                <w:lang w:eastAsia="lv-LV"/>
              </w:rPr>
              <w:t xml:space="preserve">i un </w:t>
            </w:r>
            <w:r w:rsidR="00F113C8" w:rsidRPr="00D73E39">
              <w:rPr>
                <w:rFonts w:ascii="Times New Roman" w:eastAsia="Times New Roman" w:hAnsi="Times New Roman" w:cs="Times New Roman"/>
                <w:iCs/>
                <w:color w:val="000000" w:themeColor="text1"/>
                <w:sz w:val="24"/>
                <w:szCs w:val="24"/>
                <w:lang w:eastAsia="lv-LV"/>
              </w:rPr>
              <w:t>atbilstoša</w:t>
            </w:r>
            <w:r w:rsidR="00F113C8">
              <w:rPr>
                <w:rFonts w:ascii="Times New Roman" w:eastAsia="Times New Roman" w:hAnsi="Times New Roman" w:cs="Times New Roman"/>
                <w:iCs/>
                <w:color w:val="000000" w:themeColor="text1"/>
                <w:sz w:val="24"/>
                <w:szCs w:val="24"/>
                <w:lang w:eastAsia="lv-LV"/>
              </w:rPr>
              <w:t>s</w:t>
            </w:r>
            <w:r w:rsidR="00F113C8" w:rsidRPr="00D73E39">
              <w:rPr>
                <w:rFonts w:ascii="Times New Roman" w:eastAsia="Times New Roman" w:hAnsi="Times New Roman" w:cs="Times New Roman"/>
                <w:iCs/>
                <w:color w:val="000000" w:themeColor="text1"/>
                <w:sz w:val="24"/>
                <w:szCs w:val="24"/>
                <w:lang w:eastAsia="lv-LV"/>
              </w:rPr>
              <w:t xml:space="preserve"> organizatoriskā</w:t>
            </w:r>
            <w:r w:rsidR="00F113C8">
              <w:rPr>
                <w:rFonts w:ascii="Times New Roman" w:eastAsia="Times New Roman" w:hAnsi="Times New Roman" w:cs="Times New Roman"/>
                <w:iCs/>
                <w:color w:val="000000" w:themeColor="text1"/>
                <w:sz w:val="24"/>
                <w:szCs w:val="24"/>
                <w:lang w:eastAsia="lv-LV"/>
              </w:rPr>
              <w:t xml:space="preserve">s </w:t>
            </w:r>
            <w:r w:rsidR="00F113C8" w:rsidRPr="00D73E39">
              <w:rPr>
                <w:rFonts w:ascii="Times New Roman" w:eastAsia="Times New Roman" w:hAnsi="Times New Roman" w:cs="Times New Roman"/>
                <w:iCs/>
                <w:color w:val="000000" w:themeColor="text1"/>
                <w:sz w:val="24"/>
                <w:szCs w:val="24"/>
                <w:lang w:eastAsia="lv-LV"/>
              </w:rPr>
              <w:t>struktūra</w:t>
            </w:r>
            <w:r w:rsidR="00F113C8">
              <w:rPr>
                <w:rFonts w:ascii="Times New Roman" w:eastAsia="Times New Roman" w:hAnsi="Times New Roman" w:cs="Times New Roman"/>
                <w:iCs/>
                <w:color w:val="000000" w:themeColor="text1"/>
                <w:sz w:val="24"/>
                <w:szCs w:val="24"/>
                <w:lang w:eastAsia="lv-LV"/>
              </w:rPr>
              <w:t xml:space="preserve">s izveidošanai, </w:t>
            </w:r>
            <w:r w:rsidR="000028BC">
              <w:rPr>
                <w:rFonts w:ascii="Times New Roman" w:eastAsia="Times New Roman" w:hAnsi="Times New Roman" w:cs="Times New Roman"/>
                <w:iCs/>
                <w:color w:val="000000" w:themeColor="text1"/>
                <w:sz w:val="24"/>
                <w:szCs w:val="24"/>
                <w:lang w:eastAsia="lv-LV"/>
              </w:rPr>
              <w:t>sabiedrības</w:t>
            </w:r>
            <w:r w:rsidR="00F113C8">
              <w:rPr>
                <w:rFonts w:ascii="Times New Roman" w:eastAsia="Times New Roman" w:hAnsi="Times New Roman" w:cs="Times New Roman"/>
                <w:iCs/>
                <w:color w:val="000000" w:themeColor="text1"/>
                <w:sz w:val="24"/>
                <w:szCs w:val="24"/>
                <w:lang w:eastAsia="lv-LV"/>
              </w:rPr>
              <w:t xml:space="preserve"> </w:t>
            </w:r>
            <w:r w:rsidRPr="00D73E39">
              <w:rPr>
                <w:rFonts w:ascii="Times New Roman" w:eastAsia="Times New Roman" w:hAnsi="Times New Roman" w:cs="Times New Roman"/>
                <w:iCs/>
                <w:color w:val="000000" w:themeColor="text1"/>
                <w:sz w:val="24"/>
                <w:szCs w:val="24"/>
                <w:lang w:eastAsia="lv-LV"/>
              </w:rPr>
              <w:t>stratēģijas noteikšana</w:t>
            </w:r>
            <w:r>
              <w:rPr>
                <w:rFonts w:ascii="Times New Roman" w:eastAsia="Times New Roman" w:hAnsi="Times New Roman" w:cs="Times New Roman"/>
                <w:iCs/>
                <w:color w:val="000000" w:themeColor="text1"/>
                <w:sz w:val="24"/>
                <w:szCs w:val="24"/>
                <w:lang w:eastAsia="lv-LV"/>
              </w:rPr>
              <w:t xml:space="preserve">i </w:t>
            </w:r>
            <w:r w:rsidRPr="00D73E39">
              <w:rPr>
                <w:rFonts w:ascii="Times New Roman" w:eastAsia="Times New Roman" w:hAnsi="Times New Roman" w:cs="Times New Roman"/>
                <w:iCs/>
                <w:color w:val="000000" w:themeColor="text1"/>
                <w:sz w:val="24"/>
                <w:szCs w:val="24"/>
                <w:lang w:eastAsia="lv-LV"/>
              </w:rPr>
              <w:t>un darbības plānošana</w:t>
            </w:r>
            <w:r>
              <w:rPr>
                <w:rFonts w:ascii="Times New Roman" w:eastAsia="Times New Roman" w:hAnsi="Times New Roman" w:cs="Times New Roman"/>
                <w:iCs/>
                <w:color w:val="000000" w:themeColor="text1"/>
                <w:sz w:val="24"/>
                <w:szCs w:val="24"/>
                <w:lang w:eastAsia="lv-LV"/>
              </w:rPr>
              <w:t>i,</w:t>
            </w:r>
            <w:r w:rsidR="00F113C8">
              <w:rPr>
                <w:rFonts w:ascii="Times New Roman" w:eastAsia="Times New Roman" w:hAnsi="Times New Roman" w:cs="Times New Roman"/>
                <w:iCs/>
                <w:color w:val="000000" w:themeColor="text1"/>
                <w:sz w:val="24"/>
                <w:szCs w:val="24"/>
                <w:lang w:eastAsia="lv-LV"/>
              </w:rPr>
              <w:t xml:space="preserve"> pa</w:t>
            </w:r>
            <w:r w:rsidR="00F113C8" w:rsidRPr="00F113C8">
              <w:rPr>
                <w:rFonts w:ascii="Times New Roman" w:eastAsia="Times New Roman" w:hAnsi="Times New Roman" w:cs="Times New Roman"/>
                <w:iCs/>
                <w:color w:val="000000" w:themeColor="text1"/>
                <w:sz w:val="24"/>
                <w:szCs w:val="24"/>
                <w:lang w:eastAsia="lv-LV"/>
              </w:rPr>
              <w:t>domes komiteju izveidošana</w:t>
            </w:r>
            <w:r w:rsidR="00F113C8">
              <w:rPr>
                <w:rFonts w:ascii="Times New Roman" w:eastAsia="Times New Roman" w:hAnsi="Times New Roman" w:cs="Times New Roman"/>
                <w:iCs/>
                <w:color w:val="000000" w:themeColor="text1"/>
                <w:sz w:val="24"/>
                <w:szCs w:val="24"/>
                <w:lang w:eastAsia="lv-LV"/>
              </w:rPr>
              <w:t>i</w:t>
            </w:r>
            <w:r w:rsidR="00F113C8" w:rsidRPr="00F113C8">
              <w:rPr>
                <w:rFonts w:ascii="Times New Roman" w:eastAsia="Times New Roman" w:hAnsi="Times New Roman" w:cs="Times New Roman"/>
                <w:iCs/>
                <w:color w:val="000000" w:themeColor="text1"/>
                <w:sz w:val="24"/>
                <w:szCs w:val="24"/>
                <w:lang w:eastAsia="lv-LV"/>
              </w:rPr>
              <w:t>, sastāv</w:t>
            </w:r>
            <w:r w:rsidR="00F113C8">
              <w:rPr>
                <w:rFonts w:ascii="Times New Roman" w:eastAsia="Times New Roman" w:hAnsi="Times New Roman" w:cs="Times New Roman"/>
                <w:iCs/>
                <w:color w:val="000000" w:themeColor="text1"/>
                <w:sz w:val="24"/>
                <w:szCs w:val="24"/>
                <w:lang w:eastAsia="lv-LV"/>
              </w:rPr>
              <w:t xml:space="preserve">am un </w:t>
            </w:r>
            <w:r w:rsidR="00F113C8" w:rsidRPr="00F113C8">
              <w:rPr>
                <w:rFonts w:ascii="Times New Roman" w:eastAsia="Times New Roman" w:hAnsi="Times New Roman" w:cs="Times New Roman"/>
                <w:iCs/>
                <w:color w:val="000000" w:themeColor="text1"/>
                <w:sz w:val="24"/>
                <w:szCs w:val="24"/>
                <w:lang w:eastAsia="lv-LV"/>
              </w:rPr>
              <w:t>darbības principi</w:t>
            </w:r>
            <w:r w:rsidR="00F113C8">
              <w:rPr>
                <w:rFonts w:ascii="Times New Roman" w:eastAsia="Times New Roman" w:hAnsi="Times New Roman" w:cs="Times New Roman"/>
                <w:iCs/>
                <w:color w:val="000000" w:themeColor="text1"/>
                <w:sz w:val="24"/>
                <w:szCs w:val="24"/>
                <w:lang w:eastAsia="lv-LV"/>
              </w:rPr>
              <w:t xml:space="preserve">em, </w:t>
            </w:r>
            <w:r w:rsidRPr="00DD709E">
              <w:rPr>
                <w:rFonts w:ascii="Times New Roman" w:eastAsia="Times New Roman" w:hAnsi="Times New Roman" w:cs="Times New Roman"/>
                <w:iCs/>
                <w:color w:val="000000" w:themeColor="text1"/>
                <w:sz w:val="24"/>
                <w:szCs w:val="24"/>
                <w:lang w:eastAsia="lv-LV"/>
              </w:rPr>
              <w:t>risku pārvaldī</w:t>
            </w:r>
            <w:r>
              <w:rPr>
                <w:rFonts w:ascii="Times New Roman" w:eastAsia="Times New Roman" w:hAnsi="Times New Roman" w:cs="Times New Roman"/>
                <w:iCs/>
                <w:color w:val="000000" w:themeColor="text1"/>
                <w:sz w:val="24"/>
                <w:szCs w:val="24"/>
                <w:lang w:eastAsia="lv-LV"/>
              </w:rPr>
              <w:t xml:space="preserve">šanai, </w:t>
            </w:r>
            <w:r w:rsidRPr="00D73E39">
              <w:rPr>
                <w:rFonts w:ascii="Times New Roman" w:eastAsia="Times New Roman" w:hAnsi="Times New Roman" w:cs="Times New Roman"/>
                <w:iCs/>
                <w:color w:val="000000" w:themeColor="text1"/>
                <w:sz w:val="24"/>
                <w:szCs w:val="24"/>
                <w:lang w:eastAsia="lv-LV"/>
              </w:rPr>
              <w:t>grāmatvedības</w:t>
            </w:r>
            <w:r>
              <w:rPr>
                <w:rFonts w:ascii="Times New Roman" w:eastAsia="Times New Roman" w:hAnsi="Times New Roman" w:cs="Times New Roman"/>
                <w:iCs/>
                <w:color w:val="000000" w:themeColor="text1"/>
                <w:sz w:val="24"/>
                <w:szCs w:val="24"/>
                <w:lang w:eastAsia="lv-LV"/>
              </w:rPr>
              <w:t xml:space="preserve"> </w:t>
            </w:r>
            <w:r w:rsidRPr="00D73E39">
              <w:rPr>
                <w:rFonts w:ascii="Times New Roman" w:eastAsia="Times New Roman" w:hAnsi="Times New Roman" w:cs="Times New Roman"/>
                <w:iCs/>
                <w:color w:val="000000" w:themeColor="text1"/>
                <w:sz w:val="24"/>
                <w:szCs w:val="24"/>
                <w:lang w:eastAsia="lv-LV"/>
              </w:rPr>
              <w:t>un vadības informācijas sistēma</w:t>
            </w:r>
            <w:r>
              <w:rPr>
                <w:rFonts w:ascii="Times New Roman" w:eastAsia="Times New Roman" w:hAnsi="Times New Roman" w:cs="Times New Roman"/>
                <w:iCs/>
                <w:color w:val="000000" w:themeColor="text1"/>
                <w:sz w:val="24"/>
                <w:szCs w:val="24"/>
                <w:lang w:eastAsia="lv-LV"/>
              </w:rPr>
              <w:t xml:space="preserve">s izveidošanai, </w:t>
            </w:r>
            <w:r w:rsidRPr="00D73E39">
              <w:rPr>
                <w:rFonts w:ascii="Times New Roman" w:eastAsia="Times New Roman" w:hAnsi="Times New Roman" w:cs="Times New Roman"/>
                <w:iCs/>
                <w:color w:val="000000" w:themeColor="text1"/>
                <w:sz w:val="24"/>
                <w:szCs w:val="24"/>
                <w:lang w:eastAsia="lv-LV"/>
              </w:rPr>
              <w:t>aktīvu</w:t>
            </w:r>
            <w:r w:rsidR="009468AB">
              <w:rPr>
                <w:rFonts w:ascii="Times New Roman" w:eastAsia="Times New Roman" w:hAnsi="Times New Roman" w:cs="Times New Roman"/>
                <w:iCs/>
                <w:color w:val="000000" w:themeColor="text1"/>
                <w:sz w:val="24"/>
                <w:szCs w:val="24"/>
                <w:lang w:eastAsia="lv-LV"/>
              </w:rPr>
              <w:t xml:space="preserve">, klientu līdzekļu </w:t>
            </w:r>
            <w:r>
              <w:rPr>
                <w:rFonts w:ascii="Times New Roman" w:eastAsia="Times New Roman" w:hAnsi="Times New Roman" w:cs="Times New Roman"/>
                <w:iCs/>
                <w:color w:val="000000" w:themeColor="text1"/>
                <w:sz w:val="24"/>
                <w:szCs w:val="24"/>
                <w:lang w:eastAsia="lv-LV"/>
              </w:rPr>
              <w:t>un i</w:t>
            </w:r>
            <w:r w:rsidRPr="00D73E39">
              <w:rPr>
                <w:rFonts w:ascii="Times New Roman" w:eastAsia="Times New Roman" w:hAnsi="Times New Roman" w:cs="Times New Roman"/>
                <w:iCs/>
                <w:color w:val="000000" w:themeColor="text1"/>
                <w:sz w:val="24"/>
                <w:szCs w:val="24"/>
                <w:lang w:eastAsia="lv-LV"/>
              </w:rPr>
              <w:t>nformācijas sistēmu aizsardzība</w:t>
            </w:r>
            <w:r>
              <w:rPr>
                <w:rFonts w:ascii="Times New Roman" w:eastAsia="Times New Roman" w:hAnsi="Times New Roman" w:cs="Times New Roman"/>
                <w:iCs/>
                <w:color w:val="000000" w:themeColor="text1"/>
                <w:sz w:val="24"/>
                <w:szCs w:val="24"/>
                <w:lang w:eastAsia="lv-LV"/>
              </w:rPr>
              <w:t xml:space="preserve">i, valdes un padomes funkcijām </w:t>
            </w:r>
            <w:r w:rsidR="00F113C8">
              <w:rPr>
                <w:rFonts w:ascii="Times New Roman" w:eastAsia="Times New Roman" w:hAnsi="Times New Roman" w:cs="Times New Roman"/>
                <w:iCs/>
                <w:color w:val="000000" w:themeColor="text1"/>
                <w:sz w:val="24"/>
                <w:szCs w:val="24"/>
                <w:lang w:eastAsia="lv-LV"/>
              </w:rPr>
              <w:t xml:space="preserve">pārvaldības sistēmas </w:t>
            </w:r>
            <w:r>
              <w:rPr>
                <w:rFonts w:ascii="Times New Roman" w:eastAsia="Times New Roman" w:hAnsi="Times New Roman" w:cs="Times New Roman"/>
                <w:iCs/>
                <w:color w:val="000000" w:themeColor="text1"/>
                <w:sz w:val="24"/>
                <w:szCs w:val="24"/>
                <w:lang w:eastAsia="lv-LV"/>
              </w:rPr>
              <w:t xml:space="preserve">jomā, </w:t>
            </w:r>
            <w:r w:rsidR="003F1E81">
              <w:rPr>
                <w:rFonts w:ascii="Times New Roman" w:eastAsia="Times New Roman" w:hAnsi="Times New Roman" w:cs="Times New Roman"/>
                <w:iCs/>
                <w:color w:val="000000" w:themeColor="text1"/>
                <w:sz w:val="24"/>
                <w:szCs w:val="24"/>
                <w:lang w:eastAsia="lv-LV"/>
              </w:rPr>
              <w:t xml:space="preserve">kā arī </w:t>
            </w:r>
            <w:r>
              <w:rPr>
                <w:rFonts w:ascii="Times New Roman" w:eastAsia="Times New Roman" w:hAnsi="Times New Roman" w:cs="Times New Roman"/>
                <w:iCs/>
                <w:color w:val="000000" w:themeColor="text1"/>
                <w:sz w:val="24"/>
                <w:szCs w:val="24"/>
                <w:lang w:eastAsia="lv-LV"/>
              </w:rPr>
              <w:t>iekšējā</w:t>
            </w:r>
            <w:r w:rsidR="00F113C8">
              <w:rPr>
                <w:rFonts w:ascii="Times New Roman" w:eastAsia="Times New Roman" w:hAnsi="Times New Roman" w:cs="Times New Roman"/>
                <w:iCs/>
                <w:color w:val="000000" w:themeColor="text1"/>
                <w:sz w:val="24"/>
                <w:szCs w:val="24"/>
                <w:lang w:eastAsia="lv-LV"/>
              </w:rPr>
              <w:t>s kontroles funkciju neatkarīga</w:t>
            </w:r>
            <w:r w:rsidR="00FA74AB">
              <w:rPr>
                <w:rFonts w:ascii="Times New Roman" w:eastAsia="Times New Roman" w:hAnsi="Times New Roman" w:cs="Times New Roman"/>
                <w:iCs/>
                <w:color w:val="000000" w:themeColor="text1"/>
                <w:sz w:val="24"/>
                <w:szCs w:val="24"/>
                <w:lang w:eastAsia="lv-LV"/>
              </w:rPr>
              <w:t xml:space="preserve">i </w:t>
            </w:r>
            <w:r w:rsidR="00F113C8">
              <w:rPr>
                <w:rFonts w:ascii="Times New Roman" w:eastAsia="Times New Roman" w:hAnsi="Times New Roman" w:cs="Times New Roman"/>
                <w:iCs/>
                <w:color w:val="000000" w:themeColor="text1"/>
                <w:sz w:val="24"/>
                <w:szCs w:val="24"/>
                <w:lang w:eastAsia="lv-LV"/>
              </w:rPr>
              <w:t>darbība</w:t>
            </w:r>
            <w:r w:rsidR="00FA74AB">
              <w:rPr>
                <w:rFonts w:ascii="Times New Roman" w:eastAsia="Times New Roman" w:hAnsi="Times New Roman" w:cs="Times New Roman"/>
                <w:iCs/>
                <w:color w:val="000000" w:themeColor="text1"/>
                <w:sz w:val="24"/>
                <w:szCs w:val="24"/>
                <w:lang w:eastAsia="lv-LV"/>
              </w:rPr>
              <w:t>i un p</w:t>
            </w:r>
            <w:r w:rsidR="00FA74AB" w:rsidRPr="00FA74AB">
              <w:rPr>
                <w:rFonts w:ascii="Times New Roman" w:eastAsia="Times New Roman" w:hAnsi="Times New Roman" w:cs="Times New Roman"/>
                <w:iCs/>
                <w:color w:val="000000" w:themeColor="text1"/>
                <w:sz w:val="24"/>
                <w:szCs w:val="24"/>
                <w:lang w:eastAsia="lv-LV"/>
              </w:rPr>
              <w:t xml:space="preserve">ārskata par </w:t>
            </w:r>
            <w:r w:rsidR="000028BC">
              <w:rPr>
                <w:rFonts w:ascii="Times New Roman" w:eastAsia="Times New Roman" w:hAnsi="Times New Roman" w:cs="Times New Roman"/>
                <w:iCs/>
                <w:color w:val="000000" w:themeColor="text1"/>
                <w:sz w:val="24"/>
                <w:szCs w:val="24"/>
                <w:lang w:eastAsia="lv-LV"/>
              </w:rPr>
              <w:t>sabiedrības</w:t>
            </w:r>
            <w:r w:rsidR="00FA74AB" w:rsidRPr="00FA74AB">
              <w:rPr>
                <w:rFonts w:ascii="Times New Roman" w:eastAsia="Times New Roman" w:hAnsi="Times New Roman" w:cs="Times New Roman"/>
                <w:iCs/>
                <w:color w:val="000000" w:themeColor="text1"/>
                <w:sz w:val="24"/>
                <w:szCs w:val="24"/>
                <w:lang w:eastAsia="lv-LV"/>
              </w:rPr>
              <w:t xml:space="preserve"> dažādības politiku un praksi sagatavošana</w:t>
            </w:r>
            <w:r w:rsidR="00FA74AB">
              <w:rPr>
                <w:rFonts w:ascii="Times New Roman" w:eastAsia="Times New Roman" w:hAnsi="Times New Roman" w:cs="Times New Roman"/>
                <w:iCs/>
                <w:color w:val="000000" w:themeColor="text1"/>
                <w:sz w:val="24"/>
                <w:szCs w:val="24"/>
                <w:lang w:eastAsia="lv-LV"/>
              </w:rPr>
              <w:t xml:space="preserve">i </w:t>
            </w:r>
            <w:r w:rsidR="00FA74AB" w:rsidRPr="00FA74AB">
              <w:rPr>
                <w:rFonts w:ascii="Times New Roman" w:eastAsia="Times New Roman" w:hAnsi="Times New Roman" w:cs="Times New Roman"/>
                <w:iCs/>
                <w:color w:val="000000" w:themeColor="text1"/>
                <w:sz w:val="24"/>
                <w:szCs w:val="24"/>
                <w:lang w:eastAsia="lv-LV"/>
              </w:rPr>
              <w:t>un iesniegšana</w:t>
            </w:r>
            <w:r w:rsidR="00FA74AB">
              <w:rPr>
                <w:rFonts w:ascii="Times New Roman" w:eastAsia="Times New Roman" w:hAnsi="Times New Roman" w:cs="Times New Roman"/>
                <w:iCs/>
                <w:color w:val="000000" w:themeColor="text1"/>
                <w:sz w:val="24"/>
                <w:szCs w:val="24"/>
                <w:lang w:eastAsia="lv-LV"/>
              </w:rPr>
              <w:t>i</w:t>
            </w:r>
            <w:r w:rsidR="000C6B17">
              <w:rPr>
                <w:rFonts w:ascii="Times New Roman" w:eastAsia="Times New Roman" w:hAnsi="Times New Roman" w:cs="Times New Roman"/>
                <w:iCs/>
                <w:color w:val="000000" w:themeColor="text1"/>
                <w:sz w:val="24"/>
                <w:szCs w:val="24"/>
                <w:lang w:eastAsia="lv-LV"/>
              </w:rPr>
              <w:t>.</w:t>
            </w:r>
          </w:p>
          <w:p w14:paraId="7AB9F2C1" w14:textId="29456DB7" w:rsidR="00BD1BDB" w:rsidRDefault="004408E4" w:rsidP="005541EE">
            <w:pPr>
              <w:pStyle w:val="NormalWeb"/>
              <w:shd w:val="clear" w:color="auto" w:fill="FFFFFF"/>
              <w:spacing w:before="0" w:beforeAutospacing="0" w:after="120" w:afterAutospacing="0"/>
              <w:jc w:val="both"/>
              <w:rPr>
                <w:color w:val="000000" w:themeColor="text1"/>
              </w:rPr>
            </w:pPr>
            <w:r>
              <w:rPr>
                <w:color w:val="000000" w:themeColor="text1"/>
              </w:rPr>
              <w:t>Salīdzinājumā ar Noteikumiem Nr. 2</w:t>
            </w:r>
            <w:r w:rsidR="00496244">
              <w:rPr>
                <w:color w:val="000000" w:themeColor="text1"/>
              </w:rPr>
              <w:t>1</w:t>
            </w:r>
            <w:r w:rsidR="00FA74AB">
              <w:rPr>
                <w:color w:val="000000" w:themeColor="text1"/>
              </w:rPr>
              <w:t>2</w:t>
            </w:r>
            <w:r>
              <w:rPr>
                <w:color w:val="000000" w:themeColor="text1"/>
              </w:rPr>
              <w:t xml:space="preserve"> noteikumu projektā ir </w:t>
            </w:r>
            <w:r w:rsidR="006B1D10">
              <w:rPr>
                <w:color w:val="000000" w:themeColor="text1"/>
              </w:rPr>
              <w:t>svītroti</w:t>
            </w:r>
            <w:r>
              <w:rPr>
                <w:color w:val="000000" w:themeColor="text1"/>
              </w:rPr>
              <w:t xml:space="preserve"> to terminu skaidrojumi, kuri </w:t>
            </w:r>
            <w:r w:rsidRPr="00896AE1">
              <w:rPr>
                <w:color w:val="000000" w:themeColor="text1"/>
              </w:rPr>
              <w:t xml:space="preserve">lietoti </w:t>
            </w:r>
            <w:r w:rsidR="00496244">
              <w:rPr>
                <w:color w:val="000000" w:themeColor="text1"/>
              </w:rPr>
              <w:t>Ieguldījumu brokeru sabiedrību likumā</w:t>
            </w:r>
            <w:r w:rsidR="00E137B5">
              <w:rPr>
                <w:color w:val="000000" w:themeColor="text1"/>
              </w:rPr>
              <w:t xml:space="preserve">, </w:t>
            </w:r>
            <w:r>
              <w:rPr>
                <w:color w:val="000000" w:themeColor="text1"/>
              </w:rPr>
              <w:t xml:space="preserve">precizētas atsauces uz Finanšu un kapitāla tirgus komisijas izdotajiem noteikumiem, </w:t>
            </w:r>
            <w:r w:rsidRPr="00896AE1">
              <w:rPr>
                <w:color w:val="000000" w:themeColor="text1"/>
              </w:rPr>
              <w:t xml:space="preserve">kā arī </w:t>
            </w:r>
            <w:r w:rsidR="000C6B17">
              <w:rPr>
                <w:color w:val="000000" w:themeColor="text1"/>
              </w:rPr>
              <w:t xml:space="preserve">precizēts </w:t>
            </w:r>
            <w:r w:rsidRPr="00896AE1">
              <w:rPr>
                <w:color w:val="000000" w:themeColor="text1"/>
              </w:rPr>
              <w:t>noteikumu nosaukums</w:t>
            </w:r>
            <w:r w:rsidR="00E137B5">
              <w:rPr>
                <w:color w:val="000000" w:themeColor="text1"/>
              </w:rPr>
              <w:t xml:space="preserve">. </w:t>
            </w:r>
            <w:r w:rsidR="000B2941">
              <w:rPr>
                <w:color w:val="000000" w:themeColor="text1"/>
              </w:rPr>
              <w:t xml:space="preserve">Lai nodrošinātu </w:t>
            </w:r>
            <w:r w:rsidR="000B2941" w:rsidRPr="000B2941">
              <w:rPr>
                <w:color w:val="000000" w:themeColor="text1"/>
              </w:rPr>
              <w:t>Eiropas Banku iestādes 2023.</w:t>
            </w:r>
            <w:r w:rsidR="00EB074B">
              <w:rPr>
                <w:color w:val="000000" w:themeColor="text1"/>
              </w:rPr>
              <w:t> </w:t>
            </w:r>
            <w:r w:rsidR="000B2941" w:rsidRPr="000B2941">
              <w:rPr>
                <w:color w:val="000000" w:themeColor="text1"/>
              </w:rPr>
              <w:t>gada 18.</w:t>
            </w:r>
            <w:r w:rsidR="00EB074B">
              <w:rPr>
                <w:color w:val="000000" w:themeColor="text1"/>
              </w:rPr>
              <w:t> </w:t>
            </w:r>
            <w:r w:rsidR="000B2941" w:rsidRPr="000B2941">
              <w:rPr>
                <w:color w:val="000000" w:themeColor="text1"/>
              </w:rPr>
              <w:t>decembra pamatnostādnēs Nr.</w:t>
            </w:r>
            <w:r w:rsidR="00EB074B">
              <w:rPr>
                <w:color w:val="000000" w:themeColor="text1"/>
              </w:rPr>
              <w:t> </w:t>
            </w:r>
            <w:r w:rsidR="000B2941" w:rsidRPr="000B2941">
              <w:rPr>
                <w:color w:val="000000" w:themeColor="text1"/>
              </w:rPr>
              <w:t xml:space="preserve">EBA/GL/2023/08 </w:t>
            </w:r>
            <w:r w:rsidR="005541EE">
              <w:rPr>
                <w:color w:val="000000" w:themeColor="text1"/>
              </w:rPr>
              <w:t>"</w:t>
            </w:r>
            <w:r w:rsidR="000B2941" w:rsidRPr="000B2941">
              <w:rPr>
                <w:color w:val="000000" w:themeColor="text1"/>
              </w:rPr>
              <w:t xml:space="preserve">Pamatnostādnes par dažādības prakses, tostarp dažādības politikas un vīriešu un sieviešu darba samaksas atšķirību, salīdzinošo novērtēšanu saskaņā ar </w:t>
            </w:r>
            <w:r w:rsidR="008A4147">
              <w:rPr>
                <w:color w:val="000000" w:themeColor="text1"/>
              </w:rPr>
              <w:t>D</w:t>
            </w:r>
            <w:r w:rsidR="008A4147" w:rsidRPr="000B2941">
              <w:rPr>
                <w:color w:val="000000" w:themeColor="text1"/>
              </w:rPr>
              <w:t>irektīvu</w:t>
            </w:r>
            <w:r w:rsidR="008A4147">
              <w:rPr>
                <w:color w:val="000000" w:themeColor="text1"/>
              </w:rPr>
              <w:t> </w:t>
            </w:r>
            <w:r w:rsidR="000B2941" w:rsidRPr="000B2941">
              <w:rPr>
                <w:color w:val="000000" w:themeColor="text1"/>
              </w:rPr>
              <w:t xml:space="preserve">2013/36/ES un </w:t>
            </w:r>
            <w:r w:rsidR="008A4147">
              <w:rPr>
                <w:color w:val="000000" w:themeColor="text1"/>
              </w:rPr>
              <w:t>D</w:t>
            </w:r>
            <w:r w:rsidR="008A4147" w:rsidRPr="000B2941">
              <w:rPr>
                <w:color w:val="000000" w:themeColor="text1"/>
              </w:rPr>
              <w:t>irektīvu</w:t>
            </w:r>
            <w:r w:rsidR="008A4147">
              <w:rPr>
                <w:color w:val="000000" w:themeColor="text1"/>
              </w:rPr>
              <w:t> </w:t>
            </w:r>
            <w:r w:rsidR="000B2941" w:rsidRPr="000B2941">
              <w:rPr>
                <w:color w:val="000000" w:themeColor="text1"/>
              </w:rPr>
              <w:t>(ES)</w:t>
            </w:r>
            <w:r w:rsidR="00EB074B">
              <w:rPr>
                <w:color w:val="000000" w:themeColor="text1"/>
              </w:rPr>
              <w:t> </w:t>
            </w:r>
            <w:r w:rsidR="000B2941" w:rsidRPr="000B2941">
              <w:rPr>
                <w:color w:val="000000" w:themeColor="text1"/>
              </w:rPr>
              <w:t>2019/2034</w:t>
            </w:r>
            <w:r w:rsidR="005541EE">
              <w:rPr>
                <w:color w:val="000000" w:themeColor="text1"/>
              </w:rPr>
              <w:t>"</w:t>
            </w:r>
            <w:r w:rsidR="000B2941" w:rsidRPr="000B2941">
              <w:rPr>
                <w:color w:val="000000" w:themeColor="text1"/>
              </w:rPr>
              <w:t xml:space="preserve"> noteikt</w:t>
            </w:r>
            <w:r w:rsidR="000B2941">
              <w:rPr>
                <w:color w:val="000000" w:themeColor="text1"/>
              </w:rPr>
              <w:t xml:space="preserve">o prasību ieviešanu, noteikumu projektā iekļauta jauna </w:t>
            </w:r>
            <w:r w:rsidR="0053499D">
              <w:rPr>
                <w:color w:val="000000" w:themeColor="text1"/>
              </w:rPr>
              <w:t>nodaļa</w:t>
            </w:r>
            <w:r w:rsidR="000B2941">
              <w:rPr>
                <w:color w:val="000000" w:themeColor="text1"/>
              </w:rPr>
              <w:t xml:space="preserve">, kas nosaka pārskata </w:t>
            </w:r>
            <w:r w:rsidR="001F05A4" w:rsidRPr="00FA74AB">
              <w:rPr>
                <w:iCs/>
                <w:color w:val="000000" w:themeColor="text1"/>
              </w:rPr>
              <w:t xml:space="preserve">par </w:t>
            </w:r>
            <w:r w:rsidR="001F05A4">
              <w:rPr>
                <w:iCs/>
                <w:color w:val="000000" w:themeColor="text1"/>
              </w:rPr>
              <w:t>sabiedrības</w:t>
            </w:r>
            <w:r w:rsidR="001F05A4" w:rsidRPr="00FA74AB">
              <w:rPr>
                <w:iCs/>
                <w:color w:val="000000" w:themeColor="text1"/>
              </w:rPr>
              <w:t xml:space="preserve"> dažādības politiku un praksi </w:t>
            </w:r>
            <w:r w:rsidR="000B2941">
              <w:rPr>
                <w:color w:val="000000" w:themeColor="text1"/>
              </w:rPr>
              <w:t xml:space="preserve">sagatavošanas un iesniegšanas </w:t>
            </w:r>
            <w:r w:rsidR="000B2941">
              <w:rPr>
                <w:color w:val="000000" w:themeColor="text1"/>
              </w:rPr>
              <w:lastRenderedPageBreak/>
              <w:t>kārtību. L</w:t>
            </w:r>
            <w:r w:rsidR="000B2941" w:rsidRPr="000B2941">
              <w:rPr>
                <w:color w:val="000000" w:themeColor="text1"/>
              </w:rPr>
              <w:t>ai nodrošinātu</w:t>
            </w:r>
            <w:r w:rsidR="00612662">
              <w:rPr>
                <w:color w:val="000000" w:themeColor="text1"/>
              </w:rPr>
              <w:t xml:space="preserve"> </w:t>
            </w:r>
            <w:r w:rsidR="00612662" w:rsidRPr="000B2941">
              <w:rPr>
                <w:color w:val="000000" w:themeColor="text1"/>
              </w:rPr>
              <w:t>pieej</w:t>
            </w:r>
            <w:r w:rsidR="00612662">
              <w:rPr>
                <w:color w:val="000000" w:themeColor="text1"/>
              </w:rPr>
              <w:t>u, k</w:t>
            </w:r>
            <w:r w:rsidR="00612662" w:rsidRPr="000B2941">
              <w:rPr>
                <w:color w:val="000000" w:themeColor="text1"/>
              </w:rPr>
              <w:t>as</w:t>
            </w:r>
            <w:r w:rsidR="00612662">
              <w:rPr>
                <w:color w:val="000000" w:themeColor="text1"/>
              </w:rPr>
              <w:t xml:space="preserve"> nosaka pārvaldības sistēmas pamat</w:t>
            </w:r>
            <w:r w:rsidR="000B2941" w:rsidRPr="000B2941">
              <w:rPr>
                <w:color w:val="000000" w:themeColor="text1"/>
              </w:rPr>
              <w:t>princip</w:t>
            </w:r>
            <w:r w:rsidR="00612662">
              <w:rPr>
                <w:color w:val="000000" w:themeColor="text1"/>
              </w:rPr>
              <w:t>u</w:t>
            </w:r>
            <w:r w:rsidR="000B2941" w:rsidRPr="000B2941">
              <w:rPr>
                <w:color w:val="000000" w:themeColor="text1"/>
              </w:rPr>
              <w:t xml:space="preserve"> ieviešanu un iespēju </w:t>
            </w:r>
            <w:r w:rsidR="00662FED">
              <w:rPr>
                <w:color w:val="000000" w:themeColor="text1"/>
              </w:rPr>
              <w:t>sabiedrībām</w:t>
            </w:r>
            <w:r w:rsidR="00764707">
              <w:rPr>
                <w:color w:val="000000" w:themeColor="text1"/>
              </w:rPr>
              <w:t xml:space="preserve">, </w:t>
            </w:r>
            <w:r w:rsidR="000B2941" w:rsidRPr="000B2941">
              <w:rPr>
                <w:color w:val="000000" w:themeColor="text1"/>
              </w:rPr>
              <w:t>veidojot savu organizatorisko struktūru</w:t>
            </w:r>
            <w:r w:rsidR="00764707">
              <w:rPr>
                <w:color w:val="000000" w:themeColor="text1"/>
              </w:rPr>
              <w:t xml:space="preserve">, </w:t>
            </w:r>
            <w:r w:rsidR="000B2941" w:rsidRPr="000B2941">
              <w:rPr>
                <w:color w:val="000000" w:themeColor="text1"/>
              </w:rPr>
              <w:t>izvērtēt iespējamos riskus un interešu konfliktu iestāšanās iespējamību</w:t>
            </w:r>
            <w:r w:rsidR="000B2941">
              <w:rPr>
                <w:color w:val="000000" w:themeColor="text1"/>
              </w:rPr>
              <w:t>, noteikumu projektā</w:t>
            </w:r>
            <w:r w:rsidR="000B2941" w:rsidRPr="000B2941">
              <w:rPr>
                <w:color w:val="000000" w:themeColor="text1"/>
              </w:rPr>
              <w:t xml:space="preserve"> ir svītrota norma</w:t>
            </w:r>
            <w:r w:rsidR="000B2941">
              <w:rPr>
                <w:color w:val="000000" w:themeColor="text1"/>
              </w:rPr>
              <w:t xml:space="preserve">, </w:t>
            </w:r>
            <w:r w:rsidR="000B2941" w:rsidRPr="000B2941">
              <w:rPr>
                <w:color w:val="000000" w:themeColor="text1"/>
              </w:rPr>
              <w:t>kas paredz aizliegumu</w:t>
            </w:r>
            <w:r w:rsidR="000B2941">
              <w:rPr>
                <w:color w:val="000000" w:themeColor="text1"/>
              </w:rPr>
              <w:t xml:space="preserve"> </w:t>
            </w:r>
            <w:r w:rsidR="00764707">
              <w:rPr>
                <w:color w:val="000000" w:themeColor="text1"/>
              </w:rPr>
              <w:t xml:space="preserve">risku </w:t>
            </w:r>
            <w:r w:rsidR="000B2941">
              <w:rPr>
                <w:color w:val="000000" w:themeColor="text1"/>
              </w:rPr>
              <w:t xml:space="preserve">kontroles </w:t>
            </w:r>
            <w:r w:rsidR="000B2941" w:rsidRPr="000B2941">
              <w:rPr>
                <w:color w:val="000000" w:themeColor="text1"/>
              </w:rPr>
              <w:t>funkcij</w:t>
            </w:r>
            <w:r w:rsidR="00764707">
              <w:rPr>
                <w:color w:val="000000" w:themeColor="text1"/>
              </w:rPr>
              <w:t>ai un darbības atbilstības kontroles funkcijai a</w:t>
            </w:r>
            <w:r w:rsidR="000B2941" w:rsidRPr="000B2941">
              <w:rPr>
                <w:color w:val="000000" w:themeColor="text1"/>
              </w:rPr>
              <w:t>trasties valdes priekšsēdētāja padotībā</w:t>
            </w:r>
            <w:r w:rsidR="00E137B5">
              <w:rPr>
                <w:color w:val="000000" w:themeColor="text1"/>
              </w:rPr>
              <w:t>.</w:t>
            </w:r>
          </w:p>
          <w:p w14:paraId="7B1F301C" w14:textId="6B12E944" w:rsidR="003500FB" w:rsidRDefault="0013292B" w:rsidP="005541EE">
            <w:pPr>
              <w:pStyle w:val="NormalWeb"/>
              <w:shd w:val="clear" w:color="auto" w:fill="FFFFFF"/>
              <w:spacing w:before="0" w:beforeAutospacing="0" w:after="120" w:afterAutospacing="0"/>
              <w:jc w:val="both"/>
            </w:pPr>
            <w:r>
              <w:rPr>
                <w:iCs/>
                <w:color w:val="000000" w:themeColor="text1"/>
              </w:rPr>
              <w:t>Ņemot vērā to, ka 2025.</w:t>
            </w:r>
            <w:r w:rsidR="00EB074B">
              <w:rPr>
                <w:iCs/>
                <w:color w:val="000000" w:themeColor="text1"/>
              </w:rPr>
              <w:t> </w:t>
            </w:r>
            <w:r>
              <w:rPr>
                <w:iCs/>
                <w:color w:val="000000" w:themeColor="text1"/>
              </w:rPr>
              <w:t>gada 1.</w:t>
            </w:r>
            <w:r w:rsidR="00EB074B">
              <w:rPr>
                <w:iCs/>
                <w:color w:val="000000" w:themeColor="text1"/>
              </w:rPr>
              <w:t> </w:t>
            </w:r>
            <w:r>
              <w:rPr>
                <w:iCs/>
                <w:color w:val="000000" w:themeColor="text1"/>
              </w:rPr>
              <w:t xml:space="preserve">janvārī spēku zaudēs </w:t>
            </w:r>
            <w:r w:rsidRPr="007F03EC">
              <w:rPr>
                <w:iCs/>
                <w:color w:val="000000" w:themeColor="text1"/>
              </w:rPr>
              <w:t xml:space="preserve">Finanšu un kapitāla tirgus komisijas </w:t>
            </w:r>
            <w:r w:rsidR="005A1414" w:rsidRPr="00AE2AF7">
              <w:rPr>
                <w:iCs/>
                <w:color w:val="000000" w:themeColor="text1"/>
              </w:rPr>
              <w:t>2006.</w:t>
            </w:r>
            <w:r w:rsidR="005A1414">
              <w:t> </w:t>
            </w:r>
            <w:r w:rsidR="005A1414" w:rsidRPr="00AE2AF7">
              <w:rPr>
                <w:iCs/>
                <w:color w:val="000000" w:themeColor="text1"/>
              </w:rPr>
              <w:t>gada 28.</w:t>
            </w:r>
            <w:r w:rsidR="005A1414">
              <w:rPr>
                <w:iCs/>
                <w:color w:val="000000" w:themeColor="text1"/>
              </w:rPr>
              <w:t> </w:t>
            </w:r>
            <w:r w:rsidR="005A1414" w:rsidRPr="00AE2AF7">
              <w:rPr>
                <w:iCs/>
                <w:color w:val="000000" w:themeColor="text1"/>
              </w:rPr>
              <w:t>jūlij</w:t>
            </w:r>
            <w:r w:rsidR="005A1414">
              <w:rPr>
                <w:iCs/>
                <w:color w:val="000000" w:themeColor="text1"/>
              </w:rPr>
              <w:t>a</w:t>
            </w:r>
            <w:r w:rsidR="005A1414" w:rsidRPr="00AE2AF7">
              <w:rPr>
                <w:iCs/>
                <w:color w:val="000000" w:themeColor="text1"/>
              </w:rPr>
              <w:t xml:space="preserve"> </w:t>
            </w:r>
            <w:r w:rsidRPr="007F03EC">
              <w:rPr>
                <w:iCs/>
                <w:color w:val="000000" w:themeColor="text1"/>
              </w:rPr>
              <w:t>ieteikumi Nr.</w:t>
            </w:r>
            <w:r w:rsidR="00EB074B">
              <w:rPr>
                <w:iCs/>
                <w:color w:val="000000" w:themeColor="text1"/>
              </w:rPr>
              <w:t> </w:t>
            </w:r>
            <w:r w:rsidRPr="007F03EC">
              <w:rPr>
                <w:iCs/>
                <w:color w:val="000000" w:themeColor="text1"/>
              </w:rPr>
              <w:t>125</w:t>
            </w:r>
            <w:r>
              <w:rPr>
                <w:iCs/>
                <w:color w:val="000000" w:themeColor="text1"/>
              </w:rPr>
              <w:t xml:space="preserve"> </w:t>
            </w:r>
            <w:r w:rsidR="005541EE">
              <w:rPr>
                <w:iCs/>
                <w:color w:val="000000" w:themeColor="text1"/>
              </w:rPr>
              <w:t>"</w:t>
            </w:r>
            <w:r w:rsidRPr="007F03EC">
              <w:rPr>
                <w:iCs/>
                <w:color w:val="000000" w:themeColor="text1"/>
              </w:rPr>
              <w:t>Operacionālā riska pārvaldīšanas ieteikumi</w:t>
            </w:r>
            <w:r w:rsidR="005541EE">
              <w:t>"</w:t>
            </w:r>
            <w:r w:rsidR="00FC3151">
              <w:t xml:space="preserve"> (turpmāk</w:t>
            </w:r>
            <w:r w:rsidR="0059046A">
              <w:t> </w:t>
            </w:r>
            <w:r w:rsidR="00FC3151">
              <w:t>–</w:t>
            </w:r>
            <w:r w:rsidR="00B12E0F">
              <w:t xml:space="preserve"> </w:t>
            </w:r>
            <w:r w:rsidR="00FC3151">
              <w:t>ieteikumi)</w:t>
            </w:r>
            <w:r w:rsidR="00612662">
              <w:t xml:space="preserve">, </w:t>
            </w:r>
            <w:r w:rsidR="00FC3151">
              <w:t>šajos ieteikumos noteikt</w:t>
            </w:r>
            <w:r w:rsidR="00612662">
              <w:t xml:space="preserve">ās </w:t>
            </w:r>
            <w:r w:rsidR="00FC3151">
              <w:t xml:space="preserve">prasības </w:t>
            </w:r>
            <w:r w:rsidR="000028BC">
              <w:t>sabiedrības</w:t>
            </w:r>
            <w:r w:rsidR="00FC3151">
              <w:t xml:space="preserve"> darbības nepārtrauktības nodrošināšanai</w:t>
            </w:r>
            <w:r w:rsidR="00F06234">
              <w:t xml:space="preserve"> ir iekļautas </w:t>
            </w:r>
            <w:r>
              <w:rPr>
                <w:iCs/>
                <w:color w:val="000000" w:themeColor="text1"/>
              </w:rPr>
              <w:t>n</w:t>
            </w:r>
            <w:r w:rsidR="00C827DE">
              <w:rPr>
                <w:iCs/>
                <w:color w:val="000000" w:themeColor="text1"/>
              </w:rPr>
              <w:t>oteikumu projektā</w:t>
            </w:r>
            <w:r w:rsidR="00F06234">
              <w:rPr>
                <w:iCs/>
                <w:color w:val="000000" w:themeColor="text1"/>
              </w:rPr>
              <w:t xml:space="preserve"> un izveidota </w:t>
            </w:r>
            <w:r w:rsidR="00FC3151">
              <w:rPr>
                <w:iCs/>
                <w:color w:val="000000" w:themeColor="text1"/>
              </w:rPr>
              <w:t xml:space="preserve">jauna </w:t>
            </w:r>
            <w:r w:rsidR="00BD1BDB">
              <w:rPr>
                <w:iCs/>
                <w:color w:val="000000" w:themeColor="text1"/>
              </w:rPr>
              <w:t>no</w:t>
            </w:r>
            <w:r w:rsidR="00C827DE">
              <w:rPr>
                <w:iCs/>
                <w:color w:val="000000" w:themeColor="text1"/>
              </w:rPr>
              <w:t xml:space="preserve">daļa par </w:t>
            </w:r>
            <w:r w:rsidR="000028BC">
              <w:rPr>
                <w:iCs/>
                <w:color w:val="000000" w:themeColor="text1"/>
              </w:rPr>
              <w:t>sabiedrības</w:t>
            </w:r>
            <w:r w:rsidR="00C827DE">
              <w:rPr>
                <w:iCs/>
                <w:color w:val="000000" w:themeColor="text1"/>
              </w:rPr>
              <w:t xml:space="preserve"> darbības nepārtrauktības nodrošināšanu,</w:t>
            </w:r>
            <w:r w:rsidR="002F7C25">
              <w:rPr>
                <w:iCs/>
                <w:color w:val="000000" w:themeColor="text1"/>
              </w:rPr>
              <w:t xml:space="preserve"> </w:t>
            </w:r>
            <w:r w:rsidR="00C827DE">
              <w:rPr>
                <w:iCs/>
                <w:color w:val="000000" w:themeColor="text1"/>
              </w:rPr>
              <w:t xml:space="preserve">kā arī </w:t>
            </w:r>
            <w:r w:rsidR="00640E73">
              <w:rPr>
                <w:iCs/>
                <w:color w:val="000000" w:themeColor="text1"/>
              </w:rPr>
              <w:t xml:space="preserve">tajā ietvertas </w:t>
            </w:r>
            <w:r w:rsidR="00C827DE">
              <w:rPr>
                <w:iCs/>
                <w:color w:val="000000" w:themeColor="text1"/>
              </w:rPr>
              <w:t xml:space="preserve">prasības atalgojuma komitejas veidošanai, kuras līdz šim bija iekļautas </w:t>
            </w:r>
            <w:r w:rsidR="00C827DE" w:rsidRPr="000C6B17">
              <w:t>Finanšu un kapitāla tirgus komisijas</w:t>
            </w:r>
            <w:r w:rsidR="00E74156" w:rsidRPr="000C6B17">
              <w:t xml:space="preserve"> </w:t>
            </w:r>
            <w:r w:rsidR="00E74156">
              <w:t>2022</w:t>
            </w:r>
            <w:r w:rsidR="00E74156" w:rsidRPr="000C6B17">
              <w:t>.</w:t>
            </w:r>
            <w:r w:rsidR="00E74156">
              <w:t> </w:t>
            </w:r>
            <w:r w:rsidR="00E74156" w:rsidRPr="000C6B17">
              <w:t xml:space="preserve">gada </w:t>
            </w:r>
            <w:r w:rsidR="00E74156">
              <w:t xml:space="preserve">6. septembra </w:t>
            </w:r>
            <w:r w:rsidR="00E74156" w:rsidRPr="000C6B17">
              <w:t>normatīv</w:t>
            </w:r>
            <w:r w:rsidR="00E74156">
              <w:t xml:space="preserve">ajos </w:t>
            </w:r>
            <w:r w:rsidR="00E74156" w:rsidRPr="000C6B17">
              <w:t>noteikum</w:t>
            </w:r>
            <w:r w:rsidR="00E74156">
              <w:t xml:space="preserve">os </w:t>
            </w:r>
            <w:r w:rsidR="00E74156" w:rsidRPr="000C6B17">
              <w:t>Nr.</w:t>
            </w:r>
            <w:r w:rsidR="00E74156">
              <w:t xml:space="preserve"> 162 </w:t>
            </w:r>
            <w:r w:rsidR="005541EE">
              <w:t>"</w:t>
            </w:r>
            <w:r w:rsidR="00E74156">
              <w:t>Normatīvie noteikumi par ieguldījumu brokeru sabiedrību atalgojuma politiku un praksi</w:t>
            </w:r>
            <w:r w:rsidR="005541EE">
              <w:t>"</w:t>
            </w:r>
            <w:r w:rsidR="00C827DE">
              <w:t>.</w:t>
            </w:r>
            <w:r w:rsidR="00E137B5">
              <w:t xml:space="preserve"> Ievērojot to, ka </w:t>
            </w:r>
            <w:r w:rsidR="003500FB" w:rsidRPr="003500FB">
              <w:t xml:space="preserve">Latvijā no </w:t>
            </w:r>
            <w:r w:rsidR="003500FB">
              <w:t>2024.</w:t>
            </w:r>
            <w:r w:rsidR="00EB074B">
              <w:t> </w:t>
            </w:r>
            <w:r w:rsidR="003500FB">
              <w:t xml:space="preserve">gada </w:t>
            </w:r>
            <w:r w:rsidR="003500FB" w:rsidRPr="003500FB">
              <w:t>1.</w:t>
            </w:r>
            <w:r w:rsidR="00EB074B">
              <w:t> </w:t>
            </w:r>
            <w:r w:rsidR="003500FB" w:rsidRPr="003500FB">
              <w:t>jūlija tiesiskais regulējums ļau</w:t>
            </w:r>
            <w:r w:rsidR="00BD1BDB">
              <w:t>j</w:t>
            </w:r>
            <w:r w:rsidR="003500FB" w:rsidRPr="003500FB">
              <w:t xml:space="preserve"> reģistrēt </w:t>
            </w:r>
            <w:r w:rsidR="003500FB" w:rsidRPr="00640E73">
              <w:t xml:space="preserve">partnerību, noteikumu projektā ietvertā </w:t>
            </w:r>
            <w:r w:rsidR="000028BC" w:rsidRPr="00640E73">
              <w:t xml:space="preserve">termina </w:t>
            </w:r>
            <w:r w:rsidR="005541EE">
              <w:rPr>
                <w:iCs/>
                <w:color w:val="000000" w:themeColor="text1"/>
              </w:rPr>
              <w:t>"</w:t>
            </w:r>
            <w:r w:rsidR="003500FB" w:rsidRPr="00640E73">
              <w:t xml:space="preserve">ar </w:t>
            </w:r>
            <w:r w:rsidR="000028BC" w:rsidRPr="00640E73">
              <w:t xml:space="preserve">sabiedrību </w:t>
            </w:r>
            <w:r w:rsidR="003500FB" w:rsidRPr="00640E73">
              <w:t>saistītā person</w:t>
            </w:r>
            <w:r w:rsidR="00DA32A7" w:rsidRPr="00640E73">
              <w:t>a</w:t>
            </w:r>
            <w:r w:rsidR="005541EE">
              <w:rPr>
                <w:iCs/>
                <w:color w:val="000000" w:themeColor="text1"/>
              </w:rPr>
              <w:t>"</w:t>
            </w:r>
            <w:r w:rsidR="003500FB">
              <w:t xml:space="preserve"> </w:t>
            </w:r>
            <w:r w:rsidR="000028BC">
              <w:t xml:space="preserve">skaidrojums </w:t>
            </w:r>
            <w:r w:rsidR="003500FB">
              <w:t>ir papildināt</w:t>
            </w:r>
            <w:r w:rsidR="000028BC">
              <w:t>s</w:t>
            </w:r>
            <w:r w:rsidR="003500FB">
              <w:t xml:space="preserve"> un </w:t>
            </w:r>
            <w:r w:rsidR="00DA32A7">
              <w:t xml:space="preserve">tiek </w:t>
            </w:r>
            <w:r w:rsidR="003500FB">
              <w:t>attiecinā</w:t>
            </w:r>
            <w:r w:rsidR="00DA32A7">
              <w:t>t</w:t>
            </w:r>
            <w:r w:rsidR="000028BC">
              <w:t>s</w:t>
            </w:r>
            <w:r w:rsidR="003500FB">
              <w:t xml:space="preserve"> arī uz reģistrētajiem partneriem</w:t>
            </w:r>
            <w:r w:rsidR="00DA32A7">
              <w:t xml:space="preserve"> </w:t>
            </w:r>
            <w:r w:rsidR="003500FB">
              <w:t>atbilst</w:t>
            </w:r>
            <w:r w:rsidR="00DA32A7">
              <w:t xml:space="preserve">oši </w:t>
            </w:r>
            <w:r w:rsidR="00DA32A7" w:rsidRPr="00DA32A7">
              <w:t>Eiropas Parlamenta un Padomes 2013.</w:t>
            </w:r>
            <w:r w:rsidR="00EB074B">
              <w:t> </w:t>
            </w:r>
            <w:r w:rsidR="00DA32A7" w:rsidRPr="00DA32A7">
              <w:t>gada 26.</w:t>
            </w:r>
            <w:r w:rsidR="00EB074B">
              <w:t> </w:t>
            </w:r>
            <w:r w:rsidR="00DA32A7" w:rsidRPr="00DA32A7">
              <w:t xml:space="preserve">jūnija </w:t>
            </w:r>
            <w:r w:rsidR="0098150E">
              <w:t>d</w:t>
            </w:r>
            <w:r w:rsidR="00DA32A7" w:rsidRPr="00DA32A7">
              <w:t>irektīvas</w:t>
            </w:r>
            <w:r w:rsidR="008A4147">
              <w:t> </w:t>
            </w:r>
            <w:r w:rsidR="00DA32A7" w:rsidRPr="00DA32A7">
              <w:t xml:space="preserve">2013/36/ES par piekļuvi kredītiestāžu darbībai un kredītiestāžu prudenciālo uzraudzību, ar ko groza </w:t>
            </w:r>
            <w:r w:rsidR="0098150E">
              <w:t>d</w:t>
            </w:r>
            <w:r w:rsidR="00DA32A7" w:rsidRPr="00DA32A7">
              <w:t>irektīvu</w:t>
            </w:r>
            <w:r w:rsidR="008A4147">
              <w:t> </w:t>
            </w:r>
            <w:r w:rsidR="00DA32A7" w:rsidRPr="00DA32A7">
              <w:t xml:space="preserve">2002/87/EK un atceļ </w:t>
            </w:r>
            <w:r w:rsidR="0098150E">
              <w:t>d</w:t>
            </w:r>
            <w:r w:rsidR="00DA32A7" w:rsidRPr="00DA32A7">
              <w:t>irektīvas</w:t>
            </w:r>
            <w:r w:rsidR="008A4147">
              <w:t> </w:t>
            </w:r>
            <w:r w:rsidR="00DA32A7" w:rsidRPr="00DA32A7">
              <w:t>2006/48/EK un 2006/49/EK</w:t>
            </w:r>
            <w:r w:rsidR="001F05A4">
              <w:t>,</w:t>
            </w:r>
            <w:r w:rsidR="00DA32A7">
              <w:t xml:space="preserve"> 88.</w:t>
            </w:r>
            <w:r w:rsidR="00EB074B">
              <w:t> </w:t>
            </w:r>
            <w:r w:rsidR="00DA32A7">
              <w:t>pant</w:t>
            </w:r>
            <w:r>
              <w:t xml:space="preserve">a </w:t>
            </w:r>
            <w:r w:rsidR="001D3D20">
              <w:t>1</w:t>
            </w:r>
            <w:r>
              <w:t>.</w:t>
            </w:r>
            <w:r w:rsidR="00EB074B">
              <w:t> </w:t>
            </w:r>
            <w:r>
              <w:t xml:space="preserve">punktā </w:t>
            </w:r>
            <w:r w:rsidR="00DA32A7">
              <w:t>noteiktajam.</w:t>
            </w:r>
          </w:p>
          <w:p w14:paraId="568BE166" w14:textId="1AE2EDF9" w:rsidR="003500FB" w:rsidRDefault="00B52ECC" w:rsidP="005541EE">
            <w:pPr>
              <w:pStyle w:val="NormalWeb"/>
              <w:shd w:val="clear" w:color="auto" w:fill="FFFFFF"/>
              <w:spacing w:before="0" w:beforeAutospacing="0" w:after="120" w:afterAutospacing="0"/>
              <w:jc w:val="both"/>
            </w:pPr>
            <w:r>
              <w:t>Noteikumu projektā ir precizēt</w:t>
            </w:r>
            <w:r w:rsidR="003D6EB0">
              <w:t>s</w:t>
            </w:r>
            <w:r>
              <w:t xml:space="preserve"> terminu </w:t>
            </w:r>
            <w:r w:rsidR="005541EE">
              <w:t>"</w:t>
            </w:r>
            <w:r>
              <w:t>riska apetīte</w:t>
            </w:r>
            <w:r w:rsidR="005541EE">
              <w:t>"</w:t>
            </w:r>
            <w:r>
              <w:t xml:space="preserve"> un </w:t>
            </w:r>
            <w:r w:rsidR="005541EE">
              <w:t>"</w:t>
            </w:r>
            <w:r>
              <w:t xml:space="preserve">riska </w:t>
            </w:r>
            <w:r w:rsidR="00F06234">
              <w:t>kapacitāte</w:t>
            </w:r>
            <w:r w:rsidR="005541EE">
              <w:t>"</w:t>
            </w:r>
            <w:r w:rsidR="003D6EB0">
              <w:t xml:space="preserve"> lietojums</w:t>
            </w:r>
            <w:r>
              <w:t xml:space="preserve"> </w:t>
            </w:r>
            <w:r w:rsidR="00DA32A7">
              <w:t>atbils</w:t>
            </w:r>
            <w:r>
              <w:t xml:space="preserve">toši </w:t>
            </w:r>
            <w:r w:rsidR="00DA32A7" w:rsidRPr="00DA32A7">
              <w:t>Eiropas Banku iestādes 2021.</w:t>
            </w:r>
            <w:r w:rsidR="00025C42">
              <w:t> </w:t>
            </w:r>
            <w:r w:rsidR="00DA32A7" w:rsidRPr="00DA32A7">
              <w:t>gada 2</w:t>
            </w:r>
            <w:r w:rsidR="00D65413">
              <w:t>2</w:t>
            </w:r>
            <w:r w:rsidR="00DA32A7" w:rsidRPr="00DA32A7">
              <w:t>.</w:t>
            </w:r>
            <w:r w:rsidR="00025C42">
              <w:t> </w:t>
            </w:r>
            <w:r w:rsidR="00D65413">
              <w:t xml:space="preserve">novembra </w:t>
            </w:r>
            <w:r w:rsidR="00DA32A7" w:rsidRPr="00DA32A7">
              <w:t>pamatnostādnē</w:t>
            </w:r>
            <w:r w:rsidR="00DA32A7">
              <w:t>s</w:t>
            </w:r>
            <w:r w:rsidR="00DA32A7" w:rsidRPr="00DA32A7">
              <w:t xml:space="preserve"> Nr.</w:t>
            </w:r>
            <w:r w:rsidR="00025C42">
              <w:t> </w:t>
            </w:r>
            <w:r w:rsidR="00DA32A7" w:rsidRPr="00DA32A7">
              <w:t>EBA/GL/2021/</w:t>
            </w:r>
            <w:r w:rsidR="00D65413">
              <w:t>14</w:t>
            </w:r>
            <w:r w:rsidR="00DA32A7" w:rsidRPr="00DA32A7">
              <w:t xml:space="preserve"> </w:t>
            </w:r>
            <w:r w:rsidR="005541EE">
              <w:t>"</w:t>
            </w:r>
            <w:r w:rsidR="00D65413" w:rsidRPr="003A6918">
              <w:t xml:space="preserve">Pamatnostādnes par iekšējo </w:t>
            </w:r>
            <w:r w:rsidR="00D65413" w:rsidRPr="00D65413">
              <w:t xml:space="preserve">pārvaldību saskaņā ar </w:t>
            </w:r>
            <w:r w:rsidR="001F05A4">
              <w:t>D</w:t>
            </w:r>
            <w:r w:rsidR="001F05A4" w:rsidRPr="00D65413">
              <w:t xml:space="preserve">irektīvu </w:t>
            </w:r>
            <w:r w:rsidR="00D65413" w:rsidRPr="00D65413">
              <w:t>(ES)</w:t>
            </w:r>
            <w:r w:rsidR="00025C42">
              <w:t> </w:t>
            </w:r>
            <w:r w:rsidR="00D65413" w:rsidRPr="00D65413">
              <w:t>2019/2034</w:t>
            </w:r>
            <w:r w:rsidR="005541EE">
              <w:t>"</w:t>
            </w:r>
            <w:r w:rsidR="000E5BFC">
              <w:t xml:space="preserve"> </w:t>
            </w:r>
            <w:r w:rsidR="003D6EB0">
              <w:t>noteiktajam</w:t>
            </w:r>
            <w:r w:rsidR="009B7E68">
              <w:t xml:space="preserve">, neizdalot atsevišķi </w:t>
            </w:r>
            <w:r w:rsidR="003D6EB0">
              <w:t xml:space="preserve">terminu </w:t>
            </w:r>
            <w:r w:rsidR="005541EE">
              <w:t>"</w:t>
            </w:r>
            <w:r w:rsidR="003D6EB0">
              <w:t>riska tolerance</w:t>
            </w:r>
            <w:r w:rsidR="005541EE">
              <w:t>"</w:t>
            </w:r>
            <w:r w:rsidR="00B24984">
              <w:t>.</w:t>
            </w:r>
          </w:p>
          <w:p w14:paraId="3CC0141D" w14:textId="090641CE" w:rsidR="00F537D8" w:rsidRDefault="00F537D8" w:rsidP="005541EE">
            <w:pPr>
              <w:pStyle w:val="NormalWeb"/>
              <w:shd w:val="clear" w:color="auto" w:fill="FFFFFF"/>
              <w:spacing w:before="0" w:beforeAutospacing="0" w:after="120" w:afterAutospacing="0"/>
              <w:jc w:val="both"/>
            </w:pPr>
            <w:r>
              <w:t xml:space="preserve">Termini </w:t>
            </w:r>
            <w:r w:rsidR="005541EE">
              <w:t>"</w:t>
            </w:r>
            <w:r w:rsidRPr="00F537D8">
              <w:t>amatpersona</w:t>
            </w:r>
            <w:r w:rsidR="005541EE">
              <w:t>"</w:t>
            </w:r>
            <w:r w:rsidRPr="00F537D8">
              <w:t xml:space="preserve"> un </w:t>
            </w:r>
            <w:r w:rsidR="005541EE">
              <w:t>"</w:t>
            </w:r>
            <w:r w:rsidRPr="00F537D8">
              <w:t>persona, kura pilda pamatfunkcijas</w:t>
            </w:r>
            <w:r w:rsidR="005541EE">
              <w:t>"</w:t>
            </w:r>
            <w:r>
              <w:t xml:space="preserve"> noteikumu projektā lietoti </w:t>
            </w:r>
            <w:r w:rsidRPr="00422C8C">
              <w:t xml:space="preserve">Latvijas Bankas noteikumu projekta </w:t>
            </w:r>
            <w:r w:rsidR="005541EE">
              <w:t>"</w:t>
            </w:r>
            <w:r w:rsidR="00422C8C" w:rsidRPr="00422C8C">
              <w:t>Kredītiestādes un ieguldījumu brokeru sabiedrības amatpersonu piemērotības novērtēšanas noteikumi</w:t>
            </w:r>
            <w:r w:rsidR="005541EE">
              <w:t>"</w:t>
            </w:r>
            <w:r>
              <w:t xml:space="preserve"> izpratnē.</w:t>
            </w:r>
          </w:p>
          <w:p w14:paraId="60867157" w14:textId="54580D4C" w:rsidR="007626F4" w:rsidRPr="002F7C25" w:rsidRDefault="007626F4" w:rsidP="005541EE">
            <w:pPr>
              <w:pStyle w:val="NormalWeb"/>
              <w:shd w:val="clear" w:color="auto" w:fill="FFFFFF"/>
              <w:spacing w:before="0" w:beforeAutospacing="0" w:after="120" w:afterAutospacing="0"/>
              <w:jc w:val="both"/>
              <w:rPr>
                <w:iCs/>
                <w:color w:val="000000" w:themeColor="text1"/>
              </w:rPr>
            </w:pPr>
            <w:r>
              <w:rPr>
                <w:iCs/>
                <w:color w:val="000000" w:themeColor="text1"/>
              </w:rPr>
              <w:t>Sabiedrīb</w:t>
            </w:r>
            <w:r w:rsidR="00F31F72">
              <w:rPr>
                <w:iCs/>
                <w:color w:val="000000" w:themeColor="text1"/>
              </w:rPr>
              <w:t>a</w:t>
            </w:r>
            <w:r>
              <w:rPr>
                <w:iCs/>
                <w:color w:val="000000" w:themeColor="text1"/>
              </w:rPr>
              <w:t xml:space="preserve"> riska toleranc</w:t>
            </w:r>
            <w:r w:rsidR="00F31F72">
              <w:rPr>
                <w:iCs/>
                <w:color w:val="000000" w:themeColor="text1"/>
              </w:rPr>
              <w:t xml:space="preserve">i </w:t>
            </w:r>
            <w:r>
              <w:rPr>
                <w:iCs/>
                <w:color w:val="000000" w:themeColor="text1"/>
              </w:rPr>
              <w:t xml:space="preserve">nosaka atbilstoši </w:t>
            </w:r>
            <w:r w:rsidRPr="007626F4">
              <w:rPr>
                <w:iCs/>
                <w:color w:val="000000" w:themeColor="text1"/>
              </w:rPr>
              <w:t>Komisijas 2016.</w:t>
            </w:r>
            <w:r w:rsidR="004C77D2">
              <w:rPr>
                <w:iCs/>
                <w:color w:val="000000" w:themeColor="text1"/>
              </w:rPr>
              <w:t> </w:t>
            </w:r>
            <w:r w:rsidRPr="007626F4">
              <w:rPr>
                <w:iCs/>
                <w:color w:val="000000" w:themeColor="text1"/>
              </w:rPr>
              <w:t>gada 25.</w:t>
            </w:r>
            <w:r w:rsidR="004C77D2">
              <w:rPr>
                <w:iCs/>
                <w:color w:val="000000" w:themeColor="text1"/>
              </w:rPr>
              <w:t> </w:t>
            </w:r>
            <w:r w:rsidRPr="007626F4">
              <w:rPr>
                <w:iCs/>
                <w:color w:val="000000" w:themeColor="text1"/>
              </w:rPr>
              <w:t>aprīļa deleģētā</w:t>
            </w:r>
            <w:r>
              <w:rPr>
                <w:iCs/>
                <w:color w:val="000000" w:themeColor="text1"/>
              </w:rPr>
              <w:t>s</w:t>
            </w:r>
            <w:r w:rsidRPr="007626F4">
              <w:rPr>
                <w:iCs/>
                <w:color w:val="000000" w:themeColor="text1"/>
              </w:rPr>
              <w:t xml:space="preserve"> regula</w:t>
            </w:r>
            <w:r>
              <w:rPr>
                <w:iCs/>
                <w:color w:val="000000" w:themeColor="text1"/>
              </w:rPr>
              <w:t>s</w:t>
            </w:r>
            <w:r w:rsidRPr="007626F4">
              <w:rPr>
                <w:iCs/>
                <w:color w:val="000000" w:themeColor="text1"/>
              </w:rPr>
              <w:t xml:space="preserve"> (ES) Nr.</w:t>
            </w:r>
            <w:r w:rsidR="004C77D2">
              <w:rPr>
                <w:iCs/>
                <w:color w:val="000000" w:themeColor="text1"/>
              </w:rPr>
              <w:t> </w:t>
            </w:r>
            <w:r w:rsidRPr="007626F4">
              <w:rPr>
                <w:iCs/>
                <w:color w:val="000000" w:themeColor="text1"/>
              </w:rPr>
              <w:t>2017/565, ar ko papildina Eiropas Parlamenta un Padomes direktīvu</w:t>
            </w:r>
            <w:r w:rsidR="008A4147">
              <w:rPr>
                <w:iCs/>
                <w:color w:val="000000" w:themeColor="text1"/>
              </w:rPr>
              <w:t> </w:t>
            </w:r>
            <w:r w:rsidRPr="007626F4">
              <w:rPr>
                <w:iCs/>
                <w:color w:val="000000" w:themeColor="text1"/>
              </w:rPr>
              <w:t>2014/65/ES attiecībā uz ieguldījumu brokeru sabiedrību organizatoriskām prasībām un darbības nosacījumiem un jēdzienu definīcijām minētās direktīvas mērķiem</w:t>
            </w:r>
            <w:r w:rsidR="001F05A4">
              <w:rPr>
                <w:iCs/>
                <w:color w:val="000000" w:themeColor="text1"/>
              </w:rPr>
              <w:t>,</w:t>
            </w:r>
            <w:r>
              <w:rPr>
                <w:iCs/>
                <w:color w:val="000000" w:themeColor="text1"/>
              </w:rPr>
              <w:t xml:space="preserve"> </w:t>
            </w:r>
            <w:r w:rsidR="00802B00">
              <w:rPr>
                <w:iCs/>
                <w:color w:val="000000" w:themeColor="text1"/>
              </w:rPr>
              <w:t>23. panta 1. punktā noteiktajām prasībām.</w:t>
            </w:r>
          </w:p>
        </w:tc>
      </w:tr>
      <w:tr w:rsidR="000B4E0A" w:rsidRPr="000B4E0A" w14:paraId="5E047A73" w14:textId="77777777" w:rsidTr="005541EE">
        <w:trPr>
          <w:trHeight w:val="567"/>
        </w:trPr>
        <w:tc>
          <w:tcPr>
            <w:tcW w:w="1405" w:type="pct"/>
            <w:shd w:val="clear" w:color="auto" w:fill="auto"/>
            <w:hideMark/>
          </w:tcPr>
          <w:p w14:paraId="392312D0" w14:textId="77777777" w:rsidR="00A42788" w:rsidRPr="00E253DA" w:rsidRDefault="00A42788" w:rsidP="00025C42">
            <w:pPr>
              <w:spacing w:after="12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76383DF1" w14:textId="1469C7CF" w:rsidR="00CA28AB" w:rsidRPr="00DD709E" w:rsidRDefault="00CA28AB" w:rsidP="00025C42">
            <w:pPr>
              <w:spacing w:after="120" w:line="240" w:lineRule="auto"/>
              <w:rPr>
                <w:rFonts w:ascii="Times New Roman" w:eastAsia="Times New Roman" w:hAnsi="Times New Roman" w:cs="Times New Roman"/>
                <w:b/>
                <w:bCs/>
                <w:color w:val="4472C4" w:themeColor="accent1"/>
                <w:sz w:val="24"/>
                <w:szCs w:val="24"/>
                <w:lang w:eastAsia="lv-LV"/>
              </w:rPr>
            </w:pPr>
          </w:p>
        </w:tc>
        <w:tc>
          <w:tcPr>
            <w:tcW w:w="3595" w:type="pct"/>
            <w:shd w:val="clear" w:color="auto" w:fill="auto"/>
          </w:tcPr>
          <w:p w14:paraId="0921D461" w14:textId="173905D7" w:rsidR="00093F6A" w:rsidRPr="00093F6A" w:rsidRDefault="00093F6A" w:rsidP="00025C42">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Noteikumu projekta leģitīmais mērķis ir citu personu tiesību aizsardzība un sabiedrības labklājības nodrošināšana.</w:t>
            </w:r>
          </w:p>
          <w:p w14:paraId="71DD3F36" w14:textId="2FDBC686" w:rsidR="00093F6A" w:rsidRPr="00093F6A" w:rsidRDefault="00093F6A" w:rsidP="00025C42">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 xml:space="preserve">Šo pamattiesību aizsardzību Latvijas Banka īsteno, nodrošinot finanšu tirgus uzraudzību, kurai ir vitāla nozīme finanšu sistēmas un ekonomiskajā attīstībā, iespējami pilnīgākajā veidā, lai veicinātu sabiedrības uzticēšanos finanšu tirgum un Latvijas </w:t>
            </w:r>
            <w:r w:rsidRPr="00093F6A">
              <w:rPr>
                <w:rFonts w:ascii="Times New Roman" w:eastAsia="Times New Roman" w:hAnsi="Times New Roman" w:cs="Times New Roman"/>
                <w:iCs/>
                <w:color w:val="000000" w:themeColor="text1"/>
                <w:sz w:val="24"/>
                <w:szCs w:val="24"/>
                <w:lang w:eastAsia="lv-LV"/>
              </w:rPr>
              <w:lastRenderedPageBreak/>
              <w:t xml:space="preserve">Bankai kā konkrēto finanšu tirgus dalībnieku uzraugam, kas nodrošina </w:t>
            </w:r>
            <w:r w:rsidR="00D74C68">
              <w:rPr>
                <w:rFonts w:ascii="Times New Roman" w:eastAsia="Times New Roman" w:hAnsi="Times New Roman" w:cs="Times New Roman"/>
                <w:iCs/>
                <w:color w:val="000000" w:themeColor="text1"/>
                <w:sz w:val="24"/>
                <w:szCs w:val="24"/>
                <w:lang w:eastAsia="lv-LV"/>
              </w:rPr>
              <w:t xml:space="preserve">iestāžu </w:t>
            </w:r>
            <w:r w:rsidRPr="00093F6A">
              <w:rPr>
                <w:rFonts w:ascii="Times New Roman" w:eastAsia="Times New Roman" w:hAnsi="Times New Roman" w:cs="Times New Roman"/>
                <w:iCs/>
                <w:color w:val="000000" w:themeColor="text1"/>
                <w:sz w:val="24"/>
                <w:szCs w:val="24"/>
                <w:lang w:eastAsia="lv-LV"/>
              </w:rPr>
              <w:t>tiesisku un sabiedrības interesēm atbilstošu darbību.</w:t>
            </w:r>
          </w:p>
          <w:p w14:paraId="4FCF00BD" w14:textId="77777777" w:rsidR="00093F6A" w:rsidRPr="00093F6A" w:rsidRDefault="00093F6A" w:rsidP="00025C42">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Indivīdam kā finanšu tirgus sistēmas daļai ir būtiski apzināties un saņemt to aizsardzības līmeni, kuru tam nodrošina finanšu tirgus uzraugs jeb Latvijas Banka, un attiecīgi Latvijas Banka finanšu tirgus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dalībniekam.</w:t>
            </w:r>
          </w:p>
          <w:p w14:paraId="535C31E5" w14:textId="7D734137" w:rsidR="00093F6A" w:rsidRPr="00093F6A" w:rsidRDefault="00093F6A" w:rsidP="00025C42">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 xml:space="preserve">Nosakot </w:t>
            </w:r>
            <w:r w:rsidR="00662FED">
              <w:rPr>
                <w:rFonts w:ascii="Times New Roman" w:eastAsia="Times New Roman" w:hAnsi="Times New Roman" w:cs="Times New Roman"/>
                <w:iCs/>
                <w:color w:val="000000" w:themeColor="text1"/>
                <w:sz w:val="24"/>
                <w:szCs w:val="24"/>
                <w:lang w:eastAsia="lv-LV"/>
              </w:rPr>
              <w:t>sabiedrībām</w:t>
            </w:r>
            <w:r w:rsidR="004C1F75">
              <w:rPr>
                <w:rFonts w:ascii="Times New Roman" w:eastAsia="Times New Roman" w:hAnsi="Times New Roman" w:cs="Times New Roman"/>
                <w:iCs/>
                <w:color w:val="000000" w:themeColor="text1"/>
                <w:sz w:val="24"/>
                <w:szCs w:val="24"/>
                <w:lang w:eastAsia="lv-LV"/>
              </w:rPr>
              <w:t xml:space="preserve"> p</w:t>
            </w:r>
            <w:r w:rsidRPr="00093F6A">
              <w:rPr>
                <w:rFonts w:ascii="Times New Roman" w:eastAsia="Times New Roman" w:hAnsi="Times New Roman" w:cs="Times New Roman"/>
                <w:iCs/>
                <w:color w:val="000000" w:themeColor="text1"/>
                <w:sz w:val="24"/>
                <w:szCs w:val="24"/>
                <w:lang w:eastAsia="lv-LV"/>
              </w:rPr>
              <w:t xml:space="preserve">rasības un veicot </w:t>
            </w:r>
            <w:r w:rsidR="004408E4">
              <w:rPr>
                <w:rFonts w:ascii="Times New Roman" w:eastAsia="Times New Roman" w:hAnsi="Times New Roman" w:cs="Times New Roman"/>
                <w:iCs/>
                <w:color w:val="000000" w:themeColor="text1"/>
                <w:sz w:val="24"/>
                <w:szCs w:val="24"/>
                <w:lang w:eastAsia="lv-LV"/>
              </w:rPr>
              <w:t xml:space="preserve">šo </w:t>
            </w:r>
            <w:r w:rsidRPr="00093F6A">
              <w:rPr>
                <w:rFonts w:ascii="Times New Roman" w:eastAsia="Times New Roman" w:hAnsi="Times New Roman" w:cs="Times New Roman"/>
                <w:iCs/>
                <w:color w:val="000000" w:themeColor="text1"/>
                <w:sz w:val="24"/>
                <w:szCs w:val="24"/>
                <w:lang w:eastAsia="lv-LV"/>
              </w:rPr>
              <w:t>prasību ievērošanas pārbaudes, Latvijas Banka nodrošina tai Latvijas Bankas likumā noteikt</w:t>
            </w:r>
            <w:r w:rsidR="00090C91">
              <w:rPr>
                <w:rFonts w:ascii="Times New Roman" w:eastAsia="Times New Roman" w:hAnsi="Times New Roman" w:cs="Times New Roman"/>
                <w:iCs/>
                <w:color w:val="000000" w:themeColor="text1"/>
                <w:sz w:val="24"/>
                <w:szCs w:val="24"/>
                <w:lang w:eastAsia="lv-LV"/>
              </w:rPr>
              <w:t>ā</w:t>
            </w:r>
            <w:r w:rsidRPr="00093F6A">
              <w:rPr>
                <w:rFonts w:ascii="Times New Roman" w:eastAsia="Times New Roman" w:hAnsi="Times New Roman" w:cs="Times New Roman"/>
                <w:iCs/>
                <w:color w:val="000000" w:themeColor="text1"/>
                <w:sz w:val="24"/>
                <w:szCs w:val="24"/>
                <w:lang w:eastAsia="lv-LV"/>
              </w:rPr>
              <w:t xml:space="preserve"> pienākum</w:t>
            </w:r>
            <w:r w:rsidR="00090C91">
              <w:rPr>
                <w:rFonts w:ascii="Times New Roman" w:eastAsia="Times New Roman" w:hAnsi="Times New Roman" w:cs="Times New Roman"/>
                <w:iCs/>
                <w:color w:val="000000" w:themeColor="text1"/>
                <w:sz w:val="24"/>
                <w:szCs w:val="24"/>
                <w:lang w:eastAsia="lv-LV"/>
              </w:rPr>
              <w:t>a –</w:t>
            </w:r>
            <w:r w:rsidR="00D74C68">
              <w:rPr>
                <w:rFonts w:ascii="Times New Roman" w:eastAsia="Times New Roman" w:hAnsi="Times New Roman" w:cs="Times New Roman"/>
                <w:iCs/>
                <w:color w:val="000000" w:themeColor="text1"/>
                <w:sz w:val="24"/>
                <w:szCs w:val="24"/>
                <w:lang w:eastAsia="lv-LV"/>
              </w:rPr>
              <w:t xml:space="preserve"> veicināt </w:t>
            </w:r>
            <w:r w:rsidR="00D74C68" w:rsidRPr="00D74C68">
              <w:rPr>
                <w:rFonts w:ascii="Times New Roman" w:eastAsia="Times New Roman" w:hAnsi="Times New Roman" w:cs="Times New Roman"/>
                <w:iCs/>
                <w:color w:val="000000" w:themeColor="text1"/>
                <w:sz w:val="24"/>
                <w:szCs w:val="24"/>
                <w:lang w:eastAsia="lv-LV"/>
              </w:rPr>
              <w:t>ieguldītāju un noguldītāju interešu aizsardzību un finanšu tirgus ilgtspējīgu attīstību un stabilitāti</w:t>
            </w:r>
            <w:r w:rsidR="00B12E0F">
              <w:rPr>
                <w:rFonts w:ascii="Times New Roman" w:eastAsia="Times New Roman" w:hAnsi="Times New Roman" w:cs="Times New Roman"/>
                <w:iCs/>
                <w:color w:val="000000" w:themeColor="text1"/>
                <w:sz w:val="24"/>
                <w:szCs w:val="24"/>
                <w:lang w:eastAsia="lv-LV"/>
              </w:rPr>
              <w:t> </w:t>
            </w:r>
            <w:r w:rsidR="00090C91">
              <w:rPr>
                <w:rFonts w:ascii="Times New Roman" w:eastAsia="Times New Roman" w:hAnsi="Times New Roman" w:cs="Times New Roman"/>
                <w:iCs/>
                <w:color w:val="000000" w:themeColor="text1"/>
                <w:sz w:val="24"/>
                <w:szCs w:val="24"/>
                <w:lang w:eastAsia="lv-LV"/>
              </w:rPr>
              <w:t>– izpildi</w:t>
            </w:r>
            <w:r w:rsidRPr="00093F6A">
              <w:rPr>
                <w:rFonts w:ascii="Times New Roman" w:eastAsia="Times New Roman" w:hAnsi="Times New Roman" w:cs="Times New Roman"/>
                <w:iCs/>
                <w:color w:val="000000" w:themeColor="text1"/>
                <w:sz w:val="24"/>
                <w:szCs w:val="24"/>
                <w:lang w:eastAsia="lv-LV"/>
              </w:rPr>
              <w:t>.</w:t>
            </w:r>
          </w:p>
          <w:p w14:paraId="66AD4387" w14:textId="6F9EF79F" w:rsidR="0040342E" w:rsidRPr="004A712C" w:rsidRDefault="00093F6A" w:rsidP="00025C42">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 xml:space="preserve">Noteikumu projekts nepieciešams, lai </w:t>
            </w:r>
            <w:r w:rsidR="00D74C68">
              <w:rPr>
                <w:rFonts w:ascii="Times New Roman" w:eastAsia="Times New Roman" w:hAnsi="Times New Roman" w:cs="Times New Roman"/>
                <w:iCs/>
                <w:color w:val="000000" w:themeColor="text1"/>
                <w:sz w:val="24"/>
                <w:szCs w:val="24"/>
                <w:lang w:eastAsia="lv-LV"/>
              </w:rPr>
              <w:t xml:space="preserve">Latvijas Banka noteiktu </w:t>
            </w:r>
            <w:r w:rsidRPr="00093F6A">
              <w:rPr>
                <w:rFonts w:ascii="Times New Roman" w:eastAsia="Times New Roman" w:hAnsi="Times New Roman" w:cs="Times New Roman"/>
                <w:iCs/>
                <w:color w:val="000000" w:themeColor="text1"/>
                <w:sz w:val="24"/>
                <w:szCs w:val="24"/>
                <w:lang w:eastAsia="lv-LV"/>
              </w:rPr>
              <w:t>vienot</w:t>
            </w:r>
            <w:r w:rsidR="00D74C68">
              <w:rPr>
                <w:rFonts w:ascii="Times New Roman" w:eastAsia="Times New Roman" w:hAnsi="Times New Roman" w:cs="Times New Roman"/>
                <w:iCs/>
                <w:color w:val="000000" w:themeColor="text1"/>
                <w:sz w:val="24"/>
                <w:szCs w:val="24"/>
                <w:lang w:eastAsia="lv-LV"/>
              </w:rPr>
              <w:t>as</w:t>
            </w:r>
            <w:r w:rsidRPr="00093F6A">
              <w:rPr>
                <w:rFonts w:ascii="Times New Roman" w:eastAsia="Times New Roman" w:hAnsi="Times New Roman" w:cs="Times New Roman"/>
                <w:iCs/>
                <w:color w:val="000000" w:themeColor="text1"/>
                <w:sz w:val="24"/>
                <w:szCs w:val="24"/>
                <w:lang w:eastAsia="lv-LV"/>
              </w:rPr>
              <w:t xml:space="preserve"> </w:t>
            </w:r>
            <w:r w:rsidR="00662FED">
              <w:rPr>
                <w:rFonts w:ascii="Times New Roman" w:eastAsia="Times New Roman" w:hAnsi="Times New Roman" w:cs="Times New Roman"/>
                <w:iCs/>
                <w:color w:val="000000" w:themeColor="text1"/>
                <w:sz w:val="24"/>
                <w:szCs w:val="24"/>
                <w:lang w:eastAsia="lv-LV"/>
              </w:rPr>
              <w:t>sabiedrībām</w:t>
            </w:r>
            <w:r w:rsidR="004C1F75">
              <w:rPr>
                <w:rFonts w:ascii="Times New Roman" w:eastAsia="Times New Roman" w:hAnsi="Times New Roman" w:cs="Times New Roman"/>
                <w:color w:val="000000" w:themeColor="text1"/>
                <w:sz w:val="24"/>
                <w:szCs w:val="24"/>
                <w:lang w:eastAsia="lv-LV"/>
              </w:rPr>
              <w:t xml:space="preserve"> </w:t>
            </w:r>
            <w:r w:rsidRPr="00093F6A">
              <w:rPr>
                <w:rFonts w:ascii="Times New Roman" w:eastAsia="Times New Roman" w:hAnsi="Times New Roman" w:cs="Times New Roman"/>
                <w:iCs/>
                <w:color w:val="000000" w:themeColor="text1"/>
                <w:sz w:val="24"/>
                <w:szCs w:val="24"/>
                <w:lang w:eastAsia="lv-LV"/>
              </w:rPr>
              <w:t>saistoš</w:t>
            </w:r>
            <w:r w:rsidR="00D74C68">
              <w:rPr>
                <w:rFonts w:ascii="Times New Roman" w:eastAsia="Times New Roman" w:hAnsi="Times New Roman" w:cs="Times New Roman"/>
                <w:iCs/>
                <w:color w:val="000000" w:themeColor="text1"/>
                <w:sz w:val="24"/>
                <w:szCs w:val="24"/>
                <w:lang w:eastAsia="lv-LV"/>
              </w:rPr>
              <w:t>as</w:t>
            </w:r>
            <w:r w:rsidRPr="00093F6A">
              <w:rPr>
                <w:rFonts w:ascii="Times New Roman" w:eastAsia="Times New Roman" w:hAnsi="Times New Roman" w:cs="Times New Roman"/>
                <w:iCs/>
                <w:color w:val="000000" w:themeColor="text1"/>
                <w:sz w:val="24"/>
                <w:szCs w:val="24"/>
                <w:lang w:eastAsia="lv-LV"/>
              </w:rPr>
              <w:t xml:space="preserve"> regulējoš</w:t>
            </w:r>
            <w:r w:rsidR="00D74C68">
              <w:rPr>
                <w:rFonts w:ascii="Times New Roman" w:eastAsia="Times New Roman" w:hAnsi="Times New Roman" w:cs="Times New Roman"/>
                <w:iCs/>
                <w:color w:val="000000" w:themeColor="text1"/>
                <w:sz w:val="24"/>
                <w:szCs w:val="24"/>
                <w:lang w:eastAsia="lv-LV"/>
              </w:rPr>
              <w:t xml:space="preserve">ās </w:t>
            </w:r>
            <w:r w:rsidRPr="00093F6A">
              <w:rPr>
                <w:rFonts w:ascii="Times New Roman" w:eastAsia="Times New Roman" w:hAnsi="Times New Roman" w:cs="Times New Roman"/>
                <w:iCs/>
                <w:color w:val="000000" w:themeColor="text1"/>
                <w:sz w:val="24"/>
                <w:szCs w:val="24"/>
                <w:lang w:eastAsia="lv-LV"/>
              </w:rPr>
              <w:t>prasīb</w:t>
            </w:r>
            <w:r w:rsidR="00D74C68">
              <w:rPr>
                <w:rFonts w:ascii="Times New Roman" w:eastAsia="Times New Roman" w:hAnsi="Times New Roman" w:cs="Times New Roman"/>
                <w:iCs/>
                <w:color w:val="000000" w:themeColor="text1"/>
                <w:sz w:val="24"/>
                <w:szCs w:val="24"/>
                <w:lang w:eastAsia="lv-LV"/>
              </w:rPr>
              <w:t>as</w:t>
            </w:r>
            <w:r w:rsidRPr="00093F6A">
              <w:rPr>
                <w:rFonts w:ascii="Times New Roman" w:eastAsia="Times New Roman" w:hAnsi="Times New Roman" w:cs="Times New Roman"/>
                <w:iCs/>
                <w:color w:val="000000" w:themeColor="text1"/>
                <w:sz w:val="24"/>
                <w:szCs w:val="24"/>
                <w:lang w:eastAsia="lv-LV"/>
              </w:rPr>
              <w:t xml:space="preserve"> </w:t>
            </w:r>
            <w:r w:rsidR="00D74C68" w:rsidRPr="00093F6A">
              <w:rPr>
                <w:rFonts w:ascii="Times New Roman" w:eastAsia="Times New Roman" w:hAnsi="Times New Roman" w:cs="Times New Roman"/>
                <w:iCs/>
                <w:color w:val="000000" w:themeColor="text1"/>
                <w:sz w:val="24"/>
                <w:szCs w:val="24"/>
                <w:lang w:eastAsia="lv-LV"/>
              </w:rPr>
              <w:t xml:space="preserve">iekšējās </w:t>
            </w:r>
            <w:r w:rsidR="00D74C68">
              <w:rPr>
                <w:rFonts w:ascii="Times New Roman" w:eastAsia="Times New Roman" w:hAnsi="Times New Roman" w:cs="Times New Roman"/>
                <w:iCs/>
                <w:color w:val="000000" w:themeColor="text1"/>
                <w:sz w:val="24"/>
                <w:szCs w:val="24"/>
                <w:lang w:eastAsia="lv-LV"/>
              </w:rPr>
              <w:t xml:space="preserve">pārvaldības </w:t>
            </w:r>
            <w:r w:rsidR="00D74C68" w:rsidRPr="00093F6A">
              <w:rPr>
                <w:rFonts w:ascii="Times New Roman" w:eastAsia="Times New Roman" w:hAnsi="Times New Roman" w:cs="Times New Roman"/>
                <w:iCs/>
                <w:color w:val="000000" w:themeColor="text1"/>
                <w:sz w:val="24"/>
                <w:szCs w:val="24"/>
                <w:lang w:eastAsia="lv-LV"/>
              </w:rPr>
              <w:t>sistēmas izveidošanas jomā</w:t>
            </w:r>
            <w:r w:rsidRPr="00093F6A">
              <w:rPr>
                <w:rFonts w:ascii="Times New Roman" w:eastAsia="Times New Roman" w:hAnsi="Times New Roman" w:cs="Times New Roman"/>
                <w:iCs/>
                <w:color w:val="000000" w:themeColor="text1"/>
                <w:sz w:val="24"/>
                <w:szCs w:val="24"/>
                <w:lang w:eastAsia="lv-LV"/>
              </w:rPr>
              <w:t>.</w:t>
            </w:r>
          </w:p>
        </w:tc>
      </w:tr>
      <w:tr w:rsidR="00D63F50" w:rsidRPr="000B4E0A" w14:paraId="039121D7" w14:textId="77777777" w:rsidTr="005541EE">
        <w:trPr>
          <w:trHeight w:val="567"/>
        </w:trPr>
        <w:tc>
          <w:tcPr>
            <w:tcW w:w="1405" w:type="pct"/>
            <w:shd w:val="clear" w:color="auto" w:fill="auto"/>
            <w:hideMark/>
          </w:tcPr>
          <w:p w14:paraId="2EABB69F" w14:textId="77777777" w:rsidR="00D63F50" w:rsidRPr="00E253DA" w:rsidRDefault="00D63F50" w:rsidP="00025C42">
            <w:pPr>
              <w:spacing w:after="12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Samērīgums</w:t>
            </w:r>
          </w:p>
          <w:p w14:paraId="6CDA7E8B" w14:textId="11957B66" w:rsidR="00D63F50" w:rsidRPr="00E253DA" w:rsidRDefault="00D63F50" w:rsidP="00025C42">
            <w:pPr>
              <w:spacing w:after="12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7DE64E7F" w14:textId="10BA01C1" w:rsidR="00D63F50" w:rsidRPr="00E7052B" w:rsidRDefault="00D63F50" w:rsidP="00025C42">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Nosakot vienotas prasības </w:t>
            </w:r>
            <w:r w:rsidR="007513D9">
              <w:rPr>
                <w:rFonts w:ascii="Times New Roman" w:eastAsia="Times New Roman" w:hAnsi="Times New Roman" w:cs="Times New Roman"/>
                <w:sz w:val="24"/>
                <w:szCs w:val="24"/>
                <w:lang w:eastAsia="lv-LV"/>
              </w:rPr>
              <w:t>pārvaldības sistēmas izveidošanai</w:t>
            </w:r>
            <w:r w:rsidR="00252D00">
              <w:rPr>
                <w:rFonts w:ascii="Times New Roman" w:eastAsia="Times New Roman" w:hAnsi="Times New Roman" w:cs="Times New Roman"/>
                <w:sz w:val="24"/>
                <w:szCs w:val="24"/>
                <w:lang w:eastAsia="lv-LV"/>
              </w:rPr>
              <w:t>,</w:t>
            </w:r>
            <w:r w:rsidR="007513D9">
              <w:rPr>
                <w:rFonts w:ascii="Times New Roman" w:eastAsia="Times New Roman" w:hAnsi="Times New Roman" w:cs="Times New Roman"/>
                <w:sz w:val="24"/>
                <w:szCs w:val="24"/>
                <w:lang w:eastAsia="lv-LV"/>
              </w:rPr>
              <w:t xml:space="preserve"> t</w:t>
            </w:r>
            <w:r w:rsidR="00252D00">
              <w:rPr>
                <w:rFonts w:ascii="Times New Roman" w:eastAsia="Times New Roman" w:hAnsi="Times New Roman" w:cs="Times New Roman"/>
                <w:sz w:val="24"/>
                <w:szCs w:val="24"/>
                <w:lang w:eastAsia="lv-LV"/>
              </w:rPr>
              <w:t>i</w:t>
            </w:r>
            <w:r w:rsidRPr="00E7052B">
              <w:rPr>
                <w:rFonts w:ascii="Times New Roman" w:eastAsia="Times New Roman" w:hAnsi="Times New Roman" w:cs="Times New Roman"/>
                <w:sz w:val="24"/>
                <w:szCs w:val="24"/>
                <w:lang w:eastAsia="lv-LV"/>
              </w:rPr>
              <w:t xml:space="preserve">ek nodrošināta vienota </w:t>
            </w:r>
            <w:r w:rsidR="00025C42">
              <w:rPr>
                <w:rFonts w:ascii="Times New Roman" w:eastAsia="Times New Roman" w:hAnsi="Times New Roman" w:cs="Times New Roman"/>
                <w:sz w:val="24"/>
                <w:szCs w:val="24"/>
                <w:lang w:eastAsia="lv-LV"/>
              </w:rPr>
              <w:t xml:space="preserve">ieguldījumu </w:t>
            </w:r>
            <w:r w:rsidR="000E5BFC">
              <w:rPr>
                <w:rFonts w:ascii="Times New Roman" w:eastAsia="Times New Roman" w:hAnsi="Times New Roman" w:cs="Times New Roman"/>
                <w:sz w:val="24"/>
                <w:szCs w:val="24"/>
                <w:lang w:eastAsia="lv-LV"/>
              </w:rPr>
              <w:t xml:space="preserve">brokeru sabiedrību </w:t>
            </w:r>
            <w:r w:rsidRPr="00E7052B">
              <w:rPr>
                <w:rFonts w:ascii="Times New Roman" w:eastAsia="Times New Roman" w:hAnsi="Times New Roman" w:cs="Times New Roman"/>
                <w:sz w:val="24"/>
                <w:szCs w:val="24"/>
                <w:lang w:eastAsia="lv-LV"/>
              </w:rPr>
              <w:t>izpratne un pieeja regulējošo prasību interpretācijai un piemērošanai</w:t>
            </w:r>
            <w:r w:rsidR="00B61AAF">
              <w:rPr>
                <w:rFonts w:ascii="Times New Roman" w:eastAsia="Times New Roman" w:hAnsi="Times New Roman" w:cs="Times New Roman"/>
                <w:sz w:val="24"/>
                <w:szCs w:val="24"/>
                <w:lang w:eastAsia="lv-LV"/>
              </w:rPr>
              <w:t xml:space="preserve">, kas ir būtisks faktors, lai </w:t>
            </w:r>
            <w:r w:rsidRPr="00E7052B">
              <w:rPr>
                <w:rFonts w:ascii="Times New Roman" w:eastAsia="Times New Roman" w:hAnsi="Times New Roman" w:cs="Times New Roman"/>
                <w:sz w:val="24"/>
                <w:szCs w:val="24"/>
                <w:lang w:eastAsia="lv-LV"/>
              </w:rPr>
              <w:t>nodrošinātu finanšu tirgus stabilitāti</w:t>
            </w:r>
            <w:r w:rsidR="00B61AAF">
              <w:rPr>
                <w:rFonts w:ascii="Times New Roman" w:eastAsia="Times New Roman" w:hAnsi="Times New Roman" w:cs="Times New Roman"/>
                <w:sz w:val="24"/>
                <w:szCs w:val="24"/>
                <w:lang w:eastAsia="lv-LV"/>
              </w:rPr>
              <w:t>.</w:t>
            </w:r>
          </w:p>
          <w:p w14:paraId="075E696F" w14:textId="628FC9B3" w:rsidR="00D63F50" w:rsidRPr="00E7052B" w:rsidRDefault="00D63F50" w:rsidP="00025C42">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Līdz ar to atbilstošākais veids, kā noteikt </w:t>
            </w:r>
            <w:r w:rsidR="00215A66">
              <w:rPr>
                <w:rFonts w:ascii="Times New Roman" w:eastAsia="Times New Roman" w:hAnsi="Times New Roman" w:cs="Times New Roman"/>
                <w:sz w:val="24"/>
                <w:szCs w:val="24"/>
                <w:lang w:eastAsia="lv-LV"/>
              </w:rPr>
              <w:t xml:space="preserve">finanšu </w:t>
            </w:r>
            <w:r w:rsidR="00624E00">
              <w:rPr>
                <w:rFonts w:ascii="Times New Roman" w:eastAsia="Times New Roman" w:hAnsi="Times New Roman" w:cs="Times New Roman"/>
                <w:sz w:val="24"/>
                <w:szCs w:val="24"/>
                <w:lang w:eastAsia="lv-LV"/>
              </w:rPr>
              <w:t xml:space="preserve">tirgus dalībniekiem </w:t>
            </w:r>
            <w:r w:rsidRPr="00E7052B">
              <w:rPr>
                <w:rFonts w:ascii="Times New Roman" w:eastAsia="Times New Roman" w:hAnsi="Times New Roman" w:cs="Times New Roman"/>
                <w:sz w:val="24"/>
                <w:szCs w:val="24"/>
                <w:lang w:eastAsia="lv-LV"/>
              </w:rPr>
              <w:t>vienotas</w:t>
            </w:r>
            <w:r>
              <w:rPr>
                <w:rFonts w:ascii="Times New Roman" w:eastAsia="Times New Roman" w:hAnsi="Times New Roman" w:cs="Times New Roman"/>
                <w:sz w:val="24"/>
                <w:szCs w:val="24"/>
                <w:lang w:eastAsia="lv-LV"/>
              </w:rPr>
              <w:t xml:space="preserve"> prasības</w:t>
            </w:r>
            <w:r w:rsidR="00566D25">
              <w:rPr>
                <w:rFonts w:ascii="Times New Roman" w:eastAsia="Times New Roman" w:hAnsi="Times New Roman" w:cs="Times New Roman"/>
                <w:sz w:val="24"/>
                <w:szCs w:val="24"/>
                <w:lang w:eastAsia="lv-LV"/>
              </w:rPr>
              <w:t xml:space="preserve"> pārvaldības </w:t>
            </w:r>
            <w:r w:rsidR="00624E00">
              <w:rPr>
                <w:rFonts w:ascii="Times New Roman" w:eastAsia="Times New Roman" w:hAnsi="Times New Roman" w:cs="Times New Roman"/>
                <w:sz w:val="24"/>
                <w:szCs w:val="24"/>
                <w:lang w:eastAsia="lv-LV"/>
              </w:rPr>
              <w:t xml:space="preserve">sistēmas </w:t>
            </w:r>
            <w:r w:rsidR="00B61AAF">
              <w:rPr>
                <w:rFonts w:ascii="Times New Roman" w:eastAsia="Times New Roman" w:hAnsi="Times New Roman" w:cs="Times New Roman"/>
                <w:sz w:val="24"/>
                <w:szCs w:val="24"/>
                <w:lang w:eastAsia="lv-LV"/>
              </w:rPr>
              <w:t>izveidošanai</w:t>
            </w:r>
            <w:r w:rsidR="00252D00">
              <w:rPr>
                <w:rFonts w:ascii="Times New Roman" w:eastAsia="Times New Roman" w:hAnsi="Times New Roman" w:cs="Times New Roman"/>
                <w:sz w:val="24"/>
                <w:szCs w:val="24"/>
                <w:lang w:eastAsia="lv-LV"/>
              </w:rPr>
              <w:t>,</w:t>
            </w:r>
            <w:r w:rsidRPr="00E7052B">
              <w:rPr>
                <w:rFonts w:ascii="Times New Roman" w:eastAsia="Times New Roman" w:hAnsi="Times New Roman" w:cs="Times New Roman"/>
                <w:sz w:val="24"/>
                <w:szCs w:val="24"/>
                <w:lang w:eastAsia="lv-LV"/>
              </w:rPr>
              <w:t xml:space="preserve"> ir izdot </w:t>
            </w:r>
            <w:r w:rsidR="0030374D">
              <w:rPr>
                <w:rFonts w:ascii="Times New Roman" w:eastAsia="Times New Roman" w:hAnsi="Times New Roman" w:cs="Times New Roman"/>
                <w:sz w:val="24"/>
                <w:szCs w:val="24"/>
                <w:lang w:eastAsia="lv-LV"/>
              </w:rPr>
              <w:t>t</w:t>
            </w:r>
            <w:r w:rsidR="00624E00">
              <w:rPr>
                <w:rFonts w:ascii="Times New Roman" w:eastAsia="Times New Roman" w:hAnsi="Times New Roman" w:cs="Times New Roman"/>
                <w:sz w:val="24"/>
                <w:szCs w:val="24"/>
                <w:lang w:eastAsia="lv-LV"/>
              </w:rPr>
              <w:t xml:space="preserve">iem </w:t>
            </w:r>
            <w:r w:rsidRPr="00E7052B">
              <w:rPr>
                <w:rFonts w:ascii="Times New Roman" w:eastAsia="Times New Roman" w:hAnsi="Times New Roman" w:cs="Times New Roman"/>
                <w:sz w:val="24"/>
                <w:szCs w:val="24"/>
                <w:lang w:eastAsia="lv-LV"/>
              </w:rPr>
              <w:t>saistošus noteikumus. Citas alternatīvas jautājuma noregulēšanai un vienotu prasību noteikšanai nebūtu efektīvas un nesasniegtu izvirzīto mērķi, jo nenodrošinātu vienveidīgu piemērošanu.</w:t>
            </w:r>
          </w:p>
          <w:p w14:paraId="39DB235B" w14:textId="442D886F" w:rsidR="004A712C" w:rsidRDefault="00D63F50" w:rsidP="00025C42">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Izraugoties piemērotāko līdzekli leģitīmā mērķa sasniegšanai, Latvijas Banka izvērtēja, ka nebūtu atbilstoši izdot, piemēram, zemāka ranga normatīvos aktus, kuri nebūtu </w:t>
            </w:r>
            <w:r w:rsidR="00215A66">
              <w:rPr>
                <w:rFonts w:ascii="Times New Roman" w:eastAsia="Times New Roman" w:hAnsi="Times New Roman" w:cs="Times New Roman"/>
                <w:sz w:val="24"/>
                <w:szCs w:val="24"/>
                <w:lang w:eastAsia="lv-LV"/>
              </w:rPr>
              <w:t xml:space="preserve">finanšu </w:t>
            </w:r>
            <w:r w:rsidR="00624E00">
              <w:rPr>
                <w:rFonts w:ascii="Times New Roman" w:eastAsia="Times New Roman" w:hAnsi="Times New Roman" w:cs="Times New Roman"/>
                <w:sz w:val="24"/>
                <w:szCs w:val="24"/>
                <w:lang w:eastAsia="lv-LV"/>
              </w:rPr>
              <w:t xml:space="preserve">tirgus dalībniekiem </w:t>
            </w:r>
            <w:r w:rsidRPr="00E7052B">
              <w:rPr>
                <w:rFonts w:ascii="Times New Roman" w:eastAsia="Times New Roman" w:hAnsi="Times New Roman" w:cs="Times New Roman"/>
                <w:sz w:val="24"/>
                <w:szCs w:val="24"/>
                <w:lang w:eastAsia="lv-LV"/>
              </w:rPr>
              <w:t>juridiski saistoši.</w:t>
            </w:r>
            <w:r w:rsidR="00B06FC7">
              <w:rPr>
                <w:rFonts w:ascii="Times New Roman" w:eastAsia="Times New Roman" w:hAnsi="Times New Roman" w:cs="Times New Roman"/>
                <w:sz w:val="24"/>
                <w:szCs w:val="24"/>
                <w:lang w:eastAsia="lv-LV"/>
              </w:rPr>
              <w:t xml:space="preserve"> T</w:t>
            </w:r>
            <w:r w:rsidR="004A712C">
              <w:rPr>
                <w:rFonts w:ascii="Times New Roman" w:eastAsia="Times New Roman" w:hAnsi="Times New Roman" w:cs="Times New Roman"/>
                <w:sz w:val="24"/>
                <w:szCs w:val="24"/>
                <w:lang w:eastAsia="lv-LV"/>
              </w:rPr>
              <w:t xml:space="preserve">as </w:t>
            </w:r>
            <w:r w:rsidR="004A712C" w:rsidRPr="004A712C">
              <w:rPr>
                <w:rFonts w:ascii="Times New Roman" w:eastAsia="Times New Roman" w:hAnsi="Times New Roman" w:cs="Times New Roman"/>
                <w:sz w:val="24"/>
                <w:szCs w:val="24"/>
                <w:lang w:eastAsia="lv-LV"/>
              </w:rPr>
              <w:t>ļau</w:t>
            </w:r>
            <w:r w:rsidR="004A712C">
              <w:rPr>
                <w:rFonts w:ascii="Times New Roman" w:eastAsia="Times New Roman" w:hAnsi="Times New Roman" w:cs="Times New Roman"/>
                <w:sz w:val="24"/>
                <w:szCs w:val="24"/>
                <w:lang w:eastAsia="lv-LV"/>
              </w:rPr>
              <w:t xml:space="preserve">j </w:t>
            </w:r>
            <w:r w:rsidR="004A712C" w:rsidRPr="004A712C">
              <w:rPr>
                <w:rFonts w:ascii="Times New Roman" w:eastAsia="Times New Roman" w:hAnsi="Times New Roman" w:cs="Times New Roman"/>
                <w:sz w:val="24"/>
                <w:szCs w:val="24"/>
                <w:lang w:eastAsia="lv-LV"/>
              </w:rPr>
              <w:t xml:space="preserve">Latvijas Bankai ne tikai efektīvāk īstenot no Latvijas Bankas likuma izrietošās tiesības un pienākumus </w:t>
            </w:r>
            <w:r w:rsidR="00215A66">
              <w:rPr>
                <w:rFonts w:ascii="Times New Roman" w:eastAsia="Times New Roman" w:hAnsi="Times New Roman" w:cs="Times New Roman"/>
                <w:sz w:val="24"/>
                <w:szCs w:val="24"/>
                <w:lang w:eastAsia="lv-LV"/>
              </w:rPr>
              <w:t xml:space="preserve">finanšu </w:t>
            </w:r>
            <w:r w:rsidR="00624E00">
              <w:rPr>
                <w:rFonts w:ascii="Times New Roman" w:eastAsia="Times New Roman" w:hAnsi="Times New Roman" w:cs="Times New Roman"/>
                <w:sz w:val="24"/>
                <w:szCs w:val="24"/>
                <w:lang w:eastAsia="lv-LV"/>
              </w:rPr>
              <w:t xml:space="preserve">tirgus dalībnieku </w:t>
            </w:r>
            <w:r w:rsidR="004A712C" w:rsidRPr="004A712C">
              <w:rPr>
                <w:rFonts w:ascii="Times New Roman" w:eastAsia="Times New Roman" w:hAnsi="Times New Roman" w:cs="Times New Roman"/>
                <w:sz w:val="24"/>
                <w:szCs w:val="24"/>
                <w:lang w:eastAsia="lv-LV"/>
              </w:rPr>
              <w:t xml:space="preserve">uzraudzībā, bet arī veicinās </w:t>
            </w:r>
            <w:r w:rsidR="002E1BA7">
              <w:rPr>
                <w:rFonts w:ascii="Times New Roman" w:eastAsia="Times New Roman" w:hAnsi="Times New Roman" w:cs="Times New Roman"/>
                <w:sz w:val="24"/>
                <w:szCs w:val="24"/>
                <w:lang w:eastAsia="lv-LV"/>
              </w:rPr>
              <w:t>ieguldītāju un noguldītāju inte</w:t>
            </w:r>
            <w:r w:rsidR="004A712C" w:rsidRPr="004A712C">
              <w:rPr>
                <w:rFonts w:ascii="Times New Roman" w:eastAsia="Times New Roman" w:hAnsi="Times New Roman" w:cs="Times New Roman"/>
                <w:sz w:val="24"/>
                <w:szCs w:val="24"/>
                <w:lang w:eastAsia="lv-LV"/>
              </w:rPr>
              <w:t>rešu aizsardzību.</w:t>
            </w:r>
          </w:p>
          <w:p w14:paraId="4BFF6E36" w14:textId="47DC8BC2" w:rsidR="00D63F50" w:rsidRPr="00E7052B" w:rsidRDefault="00D63F50" w:rsidP="00025C42">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Vienlaikus ar noteikumu projektu tiek noteiktas prasības, kuras Latvijas Banka uzraudzības ietvaros var kontrolēt un nepieciešamības gadījumā par konkrētu prasību pārkāpumu</w:t>
            </w:r>
            <w:r w:rsidR="00BB7921">
              <w:t xml:space="preserve"> </w:t>
            </w:r>
            <w:r w:rsidR="00BB7921" w:rsidRPr="00266246">
              <w:rPr>
                <w:rFonts w:ascii="Times New Roman" w:eastAsia="Times New Roman" w:hAnsi="Times New Roman" w:cs="Times New Roman"/>
                <w:sz w:val="24"/>
                <w:szCs w:val="24"/>
                <w:lang w:eastAsia="lv-LV"/>
              </w:rPr>
              <w:t xml:space="preserve">piemērot </w:t>
            </w:r>
            <w:r w:rsidR="00662FED">
              <w:rPr>
                <w:rFonts w:ascii="Times New Roman" w:eastAsia="Times New Roman" w:hAnsi="Times New Roman" w:cs="Times New Roman"/>
                <w:sz w:val="24"/>
                <w:szCs w:val="24"/>
                <w:lang w:eastAsia="lv-LV"/>
              </w:rPr>
              <w:t xml:space="preserve">sabiedrībām </w:t>
            </w:r>
            <w:r w:rsidRPr="00E7052B">
              <w:rPr>
                <w:rFonts w:ascii="Times New Roman" w:eastAsia="Times New Roman" w:hAnsi="Times New Roman" w:cs="Times New Roman"/>
                <w:sz w:val="24"/>
                <w:szCs w:val="24"/>
                <w:lang w:eastAsia="lv-LV"/>
              </w:rPr>
              <w:t>korektīvos pasākumus vai sankcijas</w:t>
            </w:r>
            <w:r w:rsidR="004C1F75">
              <w:rPr>
                <w:rFonts w:ascii="Times New Roman" w:eastAsia="Times New Roman" w:hAnsi="Times New Roman" w:cs="Times New Roman"/>
                <w:sz w:val="24"/>
                <w:szCs w:val="24"/>
                <w:lang w:eastAsia="lv-LV"/>
              </w:rPr>
              <w:t>.</w:t>
            </w:r>
          </w:p>
          <w:p w14:paraId="15358280" w14:textId="1BF9B8FD" w:rsidR="00566D25" w:rsidRPr="00B61AAF" w:rsidRDefault="00D63F50" w:rsidP="00025C42">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Respektīvi, </w:t>
            </w:r>
            <w:r w:rsidR="00B06FC7">
              <w:rPr>
                <w:rFonts w:ascii="Times New Roman" w:eastAsia="Times New Roman" w:hAnsi="Times New Roman" w:cs="Times New Roman"/>
                <w:sz w:val="24"/>
                <w:szCs w:val="24"/>
                <w:lang w:eastAsia="lv-LV"/>
              </w:rPr>
              <w:t>noteikumu projekts</w:t>
            </w:r>
            <w:r w:rsidRPr="00E7052B">
              <w:rPr>
                <w:rFonts w:ascii="Times New Roman" w:eastAsia="Times New Roman" w:hAnsi="Times New Roman" w:cs="Times New Roman"/>
                <w:sz w:val="24"/>
                <w:szCs w:val="24"/>
                <w:lang w:eastAsia="lv-LV"/>
              </w:rPr>
              <w:t xml:space="preserve"> kopumā un tajā ietvertās tiesību normas atbilst samērīguma principam, jo, pirmkārt, ar noteikumu projekta ieviešanu tiek sasniegts leģitīmais mērķis (citu personu tiesību un sabiedrības labklājības aizsardzība). Otrkārt, nepastāv tādi alternatīvi līdzekļi, kas sasniegtu leģitīmo mērķi tādā pašā kvalitātē.</w:t>
            </w:r>
            <w:r>
              <w:rPr>
                <w:rFonts w:ascii="Times New Roman" w:eastAsia="Times New Roman" w:hAnsi="Times New Roman" w:cs="Times New Roman"/>
                <w:sz w:val="24"/>
                <w:szCs w:val="24"/>
                <w:lang w:eastAsia="lv-LV"/>
              </w:rPr>
              <w:t xml:space="preserve"> Treškārt, sabiedrības labums no normatīvā akta prasību piemērošanas ir lielāks par nelielu papildu slogu un resursu ieguldījumu, kas </w:t>
            </w:r>
            <w:r w:rsidRPr="00E7052B">
              <w:rPr>
                <w:rFonts w:ascii="Times New Roman" w:eastAsia="Times New Roman" w:hAnsi="Times New Roman" w:cs="Times New Roman"/>
                <w:sz w:val="24"/>
                <w:szCs w:val="24"/>
                <w:lang w:eastAsia="lv-LV"/>
              </w:rPr>
              <w:t>konkrētaj</w:t>
            </w:r>
            <w:r w:rsidR="00624E00">
              <w:rPr>
                <w:rFonts w:ascii="Times New Roman" w:eastAsia="Times New Roman" w:hAnsi="Times New Roman" w:cs="Times New Roman"/>
                <w:sz w:val="24"/>
                <w:szCs w:val="24"/>
                <w:lang w:eastAsia="lv-LV"/>
              </w:rPr>
              <w:t xml:space="preserve">iem </w:t>
            </w:r>
            <w:r w:rsidR="00215A66">
              <w:rPr>
                <w:rFonts w:ascii="Times New Roman" w:eastAsia="Times New Roman" w:hAnsi="Times New Roman" w:cs="Times New Roman"/>
                <w:sz w:val="24"/>
                <w:szCs w:val="24"/>
                <w:lang w:eastAsia="lv-LV"/>
              </w:rPr>
              <w:t xml:space="preserve">finanšu </w:t>
            </w:r>
            <w:r w:rsidR="00624E00">
              <w:rPr>
                <w:rFonts w:ascii="Times New Roman" w:eastAsia="Times New Roman" w:hAnsi="Times New Roman" w:cs="Times New Roman"/>
                <w:sz w:val="24"/>
                <w:szCs w:val="24"/>
                <w:lang w:eastAsia="lv-LV"/>
              </w:rPr>
              <w:t xml:space="preserve">tirgus dalībniekiem </w:t>
            </w:r>
            <w:r w:rsidRPr="00E7052B">
              <w:rPr>
                <w:rFonts w:ascii="Times New Roman" w:eastAsia="Times New Roman" w:hAnsi="Times New Roman" w:cs="Times New Roman"/>
                <w:sz w:val="24"/>
                <w:szCs w:val="24"/>
                <w:lang w:eastAsia="lv-LV"/>
              </w:rPr>
              <w:t xml:space="preserve">varētu </w:t>
            </w:r>
            <w:r w:rsidRPr="00E7052B">
              <w:rPr>
                <w:rFonts w:ascii="Times New Roman" w:eastAsia="Times New Roman" w:hAnsi="Times New Roman" w:cs="Times New Roman"/>
                <w:sz w:val="24"/>
                <w:szCs w:val="24"/>
                <w:lang w:eastAsia="lv-LV"/>
              </w:rPr>
              <w:lastRenderedPageBreak/>
              <w:t>rasties ar uzliktajiem pienākumiem</w:t>
            </w:r>
            <w:r w:rsidR="00090C91">
              <w:rPr>
                <w:rFonts w:ascii="Times New Roman" w:eastAsia="Times New Roman" w:hAnsi="Times New Roman" w:cs="Times New Roman"/>
                <w:sz w:val="24"/>
                <w:szCs w:val="24"/>
                <w:lang w:eastAsia="lv-LV"/>
              </w:rPr>
              <w:t>,</w:t>
            </w:r>
            <w:r w:rsidR="00B61AAF" w:rsidRPr="00E7052B">
              <w:rPr>
                <w:rFonts w:ascii="Times New Roman" w:eastAsia="Times New Roman" w:hAnsi="Times New Roman" w:cs="Times New Roman"/>
                <w:sz w:val="24"/>
                <w:szCs w:val="24"/>
                <w:lang w:eastAsia="lv-LV"/>
              </w:rPr>
              <w:t xml:space="preserve"> un tos atsver sagaidāmie ilgtermiņa ieguvumi stabilāka finanšu sektora veidā.</w:t>
            </w:r>
          </w:p>
        </w:tc>
      </w:tr>
      <w:tr w:rsidR="00D63F50" w:rsidRPr="000B4E0A" w14:paraId="457D6A2B" w14:textId="77777777" w:rsidTr="005541EE">
        <w:trPr>
          <w:trHeight w:val="567"/>
        </w:trPr>
        <w:tc>
          <w:tcPr>
            <w:tcW w:w="1405" w:type="pct"/>
            <w:shd w:val="clear" w:color="auto" w:fill="auto"/>
            <w:hideMark/>
          </w:tcPr>
          <w:p w14:paraId="71CBECED" w14:textId="4B06F02A" w:rsidR="00D63F50" w:rsidRPr="00E253DA" w:rsidRDefault="00D63F50" w:rsidP="00B12E0F">
            <w:pPr>
              <w:spacing w:after="12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Spēkā stāšanās</w:t>
            </w:r>
          </w:p>
        </w:tc>
        <w:tc>
          <w:tcPr>
            <w:tcW w:w="3595" w:type="pct"/>
            <w:shd w:val="clear" w:color="auto" w:fill="auto"/>
          </w:tcPr>
          <w:p w14:paraId="374D264D" w14:textId="038C31B2" w:rsidR="007F311C" w:rsidRPr="000C6B17" w:rsidRDefault="00C0234C" w:rsidP="00025C42">
            <w:pPr>
              <w:spacing w:after="120" w:line="240" w:lineRule="auto"/>
              <w:jc w:val="both"/>
              <w:rPr>
                <w:rFonts w:ascii="Times New Roman" w:eastAsia="Times New Roman" w:hAnsi="Times New Roman" w:cs="Times New Roman"/>
                <w:iCs/>
                <w:color w:val="000000" w:themeColor="text1"/>
                <w:sz w:val="24"/>
                <w:szCs w:val="24"/>
                <w:lang w:eastAsia="lv-LV"/>
              </w:rPr>
            </w:pPr>
            <w:r>
              <w:rPr>
                <w:rFonts w:ascii="Times New Roman" w:eastAsia="Times New Roman" w:hAnsi="Times New Roman" w:cs="Times New Roman"/>
                <w:iCs/>
                <w:color w:val="000000" w:themeColor="text1"/>
                <w:sz w:val="24"/>
                <w:szCs w:val="24"/>
                <w:lang w:eastAsia="lv-LV"/>
              </w:rPr>
              <w:t>2025.</w:t>
            </w:r>
            <w:r w:rsidR="00B12E0F">
              <w:rPr>
                <w:rFonts w:ascii="Times New Roman" w:eastAsia="Times New Roman" w:hAnsi="Times New Roman" w:cs="Times New Roman"/>
                <w:iCs/>
                <w:color w:val="000000" w:themeColor="text1"/>
                <w:sz w:val="24"/>
                <w:szCs w:val="24"/>
                <w:lang w:eastAsia="lv-LV"/>
              </w:rPr>
              <w:t> </w:t>
            </w:r>
            <w:r>
              <w:rPr>
                <w:rFonts w:ascii="Times New Roman" w:eastAsia="Times New Roman" w:hAnsi="Times New Roman" w:cs="Times New Roman"/>
                <w:iCs/>
                <w:color w:val="000000" w:themeColor="text1"/>
                <w:sz w:val="24"/>
                <w:szCs w:val="24"/>
                <w:lang w:eastAsia="lv-LV"/>
              </w:rPr>
              <w:t>gada 1.</w:t>
            </w:r>
            <w:r w:rsidR="00B12E0F">
              <w:rPr>
                <w:rFonts w:ascii="Times New Roman" w:eastAsia="Times New Roman" w:hAnsi="Times New Roman" w:cs="Times New Roman"/>
                <w:iCs/>
                <w:color w:val="000000" w:themeColor="text1"/>
                <w:sz w:val="24"/>
                <w:szCs w:val="24"/>
                <w:lang w:eastAsia="lv-LV"/>
              </w:rPr>
              <w:t> </w:t>
            </w:r>
            <w:r>
              <w:rPr>
                <w:rFonts w:ascii="Times New Roman" w:eastAsia="Times New Roman" w:hAnsi="Times New Roman" w:cs="Times New Roman"/>
                <w:iCs/>
                <w:color w:val="000000" w:themeColor="text1"/>
                <w:sz w:val="24"/>
                <w:szCs w:val="24"/>
                <w:lang w:eastAsia="lv-LV"/>
              </w:rPr>
              <w:t xml:space="preserve">janvārī. </w:t>
            </w:r>
            <w:r w:rsidRPr="00C0234C">
              <w:rPr>
                <w:rFonts w:ascii="Times New Roman" w:eastAsia="Times New Roman" w:hAnsi="Times New Roman" w:cs="Times New Roman"/>
                <w:iCs/>
                <w:color w:val="000000" w:themeColor="text1"/>
                <w:sz w:val="24"/>
                <w:szCs w:val="24"/>
                <w:lang w:eastAsia="lv-LV"/>
              </w:rPr>
              <w:t xml:space="preserve">Noteikumu projektam jāstājas spēkā vienlaikus ar </w:t>
            </w:r>
            <w:r w:rsidR="00286B0F" w:rsidRPr="00286B0F">
              <w:rPr>
                <w:rFonts w:ascii="Times New Roman" w:eastAsia="Times New Roman" w:hAnsi="Times New Roman" w:cs="Times New Roman"/>
                <w:iCs/>
                <w:color w:val="000000" w:themeColor="text1"/>
                <w:sz w:val="24"/>
                <w:szCs w:val="24"/>
                <w:lang w:eastAsia="lv-LV"/>
              </w:rPr>
              <w:t>Latvijas Bankas 2024.</w:t>
            </w:r>
            <w:r w:rsidR="00286B0F">
              <w:rPr>
                <w:rFonts w:ascii="Times New Roman" w:eastAsia="Times New Roman" w:hAnsi="Times New Roman" w:cs="Times New Roman"/>
                <w:iCs/>
                <w:color w:val="000000" w:themeColor="text1"/>
                <w:sz w:val="24"/>
                <w:szCs w:val="24"/>
                <w:lang w:eastAsia="lv-LV"/>
              </w:rPr>
              <w:t> </w:t>
            </w:r>
            <w:r w:rsidR="00286B0F" w:rsidRPr="00286B0F">
              <w:rPr>
                <w:rFonts w:ascii="Times New Roman" w:eastAsia="Times New Roman" w:hAnsi="Times New Roman" w:cs="Times New Roman"/>
                <w:iCs/>
                <w:color w:val="000000" w:themeColor="text1"/>
                <w:sz w:val="24"/>
                <w:szCs w:val="24"/>
                <w:lang w:eastAsia="lv-LV"/>
              </w:rPr>
              <w:t>gada 14.</w:t>
            </w:r>
            <w:r w:rsidR="00286B0F">
              <w:rPr>
                <w:rFonts w:ascii="Times New Roman" w:eastAsia="Times New Roman" w:hAnsi="Times New Roman" w:cs="Times New Roman"/>
                <w:iCs/>
                <w:color w:val="000000" w:themeColor="text1"/>
                <w:sz w:val="24"/>
                <w:szCs w:val="24"/>
                <w:lang w:eastAsia="lv-LV"/>
              </w:rPr>
              <w:t> </w:t>
            </w:r>
            <w:r w:rsidR="00286B0F" w:rsidRPr="00286B0F">
              <w:rPr>
                <w:rFonts w:ascii="Times New Roman" w:eastAsia="Times New Roman" w:hAnsi="Times New Roman" w:cs="Times New Roman"/>
                <w:iCs/>
                <w:color w:val="000000" w:themeColor="text1"/>
                <w:sz w:val="24"/>
                <w:szCs w:val="24"/>
                <w:lang w:eastAsia="lv-LV"/>
              </w:rPr>
              <w:t>oktobra noteikumi</w:t>
            </w:r>
            <w:r w:rsidR="00286B0F">
              <w:rPr>
                <w:rFonts w:ascii="Times New Roman" w:eastAsia="Times New Roman" w:hAnsi="Times New Roman" w:cs="Times New Roman"/>
                <w:iCs/>
                <w:color w:val="000000" w:themeColor="text1"/>
                <w:sz w:val="24"/>
                <w:szCs w:val="24"/>
                <w:lang w:eastAsia="lv-LV"/>
              </w:rPr>
              <w:t>em</w:t>
            </w:r>
            <w:r w:rsidR="00286B0F" w:rsidRPr="00286B0F">
              <w:rPr>
                <w:rFonts w:ascii="Times New Roman" w:eastAsia="Times New Roman" w:hAnsi="Times New Roman" w:cs="Times New Roman"/>
                <w:iCs/>
                <w:color w:val="000000" w:themeColor="text1"/>
                <w:sz w:val="24"/>
                <w:szCs w:val="24"/>
                <w:lang w:eastAsia="lv-LV"/>
              </w:rPr>
              <w:t xml:space="preserve"> Nr.</w:t>
            </w:r>
            <w:r w:rsidR="00286B0F">
              <w:rPr>
                <w:rFonts w:ascii="Times New Roman" w:eastAsia="Times New Roman" w:hAnsi="Times New Roman" w:cs="Times New Roman"/>
                <w:iCs/>
                <w:color w:val="000000" w:themeColor="text1"/>
                <w:sz w:val="24"/>
                <w:szCs w:val="24"/>
                <w:lang w:eastAsia="lv-LV"/>
              </w:rPr>
              <w:t> </w:t>
            </w:r>
            <w:r w:rsidR="00286B0F" w:rsidRPr="00286B0F">
              <w:rPr>
                <w:rFonts w:ascii="Times New Roman" w:eastAsia="Times New Roman" w:hAnsi="Times New Roman" w:cs="Times New Roman"/>
                <w:iCs/>
                <w:color w:val="000000" w:themeColor="text1"/>
                <w:sz w:val="24"/>
                <w:szCs w:val="24"/>
                <w:lang w:eastAsia="lv-LV"/>
              </w:rPr>
              <w:t xml:space="preserve">323 </w:t>
            </w:r>
            <w:r w:rsidR="005541EE">
              <w:rPr>
                <w:rFonts w:ascii="Times New Roman" w:eastAsia="Times New Roman" w:hAnsi="Times New Roman" w:cs="Times New Roman"/>
                <w:iCs/>
                <w:color w:val="000000" w:themeColor="text1"/>
                <w:sz w:val="24"/>
                <w:szCs w:val="24"/>
                <w:lang w:eastAsia="lv-LV"/>
              </w:rPr>
              <w:t>"</w:t>
            </w:r>
            <w:r w:rsidR="00286B0F" w:rsidRPr="00286B0F">
              <w:rPr>
                <w:rFonts w:ascii="Times New Roman" w:eastAsia="Times New Roman" w:hAnsi="Times New Roman" w:cs="Times New Roman"/>
                <w:iCs/>
                <w:color w:val="000000" w:themeColor="text1"/>
                <w:sz w:val="24"/>
                <w:szCs w:val="24"/>
                <w:lang w:eastAsia="lv-LV"/>
              </w:rPr>
              <w:t>Noteikumi par ieguldījumu brokeru sabiedrību atalgojuma politiku un praksi</w:t>
            </w:r>
            <w:r w:rsidR="005541EE">
              <w:rPr>
                <w:rFonts w:ascii="Times New Roman" w:eastAsia="Times New Roman" w:hAnsi="Times New Roman" w:cs="Times New Roman"/>
                <w:iCs/>
                <w:color w:val="000000" w:themeColor="text1"/>
                <w:sz w:val="24"/>
                <w:szCs w:val="24"/>
                <w:lang w:eastAsia="lv-LV"/>
              </w:rPr>
              <w:t>"</w:t>
            </w:r>
            <w:r>
              <w:rPr>
                <w:rFonts w:ascii="Times New Roman" w:eastAsia="Times New Roman" w:hAnsi="Times New Roman" w:cs="Times New Roman"/>
                <w:iCs/>
                <w:color w:val="000000" w:themeColor="text1"/>
                <w:sz w:val="24"/>
                <w:szCs w:val="24"/>
                <w:lang w:eastAsia="lv-LV"/>
              </w:rPr>
              <w:t>.</w:t>
            </w:r>
          </w:p>
        </w:tc>
      </w:tr>
      <w:tr w:rsidR="00D63F50" w:rsidRPr="000B4E0A" w14:paraId="29A97663" w14:textId="77777777" w:rsidTr="005541EE">
        <w:trPr>
          <w:trHeight w:val="567"/>
        </w:trPr>
        <w:tc>
          <w:tcPr>
            <w:tcW w:w="1405" w:type="pct"/>
            <w:shd w:val="clear" w:color="auto" w:fill="auto"/>
            <w:hideMark/>
          </w:tcPr>
          <w:p w14:paraId="014B1A80" w14:textId="6860220B" w:rsidR="00D63F50" w:rsidRPr="00E253DA" w:rsidRDefault="00D63F50" w:rsidP="00B12E0F">
            <w:pPr>
              <w:spacing w:after="12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tc>
        <w:tc>
          <w:tcPr>
            <w:tcW w:w="3595" w:type="pct"/>
            <w:shd w:val="clear" w:color="auto" w:fill="auto"/>
          </w:tcPr>
          <w:p w14:paraId="3944460A" w14:textId="3E437B49" w:rsidR="00D63F50" w:rsidRPr="00CA0DE3" w:rsidRDefault="00D63F50" w:rsidP="00025C42">
            <w:pPr>
              <w:spacing w:after="120" w:line="240" w:lineRule="auto"/>
              <w:jc w:val="both"/>
              <w:rPr>
                <w:rFonts w:ascii="Times New Roman" w:eastAsia="Times New Roman" w:hAnsi="Times New Roman" w:cs="Times New Roman"/>
                <w:color w:val="000000" w:themeColor="text1"/>
                <w:sz w:val="24"/>
                <w:szCs w:val="24"/>
                <w:lang w:eastAsia="lv-LV"/>
              </w:rPr>
            </w:pPr>
            <w:r w:rsidRPr="00CA0DE3">
              <w:rPr>
                <w:rFonts w:ascii="Times New Roman" w:eastAsia="Times New Roman" w:hAnsi="Times New Roman" w:cs="Times New Roman"/>
                <w:color w:val="000000" w:themeColor="text1"/>
                <w:sz w:val="24"/>
                <w:szCs w:val="24"/>
                <w:lang w:eastAsia="lv-LV"/>
              </w:rPr>
              <w:t>Normatīvā akta izdošana neietekmēs Latvijas Bankas budžeta ieņēmumus un izdevumus</w:t>
            </w:r>
            <w:r w:rsidR="00D40E90">
              <w:rPr>
                <w:rFonts w:ascii="Times New Roman" w:eastAsia="Times New Roman" w:hAnsi="Times New Roman" w:cs="Times New Roman"/>
                <w:color w:val="000000" w:themeColor="text1"/>
                <w:sz w:val="24"/>
                <w:szCs w:val="24"/>
                <w:lang w:eastAsia="lv-LV"/>
              </w:rPr>
              <w:t>.</w:t>
            </w:r>
          </w:p>
        </w:tc>
      </w:tr>
      <w:tr w:rsidR="00D63F50" w:rsidRPr="000B4E0A" w14:paraId="74F122AB" w14:textId="77777777" w:rsidTr="005541EE">
        <w:trPr>
          <w:trHeight w:val="567"/>
        </w:trPr>
        <w:tc>
          <w:tcPr>
            <w:tcW w:w="1405" w:type="pct"/>
            <w:shd w:val="clear" w:color="auto" w:fill="auto"/>
            <w:hideMark/>
          </w:tcPr>
          <w:p w14:paraId="50B93F09" w14:textId="77777777" w:rsidR="00D63F50" w:rsidRPr="00E253DA" w:rsidRDefault="00D63F50" w:rsidP="00025C42">
            <w:pPr>
              <w:spacing w:after="12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Administratīvā sloga un izmaksu novērtējums (tirgus dalībniekiem)</w:t>
            </w:r>
          </w:p>
          <w:p w14:paraId="652F8FE6" w14:textId="1904302F" w:rsidR="00D63F50" w:rsidRPr="00E253DA" w:rsidRDefault="00D63F50" w:rsidP="00025C42">
            <w:pPr>
              <w:spacing w:after="12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6CB065E2" w14:textId="3FED41C4" w:rsidR="00D63F50" w:rsidRPr="00282AB0" w:rsidRDefault="00D63F50" w:rsidP="00025C42">
            <w:pPr>
              <w:spacing w:after="120" w:line="240" w:lineRule="auto"/>
              <w:jc w:val="both"/>
              <w:rPr>
                <w:rFonts w:ascii="Times New Roman" w:eastAsia="Times New Roman" w:hAnsi="Times New Roman" w:cs="Times New Roman"/>
                <w:color w:val="000000" w:themeColor="text1"/>
                <w:sz w:val="24"/>
                <w:szCs w:val="24"/>
                <w:lang w:eastAsia="lv-LV"/>
              </w:rPr>
            </w:pPr>
            <w:r w:rsidRPr="00D40E90">
              <w:rPr>
                <w:rFonts w:ascii="Times New Roman" w:eastAsia="Times New Roman" w:hAnsi="Times New Roman" w:cs="Times New Roman"/>
                <w:color w:val="000000" w:themeColor="text1"/>
                <w:sz w:val="24"/>
                <w:szCs w:val="24"/>
                <w:lang w:eastAsia="lv-LV"/>
              </w:rPr>
              <w:t>Noteikumu projektā ietverto prasību izdošana jaunā redakcijā</w:t>
            </w:r>
            <w:r w:rsidR="00705518">
              <w:rPr>
                <w:rFonts w:ascii="Times New Roman" w:eastAsia="Times New Roman" w:hAnsi="Times New Roman" w:cs="Times New Roman"/>
                <w:color w:val="000000" w:themeColor="text1"/>
                <w:sz w:val="24"/>
                <w:szCs w:val="24"/>
                <w:lang w:eastAsia="lv-LV"/>
              </w:rPr>
              <w:t xml:space="preserve"> </w:t>
            </w:r>
            <w:r w:rsidR="00662FED">
              <w:rPr>
                <w:rFonts w:ascii="Times New Roman" w:eastAsia="Times New Roman" w:hAnsi="Times New Roman" w:cs="Times New Roman"/>
                <w:color w:val="000000" w:themeColor="text1"/>
                <w:sz w:val="24"/>
                <w:szCs w:val="24"/>
                <w:lang w:eastAsia="lv-LV"/>
              </w:rPr>
              <w:t xml:space="preserve">sabiedrībām </w:t>
            </w:r>
            <w:r w:rsidRPr="00D40E90">
              <w:rPr>
                <w:rFonts w:ascii="Times New Roman" w:eastAsia="Times New Roman" w:hAnsi="Times New Roman" w:cs="Times New Roman"/>
                <w:color w:val="000000" w:themeColor="text1"/>
                <w:sz w:val="24"/>
                <w:szCs w:val="24"/>
                <w:lang w:eastAsia="lv-LV"/>
              </w:rPr>
              <w:t>nerada papildu administratīvo slogu</w:t>
            </w:r>
            <w:r w:rsidR="00282AB0">
              <w:rPr>
                <w:rFonts w:ascii="Times New Roman" w:eastAsia="Times New Roman" w:hAnsi="Times New Roman" w:cs="Times New Roman"/>
                <w:color w:val="000000" w:themeColor="text1"/>
                <w:sz w:val="24"/>
                <w:szCs w:val="24"/>
                <w:lang w:eastAsia="lv-LV"/>
              </w:rPr>
              <w:t xml:space="preserve">. </w:t>
            </w:r>
            <w:r w:rsidR="00282AB0" w:rsidRPr="00282AB0">
              <w:rPr>
                <w:rFonts w:ascii="Times New Roman" w:eastAsia="Times New Roman" w:hAnsi="Times New Roman" w:cs="Times New Roman"/>
                <w:color w:val="000000" w:themeColor="text1"/>
                <w:sz w:val="24"/>
                <w:szCs w:val="24"/>
                <w:lang w:eastAsia="lv-LV"/>
              </w:rPr>
              <w:t>Kopumā noteikumu projekts neparedz būtiskas izmaiņas</w:t>
            </w:r>
            <w:r w:rsidR="00282AB0">
              <w:rPr>
                <w:rFonts w:ascii="Times New Roman" w:eastAsia="Times New Roman" w:hAnsi="Times New Roman" w:cs="Times New Roman"/>
                <w:color w:val="000000" w:themeColor="text1"/>
                <w:sz w:val="24"/>
                <w:szCs w:val="24"/>
                <w:lang w:eastAsia="lv-LV"/>
              </w:rPr>
              <w:t xml:space="preserve"> un tā izdošana jaunā redakcijā, kā arī tajā </w:t>
            </w:r>
            <w:r w:rsidR="00282AB0" w:rsidRPr="00282AB0">
              <w:rPr>
                <w:rFonts w:ascii="Times New Roman" w:eastAsia="Times New Roman" w:hAnsi="Times New Roman" w:cs="Times New Roman"/>
                <w:color w:val="000000" w:themeColor="text1"/>
                <w:sz w:val="24"/>
                <w:szCs w:val="24"/>
                <w:lang w:eastAsia="lv-LV"/>
              </w:rPr>
              <w:t xml:space="preserve">ietvertās prasības saistībā ar </w:t>
            </w:r>
            <w:r w:rsidR="00282AB0">
              <w:rPr>
                <w:rFonts w:ascii="Times New Roman" w:eastAsia="Times New Roman" w:hAnsi="Times New Roman" w:cs="Times New Roman"/>
                <w:color w:val="000000" w:themeColor="text1"/>
                <w:sz w:val="24"/>
                <w:szCs w:val="24"/>
                <w:lang w:eastAsia="lv-LV"/>
              </w:rPr>
              <w:t xml:space="preserve">ierobežojumu mazināšanu organizatoriskās struktūras veidošanai un </w:t>
            </w:r>
            <w:r w:rsidR="00282AB0" w:rsidRPr="00282AB0">
              <w:rPr>
                <w:rFonts w:ascii="Times New Roman" w:eastAsia="Times New Roman" w:hAnsi="Times New Roman" w:cs="Times New Roman"/>
                <w:color w:val="000000" w:themeColor="text1"/>
                <w:sz w:val="24"/>
                <w:szCs w:val="24"/>
                <w:lang w:eastAsia="lv-LV"/>
              </w:rPr>
              <w:t xml:space="preserve">pārmaiņām iekšējos procesos, </w:t>
            </w:r>
            <w:r w:rsidR="00282AB0">
              <w:rPr>
                <w:rFonts w:ascii="Times New Roman" w:eastAsia="Times New Roman" w:hAnsi="Times New Roman" w:cs="Times New Roman"/>
                <w:color w:val="000000" w:themeColor="text1"/>
                <w:sz w:val="24"/>
                <w:szCs w:val="24"/>
                <w:lang w:eastAsia="lv-LV"/>
              </w:rPr>
              <w:t>ne</w:t>
            </w:r>
            <w:r w:rsidR="00282AB0" w:rsidRPr="00282AB0">
              <w:rPr>
                <w:rFonts w:ascii="Times New Roman" w:eastAsia="Times New Roman" w:hAnsi="Times New Roman" w:cs="Times New Roman"/>
                <w:color w:val="000000" w:themeColor="text1"/>
                <w:sz w:val="24"/>
                <w:szCs w:val="24"/>
                <w:lang w:eastAsia="lv-LV"/>
              </w:rPr>
              <w:t xml:space="preserve">radīs </w:t>
            </w:r>
            <w:r w:rsidR="00687634">
              <w:rPr>
                <w:rFonts w:ascii="Times New Roman" w:eastAsia="Times New Roman" w:hAnsi="Times New Roman" w:cs="Times New Roman"/>
                <w:color w:val="000000" w:themeColor="text1"/>
                <w:sz w:val="24"/>
                <w:szCs w:val="24"/>
                <w:lang w:eastAsia="lv-LV"/>
              </w:rPr>
              <w:t xml:space="preserve">būtisku </w:t>
            </w:r>
            <w:r w:rsidR="00B06FC7">
              <w:rPr>
                <w:rFonts w:ascii="Times New Roman" w:eastAsia="Times New Roman" w:hAnsi="Times New Roman" w:cs="Times New Roman"/>
                <w:color w:val="000000" w:themeColor="text1"/>
                <w:sz w:val="24"/>
                <w:szCs w:val="24"/>
                <w:lang w:eastAsia="lv-LV"/>
              </w:rPr>
              <w:t>jaunu</w:t>
            </w:r>
            <w:r w:rsidR="00282AB0" w:rsidRPr="00282AB0">
              <w:rPr>
                <w:rFonts w:ascii="Times New Roman" w:eastAsia="Times New Roman" w:hAnsi="Times New Roman" w:cs="Times New Roman"/>
                <w:color w:val="000000" w:themeColor="text1"/>
                <w:sz w:val="24"/>
                <w:szCs w:val="24"/>
                <w:lang w:eastAsia="lv-LV"/>
              </w:rPr>
              <w:t xml:space="preserve"> administratīvo slogu un izmaksas</w:t>
            </w:r>
            <w:r w:rsidR="00282AB0">
              <w:rPr>
                <w:rFonts w:ascii="Times New Roman" w:eastAsia="Times New Roman" w:hAnsi="Times New Roman" w:cs="Times New Roman"/>
                <w:color w:val="000000" w:themeColor="text1"/>
                <w:sz w:val="24"/>
                <w:szCs w:val="24"/>
                <w:lang w:eastAsia="lv-LV"/>
              </w:rPr>
              <w:t xml:space="preserve"> </w:t>
            </w:r>
            <w:r w:rsidR="00282AB0" w:rsidRPr="00282AB0">
              <w:rPr>
                <w:rFonts w:ascii="Times New Roman" w:eastAsia="Times New Roman" w:hAnsi="Times New Roman" w:cs="Times New Roman"/>
                <w:color w:val="000000" w:themeColor="text1"/>
                <w:sz w:val="24"/>
                <w:szCs w:val="24"/>
                <w:lang w:eastAsia="lv-LV"/>
              </w:rPr>
              <w:t>finanšu tirgus dalībniekiem, uz kuriem ir attiecināmas noteikumu projekta prasības.</w:t>
            </w:r>
          </w:p>
        </w:tc>
      </w:tr>
      <w:tr w:rsidR="00D63F50" w:rsidRPr="000B4E0A" w14:paraId="5E6D0405" w14:textId="77777777" w:rsidTr="005541EE">
        <w:trPr>
          <w:trHeight w:val="567"/>
        </w:trPr>
        <w:tc>
          <w:tcPr>
            <w:tcW w:w="1405" w:type="pct"/>
            <w:shd w:val="clear" w:color="auto" w:fill="auto"/>
            <w:hideMark/>
          </w:tcPr>
          <w:p w14:paraId="2F4E3287" w14:textId="77777777" w:rsidR="00D63F50" w:rsidRPr="00E253DA" w:rsidRDefault="00D63F50" w:rsidP="00025C42">
            <w:pPr>
              <w:spacing w:after="12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378C981E" w14:textId="6DB40C71" w:rsidR="00D63F50" w:rsidRPr="00E253DA" w:rsidRDefault="00D63F50" w:rsidP="00025C42">
            <w:pPr>
              <w:spacing w:after="12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5BABB73F" w14:textId="373019D4" w:rsidR="00BB7921" w:rsidRPr="008A4147" w:rsidRDefault="00BB7921" w:rsidP="00025C42">
            <w:pPr>
              <w:spacing w:after="120" w:line="240" w:lineRule="auto"/>
              <w:jc w:val="both"/>
              <w:rPr>
                <w:rFonts w:ascii="Times New Roman" w:eastAsia="Times New Roman" w:hAnsi="Times New Roman" w:cs="Times New Roman"/>
                <w:sz w:val="24"/>
                <w:szCs w:val="24"/>
                <w:lang w:eastAsia="lv-LV"/>
              </w:rPr>
            </w:pPr>
            <w:r w:rsidRPr="008A4147">
              <w:rPr>
                <w:rFonts w:ascii="Times New Roman" w:eastAsia="Times New Roman" w:hAnsi="Times New Roman" w:cs="Times New Roman"/>
                <w:sz w:val="24"/>
                <w:szCs w:val="24"/>
                <w:lang w:eastAsia="lv-LV"/>
              </w:rPr>
              <w:t>Ar noteikumu projektu saistītie dokumenti:</w:t>
            </w:r>
          </w:p>
          <w:p w14:paraId="00E47C41" w14:textId="245C0861" w:rsidR="000E5BFC" w:rsidRPr="008A4147" w:rsidRDefault="000E5BFC" w:rsidP="00025C42">
            <w:pPr>
              <w:spacing w:after="120" w:line="240" w:lineRule="auto"/>
              <w:jc w:val="both"/>
              <w:rPr>
                <w:rFonts w:ascii="Times New Roman" w:eastAsia="Times New Roman" w:hAnsi="Times New Roman" w:cs="Times New Roman"/>
                <w:sz w:val="24"/>
                <w:szCs w:val="24"/>
                <w:lang w:eastAsia="lv-LV"/>
              </w:rPr>
            </w:pPr>
            <w:r w:rsidRPr="008A4147">
              <w:rPr>
                <w:rFonts w:ascii="Times New Roman" w:eastAsia="Times New Roman" w:hAnsi="Times New Roman" w:cs="Times New Roman"/>
                <w:sz w:val="24"/>
                <w:szCs w:val="24"/>
                <w:lang w:eastAsia="lv-LV"/>
              </w:rPr>
              <w:t>1) Ieguldījumu brokeru sabiedrību likums;</w:t>
            </w:r>
          </w:p>
          <w:p w14:paraId="7D492A49" w14:textId="77777777" w:rsidR="007F1075" w:rsidRPr="008A4147" w:rsidRDefault="000E5BFC" w:rsidP="00025C42">
            <w:pPr>
              <w:spacing w:after="120" w:line="240" w:lineRule="auto"/>
              <w:jc w:val="both"/>
              <w:rPr>
                <w:rFonts w:ascii="Times New Roman" w:eastAsia="Times New Roman" w:hAnsi="Times New Roman" w:cs="Times New Roman"/>
                <w:sz w:val="24"/>
                <w:szCs w:val="24"/>
                <w:lang w:eastAsia="lv-LV"/>
              </w:rPr>
            </w:pPr>
            <w:r w:rsidRPr="008A4147">
              <w:rPr>
                <w:rFonts w:ascii="Times New Roman" w:eastAsia="Times New Roman" w:hAnsi="Times New Roman" w:cs="Times New Roman"/>
                <w:sz w:val="24"/>
                <w:szCs w:val="24"/>
                <w:lang w:eastAsia="lv-LV"/>
              </w:rPr>
              <w:t>2) Finanšu instrumentu tirgus likums;</w:t>
            </w:r>
          </w:p>
          <w:p w14:paraId="1D510D13" w14:textId="21E43103" w:rsidR="0045371F" w:rsidRPr="008A4147" w:rsidRDefault="007F1075" w:rsidP="00025C42">
            <w:pPr>
              <w:spacing w:after="120" w:line="240" w:lineRule="auto"/>
              <w:jc w:val="both"/>
              <w:rPr>
                <w:rFonts w:ascii="Times New Roman" w:eastAsia="Times New Roman" w:hAnsi="Times New Roman" w:cs="Times New Roman"/>
                <w:sz w:val="24"/>
                <w:szCs w:val="24"/>
                <w:lang w:eastAsia="lv-LV"/>
              </w:rPr>
            </w:pPr>
            <w:r w:rsidRPr="008A4147">
              <w:rPr>
                <w:rFonts w:ascii="Times New Roman" w:eastAsia="Times New Roman" w:hAnsi="Times New Roman" w:cs="Times New Roman"/>
                <w:sz w:val="24"/>
                <w:szCs w:val="24"/>
                <w:lang w:eastAsia="lv-LV"/>
              </w:rPr>
              <w:t>3) Noziedzīgi iegūtu līdzekļu legalizācijas un terorisma un proliferācijas finansēšanas novēršanas likums;</w:t>
            </w:r>
          </w:p>
          <w:p w14:paraId="4B27E9BE" w14:textId="4A14F452" w:rsidR="007F1075" w:rsidRPr="008A4147" w:rsidRDefault="007F1075" w:rsidP="00025C42">
            <w:pPr>
              <w:spacing w:after="120" w:line="240" w:lineRule="auto"/>
              <w:jc w:val="both"/>
              <w:rPr>
                <w:rFonts w:ascii="Times New Roman" w:eastAsia="Times New Roman" w:hAnsi="Times New Roman" w:cs="Times New Roman"/>
                <w:sz w:val="24"/>
                <w:szCs w:val="24"/>
                <w:lang w:eastAsia="lv-LV"/>
              </w:rPr>
            </w:pPr>
            <w:r w:rsidRPr="008A4147">
              <w:rPr>
                <w:rFonts w:ascii="Times New Roman" w:eastAsia="Times New Roman" w:hAnsi="Times New Roman" w:cs="Times New Roman"/>
                <w:sz w:val="24"/>
                <w:szCs w:val="24"/>
                <w:lang w:eastAsia="lv-LV"/>
              </w:rPr>
              <w:t>4) Starptautisko un Latvijas Republikas nacionālo sankciju likums;</w:t>
            </w:r>
          </w:p>
          <w:p w14:paraId="3561ACA1" w14:textId="1C5078DE" w:rsidR="00394095" w:rsidRPr="008A4147" w:rsidRDefault="007F1075" w:rsidP="00025C42">
            <w:pPr>
              <w:spacing w:after="120" w:line="240" w:lineRule="auto"/>
              <w:jc w:val="both"/>
              <w:rPr>
                <w:rFonts w:ascii="Times New Roman" w:eastAsia="Times New Roman" w:hAnsi="Times New Roman" w:cs="Times New Roman"/>
                <w:sz w:val="24"/>
                <w:szCs w:val="24"/>
                <w:lang w:eastAsia="lv-LV"/>
              </w:rPr>
            </w:pPr>
            <w:r w:rsidRPr="008A4147">
              <w:rPr>
                <w:rFonts w:ascii="Times New Roman" w:eastAsia="Times New Roman" w:hAnsi="Times New Roman" w:cs="Times New Roman"/>
                <w:sz w:val="24"/>
                <w:szCs w:val="24"/>
                <w:lang w:eastAsia="lv-LV"/>
              </w:rPr>
              <w:t>5</w:t>
            </w:r>
            <w:r w:rsidR="00394095" w:rsidRPr="008A4147">
              <w:rPr>
                <w:rFonts w:ascii="Times New Roman" w:eastAsia="Times New Roman" w:hAnsi="Times New Roman" w:cs="Times New Roman"/>
                <w:sz w:val="24"/>
                <w:szCs w:val="24"/>
                <w:lang w:eastAsia="lv-LV"/>
              </w:rPr>
              <w:t xml:space="preserve">) </w:t>
            </w:r>
            <w:bookmarkStart w:id="1" w:name="_Hlk169277661"/>
            <w:r w:rsidR="00394095" w:rsidRPr="008A4147">
              <w:rPr>
                <w:rFonts w:ascii="Times New Roman" w:eastAsia="Times New Roman" w:hAnsi="Times New Roman" w:cs="Times New Roman"/>
                <w:sz w:val="24"/>
                <w:szCs w:val="24"/>
                <w:lang w:eastAsia="lv-LV"/>
              </w:rPr>
              <w:t>Eiropas Parlamenta un Padomes 2019.</w:t>
            </w:r>
            <w:r w:rsidR="00025C42" w:rsidRPr="008A4147">
              <w:rPr>
                <w:rFonts w:ascii="Times New Roman" w:eastAsia="Times New Roman" w:hAnsi="Times New Roman" w:cs="Times New Roman"/>
                <w:sz w:val="24"/>
                <w:szCs w:val="24"/>
                <w:lang w:eastAsia="lv-LV"/>
              </w:rPr>
              <w:t> </w:t>
            </w:r>
            <w:r w:rsidR="00394095" w:rsidRPr="008A4147">
              <w:rPr>
                <w:rFonts w:ascii="Times New Roman" w:eastAsia="Times New Roman" w:hAnsi="Times New Roman" w:cs="Times New Roman"/>
                <w:sz w:val="24"/>
                <w:szCs w:val="24"/>
                <w:lang w:eastAsia="lv-LV"/>
              </w:rPr>
              <w:t>gada 27.</w:t>
            </w:r>
            <w:r w:rsidR="00025C42" w:rsidRPr="008A4147">
              <w:rPr>
                <w:rFonts w:ascii="Times New Roman" w:eastAsia="Times New Roman" w:hAnsi="Times New Roman" w:cs="Times New Roman"/>
                <w:sz w:val="24"/>
                <w:szCs w:val="24"/>
                <w:lang w:eastAsia="lv-LV"/>
              </w:rPr>
              <w:t> </w:t>
            </w:r>
            <w:r w:rsidR="00394095" w:rsidRPr="008A4147">
              <w:rPr>
                <w:rFonts w:ascii="Times New Roman" w:eastAsia="Times New Roman" w:hAnsi="Times New Roman" w:cs="Times New Roman"/>
                <w:sz w:val="24"/>
                <w:szCs w:val="24"/>
                <w:lang w:eastAsia="lv-LV"/>
              </w:rPr>
              <w:t xml:space="preserve">novembra </w:t>
            </w:r>
            <w:r w:rsidR="0098150E" w:rsidRPr="008A4147">
              <w:rPr>
                <w:rFonts w:ascii="Times New Roman" w:eastAsia="Times New Roman" w:hAnsi="Times New Roman" w:cs="Times New Roman"/>
                <w:sz w:val="24"/>
                <w:szCs w:val="24"/>
                <w:lang w:eastAsia="lv-LV"/>
              </w:rPr>
              <w:t>d</w:t>
            </w:r>
            <w:r w:rsidR="00394095" w:rsidRPr="008A4147">
              <w:rPr>
                <w:rFonts w:ascii="Times New Roman" w:eastAsia="Times New Roman" w:hAnsi="Times New Roman" w:cs="Times New Roman"/>
                <w:sz w:val="24"/>
                <w:szCs w:val="24"/>
                <w:lang w:eastAsia="lv-LV"/>
              </w:rPr>
              <w:t>irektīva (ES) Nr.</w:t>
            </w:r>
            <w:r w:rsidR="00025C42" w:rsidRPr="008A4147">
              <w:rPr>
                <w:rFonts w:ascii="Times New Roman" w:eastAsia="Times New Roman" w:hAnsi="Times New Roman" w:cs="Times New Roman"/>
                <w:sz w:val="24"/>
                <w:szCs w:val="24"/>
                <w:lang w:eastAsia="lv-LV"/>
              </w:rPr>
              <w:t> </w:t>
            </w:r>
            <w:r w:rsidR="00394095" w:rsidRPr="008A4147">
              <w:rPr>
                <w:rFonts w:ascii="Times New Roman" w:eastAsia="Times New Roman" w:hAnsi="Times New Roman" w:cs="Times New Roman"/>
                <w:sz w:val="24"/>
                <w:szCs w:val="24"/>
                <w:lang w:eastAsia="lv-LV"/>
              </w:rPr>
              <w:t xml:space="preserve">2019/2034 par ieguldījumu brokeru sabiedrību prudenciālo uzraudzību un ar ko groza </w:t>
            </w:r>
            <w:r w:rsidR="0098150E" w:rsidRPr="008A4147">
              <w:rPr>
                <w:rFonts w:ascii="Times New Roman" w:eastAsia="Times New Roman" w:hAnsi="Times New Roman" w:cs="Times New Roman"/>
                <w:sz w:val="24"/>
                <w:szCs w:val="24"/>
                <w:lang w:eastAsia="lv-LV"/>
              </w:rPr>
              <w:t>d</w:t>
            </w:r>
            <w:r w:rsidR="00394095" w:rsidRPr="008A4147">
              <w:rPr>
                <w:rFonts w:ascii="Times New Roman" w:eastAsia="Times New Roman" w:hAnsi="Times New Roman" w:cs="Times New Roman"/>
                <w:sz w:val="24"/>
                <w:szCs w:val="24"/>
                <w:lang w:eastAsia="lv-LV"/>
              </w:rPr>
              <w:t>irektīvas</w:t>
            </w:r>
            <w:r w:rsidR="008A4147" w:rsidRPr="008A4147">
              <w:rPr>
                <w:rFonts w:ascii="Times New Roman" w:eastAsia="Times New Roman" w:hAnsi="Times New Roman" w:cs="Times New Roman"/>
                <w:sz w:val="24"/>
                <w:szCs w:val="24"/>
                <w:lang w:eastAsia="lv-LV"/>
              </w:rPr>
              <w:t> </w:t>
            </w:r>
            <w:r w:rsidR="00394095" w:rsidRPr="008A4147">
              <w:rPr>
                <w:rFonts w:ascii="Times New Roman" w:eastAsia="Times New Roman" w:hAnsi="Times New Roman" w:cs="Times New Roman"/>
                <w:sz w:val="24"/>
                <w:szCs w:val="24"/>
                <w:lang w:eastAsia="lv-LV"/>
              </w:rPr>
              <w:t>2002/87/EK, 2009/65/EK, 2011/61/ES, 2013/36/ES, 2014/59/ES un 2014/65/ES;</w:t>
            </w:r>
          </w:p>
          <w:bookmarkEnd w:id="1"/>
          <w:p w14:paraId="5DB49072" w14:textId="50941BD7" w:rsidR="00394095" w:rsidRPr="008A4147" w:rsidRDefault="007F1075" w:rsidP="00025C42">
            <w:pPr>
              <w:spacing w:after="120" w:line="240" w:lineRule="auto"/>
              <w:jc w:val="both"/>
              <w:rPr>
                <w:rFonts w:ascii="Times New Roman" w:eastAsia="Times New Roman" w:hAnsi="Times New Roman" w:cs="Times New Roman"/>
                <w:sz w:val="24"/>
                <w:szCs w:val="24"/>
                <w:lang w:eastAsia="lv-LV"/>
              </w:rPr>
            </w:pPr>
            <w:r w:rsidRPr="008A4147">
              <w:rPr>
                <w:rFonts w:ascii="Times New Roman" w:eastAsia="Times New Roman" w:hAnsi="Times New Roman" w:cs="Times New Roman"/>
                <w:sz w:val="24"/>
                <w:szCs w:val="24"/>
                <w:lang w:eastAsia="lv-LV"/>
              </w:rPr>
              <w:t>6</w:t>
            </w:r>
            <w:r w:rsidR="001A112D" w:rsidRPr="008A4147">
              <w:rPr>
                <w:rFonts w:ascii="Times New Roman" w:eastAsia="Times New Roman" w:hAnsi="Times New Roman" w:cs="Times New Roman"/>
                <w:sz w:val="24"/>
                <w:szCs w:val="24"/>
                <w:lang w:eastAsia="lv-LV"/>
              </w:rPr>
              <w:t xml:space="preserve">) </w:t>
            </w:r>
            <w:r w:rsidR="00394095" w:rsidRPr="008A4147">
              <w:rPr>
                <w:rFonts w:ascii="Times New Roman" w:eastAsia="Times New Roman" w:hAnsi="Times New Roman" w:cs="Times New Roman"/>
                <w:sz w:val="24"/>
                <w:szCs w:val="24"/>
                <w:lang w:eastAsia="lv-LV"/>
              </w:rPr>
              <w:t>Eiropas Parlamenta un Padomes 2013.</w:t>
            </w:r>
            <w:r w:rsidR="00025C42" w:rsidRPr="008A4147">
              <w:rPr>
                <w:rFonts w:ascii="Times New Roman" w:eastAsia="Times New Roman" w:hAnsi="Times New Roman" w:cs="Times New Roman"/>
                <w:sz w:val="24"/>
                <w:szCs w:val="24"/>
                <w:lang w:eastAsia="lv-LV"/>
              </w:rPr>
              <w:t> </w:t>
            </w:r>
            <w:r w:rsidR="00394095" w:rsidRPr="008A4147">
              <w:rPr>
                <w:rFonts w:ascii="Times New Roman" w:eastAsia="Times New Roman" w:hAnsi="Times New Roman" w:cs="Times New Roman"/>
                <w:sz w:val="24"/>
                <w:szCs w:val="24"/>
                <w:lang w:eastAsia="lv-LV"/>
              </w:rPr>
              <w:t>gada 26.</w:t>
            </w:r>
            <w:r w:rsidR="00025C42" w:rsidRPr="008A4147">
              <w:rPr>
                <w:rFonts w:ascii="Times New Roman" w:eastAsia="Times New Roman" w:hAnsi="Times New Roman" w:cs="Times New Roman"/>
                <w:sz w:val="24"/>
                <w:szCs w:val="24"/>
                <w:lang w:eastAsia="lv-LV"/>
              </w:rPr>
              <w:t> </w:t>
            </w:r>
            <w:r w:rsidR="00394095" w:rsidRPr="008A4147">
              <w:rPr>
                <w:rFonts w:ascii="Times New Roman" w:eastAsia="Times New Roman" w:hAnsi="Times New Roman" w:cs="Times New Roman"/>
                <w:sz w:val="24"/>
                <w:szCs w:val="24"/>
                <w:lang w:eastAsia="lv-LV"/>
              </w:rPr>
              <w:t xml:space="preserve">jūnija </w:t>
            </w:r>
            <w:r w:rsidR="0098150E" w:rsidRPr="008A4147">
              <w:rPr>
                <w:rFonts w:ascii="Times New Roman" w:eastAsia="Times New Roman" w:hAnsi="Times New Roman" w:cs="Times New Roman"/>
                <w:sz w:val="24"/>
                <w:szCs w:val="24"/>
                <w:lang w:eastAsia="lv-LV"/>
              </w:rPr>
              <w:t>d</w:t>
            </w:r>
            <w:r w:rsidR="00394095" w:rsidRPr="008A4147">
              <w:rPr>
                <w:rFonts w:ascii="Times New Roman" w:eastAsia="Times New Roman" w:hAnsi="Times New Roman" w:cs="Times New Roman"/>
                <w:sz w:val="24"/>
                <w:szCs w:val="24"/>
                <w:lang w:eastAsia="lv-LV"/>
              </w:rPr>
              <w:t>irektīva Nr.</w:t>
            </w:r>
            <w:r w:rsidR="00025C42" w:rsidRPr="008A4147">
              <w:rPr>
                <w:rFonts w:ascii="Times New Roman" w:eastAsia="Times New Roman" w:hAnsi="Times New Roman" w:cs="Times New Roman"/>
                <w:sz w:val="24"/>
                <w:szCs w:val="24"/>
                <w:lang w:eastAsia="lv-LV"/>
              </w:rPr>
              <w:t> </w:t>
            </w:r>
            <w:r w:rsidR="00394095" w:rsidRPr="008A4147">
              <w:rPr>
                <w:rFonts w:ascii="Times New Roman" w:eastAsia="Times New Roman" w:hAnsi="Times New Roman" w:cs="Times New Roman"/>
                <w:sz w:val="24"/>
                <w:szCs w:val="24"/>
                <w:lang w:eastAsia="lv-LV"/>
              </w:rPr>
              <w:t xml:space="preserve">2013/36/ES par piekļuvi kredītiestāžu darbībai un kredītiestāžu prudenciālo uzraudzību, ar ko groza </w:t>
            </w:r>
            <w:r w:rsidR="0098150E" w:rsidRPr="008A4147">
              <w:rPr>
                <w:rFonts w:ascii="Times New Roman" w:eastAsia="Times New Roman" w:hAnsi="Times New Roman" w:cs="Times New Roman"/>
                <w:sz w:val="24"/>
                <w:szCs w:val="24"/>
                <w:lang w:eastAsia="lv-LV"/>
              </w:rPr>
              <w:t>d</w:t>
            </w:r>
            <w:r w:rsidR="00394095" w:rsidRPr="008A4147">
              <w:rPr>
                <w:rFonts w:ascii="Times New Roman" w:eastAsia="Times New Roman" w:hAnsi="Times New Roman" w:cs="Times New Roman"/>
                <w:sz w:val="24"/>
                <w:szCs w:val="24"/>
                <w:lang w:eastAsia="lv-LV"/>
              </w:rPr>
              <w:t>irektīvu</w:t>
            </w:r>
            <w:r w:rsidR="008A4147" w:rsidRPr="008A4147">
              <w:rPr>
                <w:rFonts w:ascii="Times New Roman" w:eastAsia="Times New Roman" w:hAnsi="Times New Roman" w:cs="Times New Roman"/>
                <w:sz w:val="24"/>
                <w:szCs w:val="24"/>
                <w:lang w:eastAsia="lv-LV"/>
              </w:rPr>
              <w:t> </w:t>
            </w:r>
            <w:r w:rsidR="00394095" w:rsidRPr="008A4147">
              <w:rPr>
                <w:rFonts w:ascii="Times New Roman" w:eastAsia="Times New Roman" w:hAnsi="Times New Roman" w:cs="Times New Roman"/>
                <w:sz w:val="24"/>
                <w:szCs w:val="24"/>
                <w:lang w:eastAsia="lv-LV"/>
              </w:rPr>
              <w:t xml:space="preserve">2002/87/EK un atceļ </w:t>
            </w:r>
            <w:r w:rsidR="0098150E" w:rsidRPr="008A4147">
              <w:rPr>
                <w:rFonts w:ascii="Times New Roman" w:eastAsia="Times New Roman" w:hAnsi="Times New Roman" w:cs="Times New Roman"/>
                <w:sz w:val="24"/>
                <w:szCs w:val="24"/>
                <w:lang w:eastAsia="lv-LV"/>
              </w:rPr>
              <w:t>d</w:t>
            </w:r>
            <w:r w:rsidR="00394095" w:rsidRPr="008A4147">
              <w:rPr>
                <w:rFonts w:ascii="Times New Roman" w:eastAsia="Times New Roman" w:hAnsi="Times New Roman" w:cs="Times New Roman"/>
                <w:sz w:val="24"/>
                <w:szCs w:val="24"/>
                <w:lang w:eastAsia="lv-LV"/>
              </w:rPr>
              <w:t>irektīvas</w:t>
            </w:r>
            <w:r w:rsidR="008A4147" w:rsidRPr="008A4147">
              <w:rPr>
                <w:rFonts w:ascii="Times New Roman" w:eastAsia="Times New Roman" w:hAnsi="Times New Roman" w:cs="Times New Roman"/>
                <w:sz w:val="24"/>
                <w:szCs w:val="24"/>
                <w:lang w:eastAsia="lv-LV"/>
              </w:rPr>
              <w:t> </w:t>
            </w:r>
            <w:r w:rsidR="00394095" w:rsidRPr="008A4147">
              <w:rPr>
                <w:rFonts w:ascii="Times New Roman" w:eastAsia="Times New Roman" w:hAnsi="Times New Roman" w:cs="Times New Roman"/>
                <w:sz w:val="24"/>
                <w:szCs w:val="24"/>
                <w:lang w:eastAsia="lv-LV"/>
              </w:rPr>
              <w:t>2006/48/EK un 2006/49/EK;</w:t>
            </w:r>
          </w:p>
          <w:p w14:paraId="240F3359" w14:textId="09D47EC9" w:rsidR="00394095" w:rsidRPr="008A4147" w:rsidRDefault="007F1075" w:rsidP="00025C42">
            <w:pPr>
              <w:spacing w:after="120" w:line="240" w:lineRule="auto"/>
              <w:jc w:val="both"/>
              <w:rPr>
                <w:rFonts w:ascii="Times New Roman" w:eastAsia="Times New Roman" w:hAnsi="Times New Roman" w:cs="Times New Roman"/>
                <w:sz w:val="24"/>
                <w:szCs w:val="24"/>
                <w:lang w:eastAsia="lv-LV"/>
              </w:rPr>
            </w:pPr>
            <w:r w:rsidRPr="008A4147">
              <w:rPr>
                <w:rFonts w:ascii="Times New Roman" w:eastAsia="Times New Roman" w:hAnsi="Times New Roman" w:cs="Times New Roman"/>
                <w:sz w:val="24"/>
                <w:szCs w:val="24"/>
                <w:lang w:eastAsia="lv-LV"/>
              </w:rPr>
              <w:t>7</w:t>
            </w:r>
            <w:r w:rsidR="00394095" w:rsidRPr="008A4147">
              <w:rPr>
                <w:rFonts w:ascii="Times New Roman" w:eastAsia="Times New Roman" w:hAnsi="Times New Roman" w:cs="Times New Roman"/>
                <w:sz w:val="24"/>
                <w:szCs w:val="24"/>
                <w:lang w:eastAsia="lv-LV"/>
              </w:rPr>
              <w:t>) Eiropas Parlamenta un Padomes 2019.</w:t>
            </w:r>
            <w:r w:rsidR="00025C42" w:rsidRPr="008A4147">
              <w:rPr>
                <w:rFonts w:ascii="Times New Roman" w:eastAsia="Times New Roman" w:hAnsi="Times New Roman" w:cs="Times New Roman"/>
                <w:sz w:val="24"/>
                <w:szCs w:val="24"/>
                <w:lang w:eastAsia="lv-LV"/>
              </w:rPr>
              <w:t> </w:t>
            </w:r>
            <w:r w:rsidR="00394095" w:rsidRPr="008A4147">
              <w:rPr>
                <w:rFonts w:ascii="Times New Roman" w:eastAsia="Times New Roman" w:hAnsi="Times New Roman" w:cs="Times New Roman"/>
                <w:sz w:val="24"/>
                <w:szCs w:val="24"/>
                <w:lang w:eastAsia="lv-LV"/>
              </w:rPr>
              <w:t>gada 27.</w:t>
            </w:r>
            <w:r w:rsidR="00025C42" w:rsidRPr="008A4147">
              <w:rPr>
                <w:rFonts w:ascii="Times New Roman" w:eastAsia="Times New Roman" w:hAnsi="Times New Roman" w:cs="Times New Roman"/>
                <w:sz w:val="24"/>
                <w:szCs w:val="24"/>
                <w:lang w:eastAsia="lv-LV"/>
              </w:rPr>
              <w:t> </w:t>
            </w:r>
            <w:r w:rsidR="00394095" w:rsidRPr="008A4147">
              <w:rPr>
                <w:rFonts w:ascii="Times New Roman" w:eastAsia="Times New Roman" w:hAnsi="Times New Roman" w:cs="Times New Roman"/>
                <w:sz w:val="24"/>
                <w:szCs w:val="24"/>
                <w:lang w:eastAsia="lv-LV"/>
              </w:rPr>
              <w:t xml:space="preserve">novembra </w:t>
            </w:r>
            <w:r w:rsidR="0098150E" w:rsidRPr="008A4147">
              <w:rPr>
                <w:rFonts w:ascii="Times New Roman" w:eastAsia="Times New Roman" w:hAnsi="Times New Roman" w:cs="Times New Roman"/>
                <w:sz w:val="24"/>
                <w:szCs w:val="24"/>
                <w:lang w:eastAsia="lv-LV"/>
              </w:rPr>
              <w:t>r</w:t>
            </w:r>
            <w:r w:rsidR="00394095" w:rsidRPr="008A4147">
              <w:rPr>
                <w:rFonts w:ascii="Times New Roman" w:eastAsia="Times New Roman" w:hAnsi="Times New Roman" w:cs="Times New Roman"/>
                <w:sz w:val="24"/>
                <w:szCs w:val="24"/>
                <w:lang w:eastAsia="lv-LV"/>
              </w:rPr>
              <w:t>egula (ES) Nr.</w:t>
            </w:r>
            <w:r w:rsidR="00025C42" w:rsidRPr="008A4147">
              <w:rPr>
                <w:rFonts w:ascii="Times New Roman" w:eastAsia="Times New Roman" w:hAnsi="Times New Roman" w:cs="Times New Roman"/>
                <w:sz w:val="24"/>
                <w:szCs w:val="24"/>
                <w:lang w:eastAsia="lv-LV"/>
              </w:rPr>
              <w:t> </w:t>
            </w:r>
            <w:r w:rsidR="00394095" w:rsidRPr="008A4147">
              <w:rPr>
                <w:rFonts w:ascii="Times New Roman" w:eastAsia="Times New Roman" w:hAnsi="Times New Roman" w:cs="Times New Roman"/>
                <w:sz w:val="24"/>
                <w:szCs w:val="24"/>
                <w:lang w:eastAsia="lv-LV"/>
              </w:rPr>
              <w:t xml:space="preserve">2019/2033 par prudenciālajām prasībām ieguldījumu brokeru sabiedrībām un ar ko groza </w:t>
            </w:r>
            <w:r w:rsidR="0098150E" w:rsidRPr="008A4147">
              <w:rPr>
                <w:rFonts w:ascii="Times New Roman" w:eastAsia="Times New Roman" w:hAnsi="Times New Roman" w:cs="Times New Roman"/>
                <w:sz w:val="24"/>
                <w:szCs w:val="24"/>
                <w:lang w:eastAsia="lv-LV"/>
              </w:rPr>
              <w:t>r</w:t>
            </w:r>
            <w:r w:rsidR="00394095" w:rsidRPr="008A4147">
              <w:rPr>
                <w:rFonts w:ascii="Times New Roman" w:eastAsia="Times New Roman" w:hAnsi="Times New Roman" w:cs="Times New Roman"/>
                <w:sz w:val="24"/>
                <w:szCs w:val="24"/>
                <w:lang w:eastAsia="lv-LV"/>
              </w:rPr>
              <w:t>egulas (ES) Nr.</w:t>
            </w:r>
            <w:r w:rsidR="00025C42" w:rsidRPr="008A4147">
              <w:rPr>
                <w:rFonts w:ascii="Times New Roman" w:eastAsia="Times New Roman" w:hAnsi="Times New Roman" w:cs="Times New Roman"/>
                <w:sz w:val="24"/>
                <w:szCs w:val="24"/>
                <w:lang w:eastAsia="lv-LV"/>
              </w:rPr>
              <w:t> </w:t>
            </w:r>
            <w:r w:rsidR="00394095" w:rsidRPr="008A4147">
              <w:rPr>
                <w:rFonts w:ascii="Times New Roman" w:eastAsia="Times New Roman" w:hAnsi="Times New Roman" w:cs="Times New Roman"/>
                <w:sz w:val="24"/>
                <w:szCs w:val="24"/>
                <w:lang w:eastAsia="lv-LV"/>
              </w:rPr>
              <w:t>1093/2010, (ES) Nr.</w:t>
            </w:r>
            <w:r w:rsidR="00025C42" w:rsidRPr="008A4147">
              <w:rPr>
                <w:rFonts w:ascii="Times New Roman" w:eastAsia="Times New Roman" w:hAnsi="Times New Roman" w:cs="Times New Roman"/>
                <w:sz w:val="24"/>
                <w:szCs w:val="24"/>
                <w:lang w:eastAsia="lv-LV"/>
              </w:rPr>
              <w:t> </w:t>
            </w:r>
            <w:r w:rsidR="00394095" w:rsidRPr="008A4147">
              <w:rPr>
                <w:rFonts w:ascii="Times New Roman" w:eastAsia="Times New Roman" w:hAnsi="Times New Roman" w:cs="Times New Roman"/>
                <w:sz w:val="24"/>
                <w:szCs w:val="24"/>
                <w:lang w:eastAsia="lv-LV"/>
              </w:rPr>
              <w:t>575/2013, (ES) Nr.</w:t>
            </w:r>
            <w:r w:rsidR="00025C42" w:rsidRPr="008A4147">
              <w:rPr>
                <w:rFonts w:ascii="Times New Roman" w:eastAsia="Times New Roman" w:hAnsi="Times New Roman" w:cs="Times New Roman"/>
                <w:sz w:val="24"/>
                <w:szCs w:val="24"/>
                <w:lang w:eastAsia="lv-LV"/>
              </w:rPr>
              <w:t> </w:t>
            </w:r>
            <w:r w:rsidR="00394095" w:rsidRPr="008A4147">
              <w:rPr>
                <w:rFonts w:ascii="Times New Roman" w:eastAsia="Times New Roman" w:hAnsi="Times New Roman" w:cs="Times New Roman"/>
                <w:sz w:val="24"/>
                <w:szCs w:val="24"/>
                <w:lang w:eastAsia="lv-LV"/>
              </w:rPr>
              <w:t>600/2014 un (ES) Nr.</w:t>
            </w:r>
            <w:r w:rsidR="00025C42" w:rsidRPr="008A4147">
              <w:rPr>
                <w:rFonts w:ascii="Times New Roman" w:eastAsia="Times New Roman" w:hAnsi="Times New Roman" w:cs="Times New Roman"/>
                <w:sz w:val="24"/>
                <w:szCs w:val="24"/>
                <w:lang w:eastAsia="lv-LV"/>
              </w:rPr>
              <w:t> </w:t>
            </w:r>
            <w:r w:rsidR="00394095" w:rsidRPr="008A4147">
              <w:rPr>
                <w:rFonts w:ascii="Times New Roman" w:eastAsia="Times New Roman" w:hAnsi="Times New Roman" w:cs="Times New Roman"/>
                <w:sz w:val="24"/>
                <w:szCs w:val="24"/>
                <w:lang w:eastAsia="lv-LV"/>
              </w:rPr>
              <w:t>806/2014;</w:t>
            </w:r>
          </w:p>
          <w:p w14:paraId="32873E81" w14:textId="6DD28420" w:rsidR="00FD5EA0" w:rsidRPr="008A4147" w:rsidRDefault="007F1075" w:rsidP="00025C42">
            <w:pPr>
              <w:spacing w:after="120" w:line="240" w:lineRule="auto"/>
              <w:jc w:val="both"/>
              <w:rPr>
                <w:rFonts w:ascii="Times New Roman" w:eastAsia="Times New Roman" w:hAnsi="Times New Roman" w:cs="Times New Roman"/>
                <w:sz w:val="24"/>
                <w:szCs w:val="24"/>
                <w:lang w:eastAsia="lv-LV"/>
              </w:rPr>
            </w:pPr>
            <w:r w:rsidRPr="008A4147">
              <w:rPr>
                <w:rFonts w:ascii="Times New Roman" w:eastAsia="Times New Roman" w:hAnsi="Times New Roman" w:cs="Times New Roman"/>
                <w:sz w:val="24"/>
                <w:szCs w:val="24"/>
                <w:lang w:eastAsia="lv-LV"/>
              </w:rPr>
              <w:t>8</w:t>
            </w:r>
            <w:r w:rsidR="00394095" w:rsidRPr="008A4147">
              <w:rPr>
                <w:rFonts w:ascii="Times New Roman" w:eastAsia="Times New Roman" w:hAnsi="Times New Roman" w:cs="Times New Roman"/>
                <w:sz w:val="24"/>
                <w:szCs w:val="24"/>
                <w:lang w:eastAsia="lv-LV"/>
              </w:rPr>
              <w:t xml:space="preserve">) </w:t>
            </w:r>
            <w:r w:rsidR="000E5BFC" w:rsidRPr="008A4147">
              <w:rPr>
                <w:rFonts w:ascii="Times New Roman" w:eastAsia="Times New Roman" w:hAnsi="Times New Roman" w:cs="Times New Roman"/>
                <w:sz w:val="24"/>
                <w:szCs w:val="24"/>
                <w:lang w:eastAsia="lv-LV"/>
              </w:rPr>
              <w:t>Komisijas 2016.</w:t>
            </w:r>
            <w:r w:rsidR="00025C42" w:rsidRPr="008A4147">
              <w:rPr>
                <w:rFonts w:ascii="Times New Roman" w:eastAsia="Times New Roman" w:hAnsi="Times New Roman" w:cs="Times New Roman"/>
                <w:sz w:val="24"/>
                <w:szCs w:val="24"/>
                <w:lang w:eastAsia="lv-LV"/>
              </w:rPr>
              <w:t> </w:t>
            </w:r>
            <w:r w:rsidR="000E5BFC" w:rsidRPr="008A4147">
              <w:rPr>
                <w:rFonts w:ascii="Times New Roman" w:eastAsia="Times New Roman" w:hAnsi="Times New Roman" w:cs="Times New Roman"/>
                <w:sz w:val="24"/>
                <w:szCs w:val="24"/>
                <w:lang w:eastAsia="lv-LV"/>
              </w:rPr>
              <w:t>gada 25.</w:t>
            </w:r>
            <w:r w:rsidR="00025C42" w:rsidRPr="008A4147">
              <w:rPr>
                <w:rFonts w:ascii="Times New Roman" w:eastAsia="Times New Roman" w:hAnsi="Times New Roman" w:cs="Times New Roman"/>
                <w:sz w:val="24"/>
                <w:szCs w:val="24"/>
                <w:lang w:eastAsia="lv-LV"/>
              </w:rPr>
              <w:t> </w:t>
            </w:r>
            <w:r w:rsidR="000E5BFC" w:rsidRPr="008A4147">
              <w:rPr>
                <w:rFonts w:ascii="Times New Roman" w:eastAsia="Times New Roman" w:hAnsi="Times New Roman" w:cs="Times New Roman"/>
                <w:sz w:val="24"/>
                <w:szCs w:val="24"/>
                <w:lang w:eastAsia="lv-LV"/>
              </w:rPr>
              <w:t xml:space="preserve">aprīļa </w:t>
            </w:r>
            <w:r w:rsidR="0098150E" w:rsidRPr="008A4147">
              <w:rPr>
                <w:rFonts w:ascii="Times New Roman" w:eastAsia="Times New Roman" w:hAnsi="Times New Roman" w:cs="Times New Roman"/>
                <w:sz w:val="24"/>
                <w:szCs w:val="24"/>
                <w:lang w:eastAsia="lv-LV"/>
              </w:rPr>
              <w:t>d</w:t>
            </w:r>
            <w:r w:rsidR="000E5BFC" w:rsidRPr="008A4147">
              <w:rPr>
                <w:rFonts w:ascii="Times New Roman" w:eastAsia="Times New Roman" w:hAnsi="Times New Roman" w:cs="Times New Roman"/>
                <w:sz w:val="24"/>
                <w:szCs w:val="24"/>
                <w:lang w:eastAsia="lv-LV"/>
              </w:rPr>
              <w:t>eleģētā regula (ES) Nr.</w:t>
            </w:r>
            <w:r w:rsidR="00025C42" w:rsidRPr="008A4147">
              <w:rPr>
                <w:rFonts w:ascii="Times New Roman" w:eastAsia="Times New Roman" w:hAnsi="Times New Roman" w:cs="Times New Roman"/>
                <w:sz w:val="24"/>
                <w:szCs w:val="24"/>
                <w:lang w:eastAsia="lv-LV"/>
              </w:rPr>
              <w:t> </w:t>
            </w:r>
            <w:r w:rsidR="000E5BFC" w:rsidRPr="008A4147">
              <w:rPr>
                <w:rFonts w:ascii="Times New Roman" w:eastAsia="Times New Roman" w:hAnsi="Times New Roman" w:cs="Times New Roman"/>
                <w:sz w:val="24"/>
                <w:szCs w:val="24"/>
                <w:lang w:eastAsia="lv-LV"/>
              </w:rPr>
              <w:t xml:space="preserve">2017/565, ar ko papildina Eiropas Parlamenta un Padomes </w:t>
            </w:r>
            <w:r w:rsidR="0098150E" w:rsidRPr="008A4147">
              <w:rPr>
                <w:rFonts w:ascii="Times New Roman" w:eastAsia="Times New Roman" w:hAnsi="Times New Roman" w:cs="Times New Roman"/>
                <w:sz w:val="24"/>
                <w:szCs w:val="24"/>
                <w:lang w:eastAsia="lv-LV"/>
              </w:rPr>
              <w:t>d</w:t>
            </w:r>
            <w:r w:rsidR="000E5BFC" w:rsidRPr="008A4147">
              <w:rPr>
                <w:rFonts w:ascii="Times New Roman" w:eastAsia="Times New Roman" w:hAnsi="Times New Roman" w:cs="Times New Roman"/>
                <w:sz w:val="24"/>
                <w:szCs w:val="24"/>
                <w:lang w:eastAsia="lv-LV"/>
              </w:rPr>
              <w:t>irektīvu</w:t>
            </w:r>
            <w:r w:rsidR="008A4147" w:rsidRPr="008A4147">
              <w:rPr>
                <w:rFonts w:ascii="Times New Roman" w:eastAsia="Times New Roman" w:hAnsi="Times New Roman" w:cs="Times New Roman"/>
                <w:sz w:val="24"/>
                <w:szCs w:val="24"/>
                <w:lang w:eastAsia="lv-LV"/>
              </w:rPr>
              <w:t> </w:t>
            </w:r>
            <w:r w:rsidR="000E5BFC" w:rsidRPr="008A4147">
              <w:rPr>
                <w:rFonts w:ascii="Times New Roman" w:eastAsia="Times New Roman" w:hAnsi="Times New Roman" w:cs="Times New Roman"/>
                <w:sz w:val="24"/>
                <w:szCs w:val="24"/>
                <w:lang w:eastAsia="lv-LV"/>
              </w:rPr>
              <w:t>2014/65/ES attiecībā uz ieguldījumu brokeru sabiedrību organizatoriskām prasībām un darbības nosacījumiem un jēdzienu definīcijām</w:t>
            </w:r>
            <w:r w:rsidR="00092145" w:rsidRPr="008A4147">
              <w:rPr>
                <w:rFonts w:ascii="Times New Roman" w:eastAsia="Times New Roman" w:hAnsi="Times New Roman" w:cs="Times New Roman"/>
                <w:sz w:val="24"/>
                <w:szCs w:val="24"/>
                <w:lang w:eastAsia="lv-LV"/>
              </w:rPr>
              <w:t xml:space="preserve"> minētās direktīvas mērķiem</w:t>
            </w:r>
            <w:r w:rsidR="000E5BFC" w:rsidRPr="008A4147">
              <w:rPr>
                <w:rFonts w:ascii="Times New Roman" w:eastAsia="Times New Roman" w:hAnsi="Times New Roman" w:cs="Times New Roman"/>
                <w:sz w:val="24"/>
                <w:szCs w:val="24"/>
                <w:lang w:eastAsia="lv-LV"/>
              </w:rPr>
              <w:t>;</w:t>
            </w:r>
          </w:p>
          <w:p w14:paraId="06A5EFA8" w14:textId="19DB51D7" w:rsidR="00FD5EA0" w:rsidRPr="008A4147" w:rsidRDefault="007F1075" w:rsidP="00025C42">
            <w:pPr>
              <w:spacing w:after="120" w:line="240" w:lineRule="auto"/>
              <w:jc w:val="both"/>
              <w:rPr>
                <w:rFonts w:ascii="Times New Roman" w:eastAsia="Times New Roman" w:hAnsi="Times New Roman" w:cs="Times New Roman"/>
                <w:sz w:val="24"/>
                <w:szCs w:val="24"/>
                <w:lang w:eastAsia="lv-LV"/>
              </w:rPr>
            </w:pPr>
            <w:r w:rsidRPr="008A4147">
              <w:rPr>
                <w:rFonts w:ascii="Times New Roman" w:eastAsia="Times New Roman" w:hAnsi="Times New Roman" w:cs="Times New Roman"/>
                <w:sz w:val="24"/>
                <w:szCs w:val="24"/>
                <w:lang w:eastAsia="lv-LV"/>
              </w:rPr>
              <w:t>9</w:t>
            </w:r>
            <w:r w:rsidR="00FD5EA0" w:rsidRPr="008A4147">
              <w:rPr>
                <w:rFonts w:ascii="Times New Roman" w:eastAsia="Times New Roman" w:hAnsi="Times New Roman" w:cs="Times New Roman"/>
                <w:sz w:val="24"/>
                <w:szCs w:val="24"/>
                <w:lang w:eastAsia="lv-LV"/>
              </w:rPr>
              <w:t>) Eiropas Parlamenta un Padomes 2016.</w:t>
            </w:r>
            <w:r w:rsidR="00025C42" w:rsidRPr="008A4147">
              <w:rPr>
                <w:rFonts w:ascii="Times New Roman" w:eastAsia="Times New Roman" w:hAnsi="Times New Roman" w:cs="Times New Roman"/>
                <w:sz w:val="24"/>
                <w:szCs w:val="24"/>
                <w:lang w:eastAsia="lv-LV"/>
              </w:rPr>
              <w:t> </w:t>
            </w:r>
            <w:r w:rsidR="00FD5EA0" w:rsidRPr="008A4147">
              <w:rPr>
                <w:rFonts w:ascii="Times New Roman" w:eastAsia="Times New Roman" w:hAnsi="Times New Roman" w:cs="Times New Roman"/>
                <w:sz w:val="24"/>
                <w:szCs w:val="24"/>
                <w:lang w:eastAsia="lv-LV"/>
              </w:rPr>
              <w:t>gada 27.</w:t>
            </w:r>
            <w:r w:rsidR="00025C42" w:rsidRPr="008A4147">
              <w:rPr>
                <w:rFonts w:ascii="Times New Roman" w:eastAsia="Times New Roman" w:hAnsi="Times New Roman" w:cs="Times New Roman"/>
                <w:sz w:val="24"/>
                <w:szCs w:val="24"/>
                <w:lang w:eastAsia="lv-LV"/>
              </w:rPr>
              <w:t> </w:t>
            </w:r>
            <w:r w:rsidR="00FD5EA0" w:rsidRPr="008A4147">
              <w:rPr>
                <w:rFonts w:ascii="Times New Roman" w:eastAsia="Times New Roman" w:hAnsi="Times New Roman" w:cs="Times New Roman"/>
                <w:sz w:val="24"/>
                <w:szCs w:val="24"/>
                <w:lang w:eastAsia="lv-LV"/>
              </w:rPr>
              <w:t>aprīļa regula (ES) Nr.</w:t>
            </w:r>
            <w:r w:rsidR="00025C42" w:rsidRPr="008A4147">
              <w:rPr>
                <w:rFonts w:ascii="Times New Roman" w:eastAsia="Times New Roman" w:hAnsi="Times New Roman" w:cs="Times New Roman"/>
                <w:sz w:val="24"/>
                <w:szCs w:val="24"/>
                <w:lang w:eastAsia="lv-LV"/>
              </w:rPr>
              <w:t> </w:t>
            </w:r>
            <w:r w:rsidR="00FD5EA0" w:rsidRPr="008A4147">
              <w:rPr>
                <w:rFonts w:ascii="Times New Roman" w:eastAsia="Times New Roman" w:hAnsi="Times New Roman" w:cs="Times New Roman"/>
                <w:sz w:val="24"/>
                <w:szCs w:val="24"/>
                <w:lang w:eastAsia="lv-LV"/>
              </w:rPr>
              <w:t xml:space="preserve">2016/679 par fizisku personu aizsardzību attiecībā uz </w:t>
            </w:r>
            <w:r w:rsidR="00FD5EA0" w:rsidRPr="008A4147">
              <w:rPr>
                <w:rFonts w:ascii="Times New Roman" w:eastAsia="Times New Roman" w:hAnsi="Times New Roman" w:cs="Times New Roman"/>
                <w:sz w:val="24"/>
                <w:szCs w:val="24"/>
                <w:lang w:eastAsia="lv-LV"/>
              </w:rPr>
              <w:lastRenderedPageBreak/>
              <w:t>personas datu apstrādi un šādu datu brīvu apriti un ar ko atceļ direktīvu</w:t>
            </w:r>
            <w:r w:rsidR="008A4147" w:rsidRPr="008A4147">
              <w:rPr>
                <w:rFonts w:ascii="Times New Roman" w:eastAsia="Times New Roman" w:hAnsi="Times New Roman" w:cs="Times New Roman"/>
                <w:sz w:val="24"/>
                <w:szCs w:val="24"/>
                <w:lang w:eastAsia="lv-LV"/>
              </w:rPr>
              <w:t> </w:t>
            </w:r>
            <w:r w:rsidR="00FD5EA0" w:rsidRPr="008A4147">
              <w:rPr>
                <w:rFonts w:ascii="Times New Roman" w:eastAsia="Times New Roman" w:hAnsi="Times New Roman" w:cs="Times New Roman"/>
                <w:sz w:val="24"/>
                <w:szCs w:val="24"/>
                <w:lang w:eastAsia="lv-LV"/>
              </w:rPr>
              <w:t>94/46/EK;</w:t>
            </w:r>
          </w:p>
          <w:p w14:paraId="08152ADA" w14:textId="2D13356A" w:rsidR="00650BD7" w:rsidRPr="008A4147" w:rsidRDefault="00DE4EEC" w:rsidP="00025C42">
            <w:pPr>
              <w:spacing w:after="120" w:line="240" w:lineRule="auto"/>
              <w:jc w:val="both"/>
              <w:rPr>
                <w:rFonts w:ascii="Times New Roman" w:eastAsia="Times New Roman" w:hAnsi="Times New Roman" w:cs="Times New Roman"/>
                <w:sz w:val="24"/>
                <w:szCs w:val="24"/>
                <w:lang w:eastAsia="lv-LV"/>
              </w:rPr>
            </w:pPr>
            <w:r w:rsidRPr="008A4147">
              <w:rPr>
                <w:rFonts w:ascii="Times New Roman" w:eastAsia="Times New Roman" w:hAnsi="Times New Roman" w:cs="Times New Roman"/>
                <w:sz w:val="24"/>
                <w:szCs w:val="24"/>
                <w:lang w:eastAsia="lv-LV"/>
              </w:rPr>
              <w:t xml:space="preserve">10) </w:t>
            </w:r>
            <w:r w:rsidR="00650BD7" w:rsidRPr="008A4147">
              <w:rPr>
                <w:rFonts w:ascii="Times New Roman" w:eastAsia="Times New Roman" w:hAnsi="Times New Roman" w:cs="Times New Roman"/>
                <w:sz w:val="24"/>
                <w:szCs w:val="24"/>
                <w:lang w:eastAsia="lv-LV"/>
              </w:rPr>
              <w:t>Komisijas 2019.</w:t>
            </w:r>
            <w:r w:rsidR="00B12E0F" w:rsidRPr="008A4147">
              <w:rPr>
                <w:rFonts w:ascii="Times New Roman" w:eastAsia="Times New Roman" w:hAnsi="Times New Roman" w:cs="Times New Roman"/>
                <w:sz w:val="24"/>
                <w:szCs w:val="24"/>
                <w:lang w:eastAsia="lv-LV"/>
              </w:rPr>
              <w:t> </w:t>
            </w:r>
            <w:r w:rsidR="00650BD7" w:rsidRPr="008A4147">
              <w:rPr>
                <w:rFonts w:ascii="Times New Roman" w:eastAsia="Times New Roman" w:hAnsi="Times New Roman" w:cs="Times New Roman"/>
                <w:sz w:val="24"/>
                <w:szCs w:val="24"/>
                <w:lang w:eastAsia="lv-LV"/>
              </w:rPr>
              <w:t>gada 31.</w:t>
            </w:r>
            <w:r w:rsidR="00B12E0F" w:rsidRPr="008A4147">
              <w:rPr>
                <w:rFonts w:ascii="Times New Roman" w:eastAsia="Times New Roman" w:hAnsi="Times New Roman" w:cs="Times New Roman"/>
                <w:sz w:val="24"/>
                <w:szCs w:val="24"/>
                <w:lang w:eastAsia="lv-LV"/>
              </w:rPr>
              <w:t> </w:t>
            </w:r>
            <w:r w:rsidR="00650BD7" w:rsidRPr="008A4147">
              <w:rPr>
                <w:rFonts w:ascii="Times New Roman" w:eastAsia="Times New Roman" w:hAnsi="Times New Roman" w:cs="Times New Roman"/>
                <w:sz w:val="24"/>
                <w:szCs w:val="24"/>
                <w:lang w:eastAsia="lv-LV"/>
              </w:rPr>
              <w:t>janvāra deleģētā regula (ES) Nr.</w:t>
            </w:r>
            <w:r w:rsidR="00B12E0F" w:rsidRPr="008A4147">
              <w:rPr>
                <w:rFonts w:ascii="Times New Roman" w:eastAsia="Times New Roman" w:hAnsi="Times New Roman" w:cs="Times New Roman"/>
                <w:sz w:val="24"/>
                <w:szCs w:val="24"/>
                <w:lang w:eastAsia="lv-LV"/>
              </w:rPr>
              <w:t> </w:t>
            </w:r>
            <w:r w:rsidR="00650BD7" w:rsidRPr="008A4147">
              <w:rPr>
                <w:rFonts w:ascii="Times New Roman" w:eastAsia="Times New Roman" w:hAnsi="Times New Roman" w:cs="Times New Roman"/>
                <w:sz w:val="24"/>
                <w:szCs w:val="24"/>
                <w:lang w:eastAsia="lv-LV"/>
              </w:rPr>
              <w:t xml:space="preserve">2019/758, ar ko papildina Eiropas Parlamenta un Padomes </w:t>
            </w:r>
            <w:r w:rsidR="00687634" w:rsidRPr="008A4147">
              <w:rPr>
                <w:rFonts w:ascii="Times New Roman" w:eastAsia="Times New Roman" w:hAnsi="Times New Roman" w:cs="Times New Roman"/>
                <w:sz w:val="24"/>
                <w:szCs w:val="24"/>
                <w:lang w:eastAsia="lv-LV"/>
              </w:rPr>
              <w:t>d</w:t>
            </w:r>
            <w:r w:rsidR="00650BD7" w:rsidRPr="008A4147">
              <w:rPr>
                <w:rFonts w:ascii="Times New Roman" w:eastAsia="Times New Roman" w:hAnsi="Times New Roman" w:cs="Times New Roman"/>
                <w:sz w:val="24"/>
                <w:szCs w:val="24"/>
                <w:lang w:eastAsia="lv-LV"/>
              </w:rPr>
              <w:t>irektīvu</w:t>
            </w:r>
            <w:r w:rsidR="008A4147" w:rsidRPr="008A4147">
              <w:rPr>
                <w:rFonts w:ascii="Times New Roman" w:eastAsia="Times New Roman" w:hAnsi="Times New Roman" w:cs="Times New Roman"/>
                <w:sz w:val="24"/>
                <w:szCs w:val="24"/>
                <w:lang w:eastAsia="lv-LV"/>
              </w:rPr>
              <w:t> </w:t>
            </w:r>
            <w:r w:rsidR="00650BD7" w:rsidRPr="008A4147">
              <w:rPr>
                <w:rFonts w:ascii="Times New Roman" w:eastAsia="Times New Roman" w:hAnsi="Times New Roman" w:cs="Times New Roman"/>
                <w:sz w:val="24"/>
                <w:szCs w:val="24"/>
                <w:lang w:eastAsia="lv-LV"/>
              </w:rPr>
              <w:t>2015/849/ES attiecībā uz regulatīvajiem tehniskajiem standartiem minimuma darbībām un papildu pasākumu veidiem, kuri kredītiestādēm un finanšu iestādēm jāveic nelikumīgi iegūtu līdzekļu legalizēšanas un teroristu finansēšanas risku mazināšanai konkrētās trešās valstīs;</w:t>
            </w:r>
          </w:p>
          <w:p w14:paraId="53F6FC9B" w14:textId="2C87A15F" w:rsidR="002F2F54" w:rsidRPr="008A4147" w:rsidRDefault="007F1075" w:rsidP="00025C42">
            <w:pPr>
              <w:spacing w:after="120" w:line="240" w:lineRule="auto"/>
              <w:jc w:val="both"/>
              <w:rPr>
                <w:rFonts w:ascii="Times New Roman" w:eastAsia="Times New Roman" w:hAnsi="Times New Roman" w:cs="Times New Roman"/>
                <w:sz w:val="24"/>
                <w:szCs w:val="24"/>
                <w:lang w:eastAsia="lv-LV"/>
              </w:rPr>
            </w:pPr>
            <w:r w:rsidRPr="008A4147">
              <w:rPr>
                <w:rFonts w:ascii="Times New Roman" w:eastAsia="Times New Roman" w:hAnsi="Times New Roman" w:cs="Times New Roman"/>
                <w:sz w:val="24"/>
                <w:szCs w:val="24"/>
                <w:lang w:eastAsia="lv-LV"/>
              </w:rPr>
              <w:t>1</w:t>
            </w:r>
            <w:r w:rsidR="00DE4EEC" w:rsidRPr="008A4147">
              <w:rPr>
                <w:rFonts w:ascii="Times New Roman" w:eastAsia="Times New Roman" w:hAnsi="Times New Roman" w:cs="Times New Roman"/>
                <w:sz w:val="24"/>
                <w:szCs w:val="24"/>
                <w:lang w:eastAsia="lv-LV"/>
              </w:rPr>
              <w:t>1</w:t>
            </w:r>
            <w:r w:rsidR="001A112D" w:rsidRPr="008A4147">
              <w:rPr>
                <w:rFonts w:ascii="Times New Roman" w:eastAsia="Times New Roman" w:hAnsi="Times New Roman" w:cs="Times New Roman"/>
                <w:sz w:val="24"/>
                <w:szCs w:val="24"/>
                <w:lang w:eastAsia="lv-LV"/>
              </w:rPr>
              <w:t>)</w:t>
            </w:r>
            <w:r w:rsidR="00D226FA" w:rsidRPr="008A4147">
              <w:rPr>
                <w:rFonts w:ascii="Times New Roman" w:eastAsia="Times New Roman" w:hAnsi="Times New Roman" w:cs="Times New Roman"/>
                <w:sz w:val="24"/>
                <w:szCs w:val="24"/>
                <w:lang w:eastAsia="lv-LV"/>
              </w:rPr>
              <w:t xml:space="preserve"> Noteikumi Nr. 212</w:t>
            </w:r>
            <w:r w:rsidR="002F2F54" w:rsidRPr="008A4147">
              <w:rPr>
                <w:rFonts w:ascii="Times New Roman" w:eastAsia="Times New Roman" w:hAnsi="Times New Roman" w:cs="Times New Roman"/>
                <w:sz w:val="24"/>
                <w:szCs w:val="24"/>
                <w:lang w:eastAsia="lv-LV"/>
              </w:rPr>
              <w:t>;</w:t>
            </w:r>
          </w:p>
          <w:p w14:paraId="51F1B8E3" w14:textId="359B4FB2" w:rsidR="002F2F54" w:rsidRPr="008A4147" w:rsidRDefault="007F1075" w:rsidP="00025C42">
            <w:pPr>
              <w:spacing w:after="120" w:line="240" w:lineRule="auto"/>
              <w:jc w:val="both"/>
              <w:rPr>
                <w:rFonts w:ascii="Times New Roman" w:eastAsia="Times New Roman" w:hAnsi="Times New Roman" w:cs="Times New Roman"/>
                <w:sz w:val="24"/>
                <w:szCs w:val="24"/>
                <w:lang w:eastAsia="lv-LV"/>
              </w:rPr>
            </w:pPr>
            <w:r w:rsidRPr="008A4147">
              <w:rPr>
                <w:rFonts w:ascii="Times New Roman" w:eastAsia="Times New Roman" w:hAnsi="Times New Roman" w:cs="Times New Roman"/>
                <w:sz w:val="24"/>
                <w:szCs w:val="24"/>
                <w:lang w:eastAsia="lv-LV"/>
              </w:rPr>
              <w:t>1</w:t>
            </w:r>
            <w:r w:rsidR="00DE4EEC" w:rsidRPr="008A4147">
              <w:rPr>
                <w:rFonts w:ascii="Times New Roman" w:eastAsia="Times New Roman" w:hAnsi="Times New Roman" w:cs="Times New Roman"/>
                <w:sz w:val="24"/>
                <w:szCs w:val="24"/>
                <w:lang w:eastAsia="lv-LV"/>
              </w:rPr>
              <w:t>2</w:t>
            </w:r>
            <w:r w:rsidR="001A112D" w:rsidRPr="008A4147">
              <w:rPr>
                <w:rFonts w:ascii="Times New Roman" w:eastAsia="Times New Roman" w:hAnsi="Times New Roman" w:cs="Times New Roman"/>
                <w:sz w:val="24"/>
                <w:szCs w:val="24"/>
                <w:lang w:eastAsia="lv-LV"/>
              </w:rPr>
              <w:t xml:space="preserve">) </w:t>
            </w:r>
            <w:r w:rsidR="002F2F54" w:rsidRPr="008A4147">
              <w:rPr>
                <w:rFonts w:ascii="Times New Roman" w:eastAsia="Times New Roman" w:hAnsi="Times New Roman" w:cs="Times New Roman"/>
                <w:sz w:val="24"/>
                <w:szCs w:val="24"/>
                <w:lang w:eastAsia="lv-LV"/>
              </w:rPr>
              <w:t>Finanšu un kapitāla tirgus komisijas 2020.</w:t>
            </w:r>
            <w:r w:rsidR="00025C42" w:rsidRPr="008A4147">
              <w:rPr>
                <w:rFonts w:ascii="Times New Roman" w:eastAsia="Times New Roman" w:hAnsi="Times New Roman" w:cs="Times New Roman"/>
                <w:sz w:val="24"/>
                <w:szCs w:val="24"/>
                <w:lang w:eastAsia="lv-LV"/>
              </w:rPr>
              <w:t> </w:t>
            </w:r>
            <w:r w:rsidR="002F2F54" w:rsidRPr="008A4147">
              <w:rPr>
                <w:rFonts w:ascii="Times New Roman" w:eastAsia="Times New Roman" w:hAnsi="Times New Roman" w:cs="Times New Roman"/>
                <w:sz w:val="24"/>
                <w:szCs w:val="24"/>
                <w:lang w:eastAsia="lv-LV"/>
              </w:rPr>
              <w:t>gada 14. jūlija normatīvie noteikumi Nr. 94</w:t>
            </w:r>
            <w:r w:rsidR="00025C42" w:rsidRPr="008A4147">
              <w:rPr>
                <w:rFonts w:ascii="Times New Roman" w:eastAsia="Times New Roman" w:hAnsi="Times New Roman" w:cs="Times New Roman"/>
                <w:sz w:val="24"/>
                <w:szCs w:val="24"/>
                <w:lang w:eastAsia="lv-LV"/>
              </w:rPr>
              <w:t xml:space="preserve"> </w:t>
            </w:r>
            <w:r w:rsidR="005541EE">
              <w:rPr>
                <w:rFonts w:ascii="Times New Roman" w:eastAsia="Times New Roman" w:hAnsi="Times New Roman" w:cs="Times New Roman"/>
                <w:sz w:val="24"/>
                <w:szCs w:val="24"/>
                <w:lang w:eastAsia="lv-LV"/>
              </w:rPr>
              <w:t>"</w:t>
            </w:r>
            <w:r w:rsidR="002F2F54" w:rsidRPr="008A4147">
              <w:rPr>
                <w:rFonts w:ascii="Times New Roman" w:eastAsia="Times New Roman" w:hAnsi="Times New Roman" w:cs="Times New Roman"/>
                <w:sz w:val="24"/>
                <w:szCs w:val="24"/>
                <w:lang w:eastAsia="lv-LV"/>
              </w:rPr>
              <w:t>Valdes un padomes locekļu un personu, kuras pilda pamatfunkcijas, piemērotības novērtēšanas normatīvie noteikumi</w:t>
            </w:r>
            <w:r w:rsidR="005541EE">
              <w:rPr>
                <w:rFonts w:ascii="Times New Roman" w:eastAsia="Times New Roman" w:hAnsi="Times New Roman" w:cs="Times New Roman"/>
                <w:sz w:val="24"/>
                <w:szCs w:val="24"/>
                <w:lang w:eastAsia="lv-LV"/>
              </w:rPr>
              <w:t>"</w:t>
            </w:r>
            <w:r w:rsidR="002F2F54" w:rsidRPr="008A4147">
              <w:rPr>
                <w:rFonts w:ascii="Times New Roman" w:eastAsia="Times New Roman" w:hAnsi="Times New Roman" w:cs="Times New Roman"/>
                <w:sz w:val="24"/>
                <w:szCs w:val="24"/>
                <w:lang w:eastAsia="lv-LV"/>
              </w:rPr>
              <w:t>;</w:t>
            </w:r>
          </w:p>
          <w:p w14:paraId="64C3A4C3" w14:textId="18612FB0" w:rsidR="009468AB" w:rsidRPr="008A4147" w:rsidRDefault="00394095" w:rsidP="00025C42">
            <w:pPr>
              <w:spacing w:after="120" w:line="240" w:lineRule="auto"/>
              <w:jc w:val="both"/>
              <w:rPr>
                <w:rFonts w:ascii="Times New Roman" w:eastAsia="Times New Roman" w:hAnsi="Times New Roman" w:cs="Times New Roman"/>
                <w:sz w:val="24"/>
                <w:szCs w:val="24"/>
                <w:lang w:eastAsia="lv-LV"/>
              </w:rPr>
            </w:pPr>
            <w:r w:rsidRPr="008A4147">
              <w:rPr>
                <w:rFonts w:ascii="Times New Roman" w:eastAsia="Times New Roman" w:hAnsi="Times New Roman" w:cs="Times New Roman"/>
                <w:sz w:val="24"/>
                <w:szCs w:val="24"/>
                <w:lang w:eastAsia="lv-LV"/>
              </w:rPr>
              <w:t>1</w:t>
            </w:r>
            <w:r w:rsidR="00DE4EEC" w:rsidRPr="008A4147">
              <w:rPr>
                <w:rFonts w:ascii="Times New Roman" w:eastAsia="Times New Roman" w:hAnsi="Times New Roman" w:cs="Times New Roman"/>
                <w:sz w:val="24"/>
                <w:szCs w:val="24"/>
                <w:lang w:eastAsia="lv-LV"/>
              </w:rPr>
              <w:t>3</w:t>
            </w:r>
            <w:r w:rsidR="001A112D" w:rsidRPr="008A4147">
              <w:rPr>
                <w:rFonts w:ascii="Times New Roman" w:eastAsia="Times New Roman" w:hAnsi="Times New Roman" w:cs="Times New Roman"/>
                <w:sz w:val="24"/>
                <w:szCs w:val="24"/>
                <w:lang w:eastAsia="lv-LV"/>
              </w:rPr>
              <w:t xml:space="preserve">) </w:t>
            </w:r>
            <w:r w:rsidR="00DE4EEC" w:rsidRPr="008A4147">
              <w:rPr>
                <w:rFonts w:ascii="Times New Roman" w:eastAsia="Times New Roman" w:hAnsi="Times New Roman" w:cs="Times New Roman"/>
                <w:sz w:val="24"/>
                <w:szCs w:val="24"/>
                <w:lang w:eastAsia="lv-LV"/>
              </w:rPr>
              <w:t>Latvijas Bankas 2024. gada 25. marta noteikumi Nr. 277</w:t>
            </w:r>
            <w:r w:rsidR="00B12E0F" w:rsidRPr="008A4147">
              <w:rPr>
                <w:rFonts w:ascii="Times New Roman" w:eastAsia="Times New Roman" w:hAnsi="Times New Roman" w:cs="Times New Roman"/>
                <w:sz w:val="24"/>
                <w:szCs w:val="24"/>
                <w:lang w:eastAsia="lv-LV"/>
              </w:rPr>
              <w:t xml:space="preserve"> </w:t>
            </w:r>
            <w:r w:rsidR="005541EE">
              <w:rPr>
                <w:rFonts w:ascii="Times New Roman" w:eastAsia="Times New Roman" w:hAnsi="Times New Roman" w:cs="Times New Roman"/>
                <w:sz w:val="24"/>
                <w:szCs w:val="24"/>
                <w:lang w:eastAsia="lv-LV"/>
              </w:rPr>
              <w:t>"</w:t>
            </w:r>
            <w:r w:rsidR="00DE4EEC" w:rsidRPr="008A4147">
              <w:rPr>
                <w:rFonts w:ascii="Times New Roman" w:eastAsia="Times New Roman" w:hAnsi="Times New Roman" w:cs="Times New Roman"/>
                <w:sz w:val="24"/>
                <w:szCs w:val="24"/>
                <w:lang w:eastAsia="lv-LV"/>
              </w:rPr>
              <w:t>Sankciju riska pārvaldīšanas iekšējās kontroles sistēmas izveides un kontroles prasības</w:t>
            </w:r>
            <w:r w:rsidR="005541EE">
              <w:rPr>
                <w:rFonts w:ascii="Times New Roman" w:eastAsia="Times New Roman" w:hAnsi="Times New Roman" w:cs="Times New Roman"/>
                <w:sz w:val="24"/>
                <w:szCs w:val="24"/>
                <w:lang w:eastAsia="lv-LV"/>
              </w:rPr>
              <w:t>"</w:t>
            </w:r>
            <w:r w:rsidR="00DE4EEC" w:rsidRPr="008A4147">
              <w:rPr>
                <w:rFonts w:ascii="Times New Roman" w:eastAsia="Times New Roman" w:hAnsi="Times New Roman" w:cs="Times New Roman"/>
                <w:sz w:val="24"/>
                <w:szCs w:val="24"/>
                <w:lang w:eastAsia="lv-LV"/>
              </w:rPr>
              <w:t>;</w:t>
            </w:r>
          </w:p>
          <w:p w14:paraId="199F0569" w14:textId="04B9056B" w:rsidR="00D40E90" w:rsidRPr="008A4147" w:rsidRDefault="00394095" w:rsidP="00025C42">
            <w:pPr>
              <w:spacing w:after="120" w:line="240" w:lineRule="auto"/>
              <w:jc w:val="both"/>
              <w:rPr>
                <w:rFonts w:ascii="Times New Roman" w:eastAsia="Times New Roman" w:hAnsi="Times New Roman" w:cs="Times New Roman"/>
                <w:sz w:val="24"/>
                <w:szCs w:val="24"/>
                <w:lang w:eastAsia="lv-LV"/>
              </w:rPr>
            </w:pPr>
            <w:r w:rsidRPr="008A4147">
              <w:rPr>
                <w:rFonts w:ascii="Times New Roman" w:eastAsia="Times New Roman" w:hAnsi="Times New Roman" w:cs="Times New Roman"/>
                <w:sz w:val="24"/>
                <w:szCs w:val="24"/>
                <w:lang w:eastAsia="lv-LV"/>
              </w:rPr>
              <w:t>1</w:t>
            </w:r>
            <w:r w:rsidR="00DE4EEC" w:rsidRPr="008A4147">
              <w:rPr>
                <w:rFonts w:ascii="Times New Roman" w:eastAsia="Times New Roman" w:hAnsi="Times New Roman" w:cs="Times New Roman"/>
                <w:sz w:val="24"/>
                <w:szCs w:val="24"/>
                <w:lang w:eastAsia="lv-LV"/>
              </w:rPr>
              <w:t>4</w:t>
            </w:r>
            <w:r w:rsidR="00093F6A" w:rsidRPr="008A4147">
              <w:rPr>
                <w:rFonts w:ascii="Times New Roman" w:eastAsia="Times New Roman" w:hAnsi="Times New Roman" w:cs="Times New Roman"/>
                <w:sz w:val="24"/>
                <w:szCs w:val="24"/>
                <w:lang w:eastAsia="lv-LV"/>
              </w:rPr>
              <w:t xml:space="preserve">) </w:t>
            </w:r>
            <w:r w:rsidR="00282AB0" w:rsidRPr="008A4147">
              <w:rPr>
                <w:rFonts w:ascii="Times New Roman" w:eastAsia="Times New Roman" w:hAnsi="Times New Roman" w:cs="Times New Roman"/>
                <w:sz w:val="24"/>
                <w:szCs w:val="24"/>
                <w:lang w:eastAsia="lv-LV"/>
              </w:rPr>
              <w:t>Latvijas Bankas 2022.</w:t>
            </w:r>
            <w:r w:rsidR="00025C42" w:rsidRPr="008A4147">
              <w:rPr>
                <w:rFonts w:ascii="Times New Roman" w:eastAsia="Times New Roman" w:hAnsi="Times New Roman" w:cs="Times New Roman"/>
                <w:sz w:val="24"/>
                <w:szCs w:val="24"/>
                <w:lang w:eastAsia="lv-LV"/>
              </w:rPr>
              <w:t> </w:t>
            </w:r>
            <w:r w:rsidR="00282AB0" w:rsidRPr="008A4147">
              <w:rPr>
                <w:rFonts w:ascii="Times New Roman" w:eastAsia="Times New Roman" w:hAnsi="Times New Roman" w:cs="Times New Roman"/>
                <w:sz w:val="24"/>
                <w:szCs w:val="24"/>
                <w:lang w:eastAsia="lv-LV"/>
              </w:rPr>
              <w:t>gada 24.</w:t>
            </w:r>
            <w:r w:rsidR="00025C42" w:rsidRPr="008A4147">
              <w:rPr>
                <w:rFonts w:ascii="Times New Roman" w:eastAsia="Times New Roman" w:hAnsi="Times New Roman" w:cs="Times New Roman"/>
                <w:sz w:val="24"/>
                <w:szCs w:val="24"/>
                <w:lang w:eastAsia="lv-LV"/>
              </w:rPr>
              <w:t> </w:t>
            </w:r>
            <w:r w:rsidR="00282AB0" w:rsidRPr="008A4147">
              <w:rPr>
                <w:rFonts w:ascii="Times New Roman" w:eastAsia="Times New Roman" w:hAnsi="Times New Roman" w:cs="Times New Roman"/>
                <w:sz w:val="24"/>
                <w:szCs w:val="24"/>
                <w:lang w:eastAsia="lv-LV"/>
              </w:rPr>
              <w:t>oktobra noteikumi Nr.</w:t>
            </w:r>
            <w:r w:rsidR="00025C42" w:rsidRPr="008A4147">
              <w:rPr>
                <w:rFonts w:ascii="Times New Roman" w:eastAsia="Times New Roman" w:hAnsi="Times New Roman" w:cs="Times New Roman"/>
                <w:sz w:val="24"/>
                <w:szCs w:val="24"/>
                <w:lang w:eastAsia="lv-LV"/>
              </w:rPr>
              <w:t> </w:t>
            </w:r>
            <w:r w:rsidR="00282AB0" w:rsidRPr="008A4147">
              <w:rPr>
                <w:rFonts w:ascii="Times New Roman" w:eastAsia="Times New Roman" w:hAnsi="Times New Roman" w:cs="Times New Roman"/>
                <w:sz w:val="24"/>
                <w:szCs w:val="24"/>
                <w:lang w:eastAsia="lv-LV"/>
              </w:rPr>
              <w:t xml:space="preserve">226 </w:t>
            </w:r>
            <w:r w:rsidR="005541EE">
              <w:rPr>
                <w:rFonts w:ascii="Times New Roman" w:eastAsia="Times New Roman" w:hAnsi="Times New Roman" w:cs="Times New Roman"/>
                <w:sz w:val="24"/>
                <w:szCs w:val="24"/>
                <w:lang w:eastAsia="lv-LV"/>
              </w:rPr>
              <w:t>"</w:t>
            </w:r>
            <w:r w:rsidR="00282AB0" w:rsidRPr="008A4147">
              <w:rPr>
                <w:rFonts w:ascii="Times New Roman" w:eastAsia="Times New Roman" w:hAnsi="Times New Roman" w:cs="Times New Roman"/>
                <w:sz w:val="24"/>
                <w:szCs w:val="24"/>
                <w:lang w:eastAsia="lv-LV"/>
              </w:rPr>
              <w:t>Noteikumi par elektronisko informācijas apmaiņu ar Latvijas Banku</w:t>
            </w:r>
            <w:r w:rsidR="005541EE">
              <w:rPr>
                <w:rFonts w:ascii="Times New Roman" w:eastAsia="Times New Roman" w:hAnsi="Times New Roman" w:cs="Times New Roman"/>
                <w:sz w:val="24"/>
                <w:szCs w:val="24"/>
                <w:lang w:eastAsia="lv-LV"/>
              </w:rPr>
              <w:t>"</w:t>
            </w:r>
            <w:r w:rsidR="00282AB0" w:rsidRPr="008A4147">
              <w:rPr>
                <w:rFonts w:ascii="Times New Roman" w:eastAsia="Times New Roman" w:hAnsi="Times New Roman" w:cs="Times New Roman"/>
                <w:sz w:val="24"/>
                <w:szCs w:val="24"/>
                <w:lang w:eastAsia="lv-LV"/>
              </w:rPr>
              <w:t>;</w:t>
            </w:r>
          </w:p>
          <w:p w14:paraId="461B4129" w14:textId="3E259B8F" w:rsidR="00B151FC" w:rsidRPr="008A4147" w:rsidRDefault="00394095" w:rsidP="00025C42">
            <w:pPr>
              <w:pStyle w:val="NApunkts1"/>
              <w:numPr>
                <w:ilvl w:val="0"/>
                <w:numId w:val="0"/>
              </w:numPr>
              <w:spacing w:before="0" w:after="120"/>
            </w:pPr>
            <w:r w:rsidRPr="008A4147">
              <w:t>1</w:t>
            </w:r>
            <w:r w:rsidR="00B12E0F" w:rsidRPr="008A4147">
              <w:t>5</w:t>
            </w:r>
            <w:r w:rsidR="000C6B17" w:rsidRPr="008A4147">
              <w:t xml:space="preserve">) </w:t>
            </w:r>
            <w:r w:rsidR="00C5771D" w:rsidRPr="008A4147">
              <w:t xml:space="preserve">Latvijas Bankas 2024. gada 14. oktobra </w:t>
            </w:r>
            <w:r w:rsidR="000C6B17" w:rsidRPr="008A4147">
              <w:t>noteikumi Nr.</w:t>
            </w:r>
            <w:r w:rsidR="00025C42" w:rsidRPr="008A4147">
              <w:t> </w:t>
            </w:r>
            <w:r w:rsidR="00C5771D" w:rsidRPr="008A4147">
              <w:t xml:space="preserve">323 </w:t>
            </w:r>
            <w:r w:rsidR="005541EE">
              <w:t>"</w:t>
            </w:r>
            <w:r w:rsidR="000E5BFC" w:rsidRPr="008A4147">
              <w:t>Noteikumi par ieguldījumu brokeru sabiedrību atalgojuma politiku un praksi</w:t>
            </w:r>
            <w:r w:rsidR="005541EE">
              <w:t>"</w:t>
            </w:r>
            <w:r w:rsidR="000C6B17" w:rsidRPr="008A4147">
              <w:t>;</w:t>
            </w:r>
          </w:p>
          <w:p w14:paraId="0AF47923" w14:textId="59B88504" w:rsidR="00C5771D" w:rsidRPr="008A4147" w:rsidRDefault="00C5771D" w:rsidP="00025C42">
            <w:pPr>
              <w:pStyle w:val="NApunkts1"/>
              <w:numPr>
                <w:ilvl w:val="0"/>
                <w:numId w:val="0"/>
              </w:numPr>
              <w:spacing w:before="0" w:after="120"/>
            </w:pPr>
            <w:r w:rsidRPr="008A4147">
              <w:t xml:space="preserve">16) Latvijas Bankas noteikumu projekts </w:t>
            </w:r>
            <w:r w:rsidR="005541EE">
              <w:t>"</w:t>
            </w:r>
            <w:r w:rsidRPr="008A4147">
              <w:t>Noziedzīgi iegūtu līdzekļu legalizācijas un terorisma un proliferācijas finansēšanas riska pārvaldīšanas noteikumi</w:t>
            </w:r>
            <w:r w:rsidR="005541EE">
              <w:t>"</w:t>
            </w:r>
            <w:r w:rsidRPr="008A4147">
              <w:t>;</w:t>
            </w:r>
          </w:p>
          <w:p w14:paraId="24103414" w14:textId="105730F9" w:rsidR="00092145" w:rsidRPr="008A4147" w:rsidRDefault="00092145" w:rsidP="00025C42">
            <w:pPr>
              <w:pStyle w:val="NApunkts1"/>
              <w:numPr>
                <w:ilvl w:val="0"/>
                <w:numId w:val="0"/>
              </w:numPr>
              <w:spacing w:before="0" w:after="120"/>
            </w:pPr>
            <w:r w:rsidRPr="008A4147">
              <w:t>1</w:t>
            </w:r>
            <w:r w:rsidR="004C77D2" w:rsidRPr="008A4147">
              <w:t>7</w:t>
            </w:r>
            <w:r w:rsidRPr="008A4147">
              <w:t xml:space="preserve">) Finanšu un kapitāla tirgus komisijas 2006. gada 28. jūlija ieteikumi Nr. 125 </w:t>
            </w:r>
            <w:r w:rsidR="005541EE">
              <w:t>"</w:t>
            </w:r>
            <w:r w:rsidRPr="008A4147">
              <w:t>Operacionālā riska pārvaldīšanas ieteikumi</w:t>
            </w:r>
            <w:r w:rsidR="005541EE">
              <w:t>"</w:t>
            </w:r>
            <w:r w:rsidRPr="008A4147">
              <w:t>;</w:t>
            </w:r>
          </w:p>
          <w:p w14:paraId="73786A0E" w14:textId="6A7B6D4F" w:rsidR="00FD5EA0" w:rsidRPr="008A4147" w:rsidRDefault="00FD5EA0" w:rsidP="00025C42">
            <w:pPr>
              <w:pStyle w:val="NApunkts1"/>
              <w:numPr>
                <w:ilvl w:val="0"/>
                <w:numId w:val="0"/>
              </w:numPr>
              <w:spacing w:before="0" w:after="120"/>
            </w:pPr>
            <w:r w:rsidRPr="008A4147">
              <w:t>1</w:t>
            </w:r>
            <w:r w:rsidR="004C77D2" w:rsidRPr="008A4147">
              <w:t>8</w:t>
            </w:r>
            <w:r w:rsidRPr="008A4147">
              <w:t>)</w:t>
            </w:r>
            <w:r w:rsidR="00AF674D" w:rsidRPr="008A4147">
              <w:t xml:space="preserve"> </w:t>
            </w:r>
            <w:hyperlink r:id="rId11" w:history="1">
              <w:r w:rsidR="00AF674D" w:rsidRPr="008A4147">
                <w:rPr>
                  <w:rStyle w:val="Hyperlink"/>
                  <w:color w:val="auto"/>
                  <w:u w:val="none"/>
                </w:rPr>
                <w:t>Eiropas Banku iestādes 2021.</w:t>
              </w:r>
              <w:r w:rsidR="004C77D2" w:rsidRPr="008A4147">
                <w:rPr>
                  <w:rStyle w:val="Hyperlink"/>
                  <w:color w:val="auto"/>
                  <w:u w:val="none"/>
                </w:rPr>
                <w:t> </w:t>
              </w:r>
              <w:r w:rsidR="00AF674D" w:rsidRPr="008A4147">
                <w:rPr>
                  <w:rStyle w:val="Hyperlink"/>
                  <w:color w:val="auto"/>
                  <w:u w:val="none"/>
                </w:rPr>
                <w:t>gada 22.</w:t>
              </w:r>
              <w:r w:rsidR="004C77D2" w:rsidRPr="008A4147">
                <w:rPr>
                  <w:rStyle w:val="Hyperlink"/>
                  <w:color w:val="auto"/>
                  <w:u w:val="none"/>
                </w:rPr>
                <w:t> </w:t>
              </w:r>
              <w:r w:rsidR="00AF674D" w:rsidRPr="008A4147">
                <w:rPr>
                  <w:rStyle w:val="Hyperlink"/>
                  <w:color w:val="auto"/>
                  <w:u w:val="none"/>
                </w:rPr>
                <w:t>novembra pamatnostādnes Nr.</w:t>
              </w:r>
              <w:r w:rsidR="004C77D2" w:rsidRPr="008A4147">
                <w:rPr>
                  <w:rStyle w:val="Hyperlink"/>
                  <w:color w:val="auto"/>
                  <w:u w:val="none"/>
                </w:rPr>
                <w:t> </w:t>
              </w:r>
              <w:r w:rsidR="00AF674D" w:rsidRPr="008A4147">
                <w:rPr>
                  <w:rStyle w:val="Hyperlink"/>
                  <w:color w:val="auto"/>
                  <w:u w:val="none"/>
                </w:rPr>
                <w:t xml:space="preserve">EBA/GL/2021/14 </w:t>
              </w:r>
              <w:r w:rsidR="005541EE">
                <w:rPr>
                  <w:rStyle w:val="Hyperlink"/>
                  <w:color w:val="auto"/>
                  <w:u w:val="none"/>
                </w:rPr>
                <w:t>"</w:t>
              </w:r>
              <w:r w:rsidR="00AF674D" w:rsidRPr="008A4147">
                <w:rPr>
                  <w:rStyle w:val="Hyperlink"/>
                  <w:color w:val="auto"/>
                  <w:u w:val="none"/>
                </w:rPr>
                <w:t xml:space="preserve">Pamatnostādnes par iekšējo pārvaldību saskaņā ar </w:t>
              </w:r>
              <w:r w:rsidR="008A4147" w:rsidRPr="008A4147">
                <w:rPr>
                  <w:rStyle w:val="Hyperlink"/>
                  <w:color w:val="auto"/>
                  <w:u w:val="none"/>
                </w:rPr>
                <w:t xml:space="preserve">Direktīvu </w:t>
              </w:r>
              <w:r w:rsidR="00AF674D" w:rsidRPr="008A4147">
                <w:rPr>
                  <w:rStyle w:val="Hyperlink"/>
                  <w:color w:val="auto"/>
                  <w:u w:val="none"/>
                </w:rPr>
                <w:t>(ES)</w:t>
              </w:r>
              <w:r w:rsidR="008A4147">
                <w:rPr>
                  <w:rStyle w:val="Hyperlink"/>
                  <w:color w:val="auto"/>
                  <w:u w:val="none"/>
                </w:rPr>
                <w:t> </w:t>
              </w:r>
              <w:r w:rsidR="00AF674D" w:rsidRPr="008A4147">
                <w:rPr>
                  <w:rStyle w:val="Hyperlink"/>
                  <w:color w:val="auto"/>
                  <w:u w:val="none"/>
                </w:rPr>
                <w:t>2019/2034</w:t>
              </w:r>
              <w:r w:rsidR="005541EE">
                <w:rPr>
                  <w:rStyle w:val="Hyperlink"/>
                  <w:color w:val="auto"/>
                  <w:u w:val="none"/>
                </w:rPr>
                <w:t>"</w:t>
              </w:r>
            </w:hyperlink>
            <w:r w:rsidR="00AF674D" w:rsidRPr="008A4147">
              <w:t>;</w:t>
            </w:r>
          </w:p>
          <w:p w14:paraId="5AC825C6" w14:textId="12CEB538" w:rsidR="00FD5EA0" w:rsidRPr="008A4147" w:rsidRDefault="00394095" w:rsidP="00025C42">
            <w:pPr>
              <w:spacing w:after="120" w:line="240" w:lineRule="auto"/>
              <w:jc w:val="both"/>
              <w:rPr>
                <w:rFonts w:ascii="Times New Roman" w:eastAsia="Times New Roman" w:hAnsi="Times New Roman" w:cs="Times New Roman"/>
                <w:sz w:val="24"/>
                <w:szCs w:val="24"/>
                <w:lang w:eastAsia="lv-LV"/>
              </w:rPr>
            </w:pPr>
            <w:r w:rsidRPr="008A4147">
              <w:rPr>
                <w:rFonts w:ascii="Times New Roman" w:eastAsia="Times New Roman" w:hAnsi="Times New Roman" w:cs="Times New Roman"/>
                <w:sz w:val="24"/>
                <w:szCs w:val="24"/>
                <w:lang w:eastAsia="lv-LV"/>
              </w:rPr>
              <w:t>1</w:t>
            </w:r>
            <w:r w:rsidR="004C77D2" w:rsidRPr="008A4147">
              <w:rPr>
                <w:rFonts w:ascii="Times New Roman" w:eastAsia="Times New Roman" w:hAnsi="Times New Roman" w:cs="Times New Roman"/>
                <w:sz w:val="24"/>
                <w:szCs w:val="24"/>
                <w:lang w:eastAsia="lv-LV"/>
              </w:rPr>
              <w:t>9</w:t>
            </w:r>
            <w:r w:rsidR="001A112D" w:rsidRPr="008A4147">
              <w:rPr>
                <w:rFonts w:ascii="Times New Roman" w:eastAsia="Times New Roman" w:hAnsi="Times New Roman" w:cs="Times New Roman"/>
                <w:sz w:val="24"/>
                <w:szCs w:val="24"/>
                <w:lang w:eastAsia="lv-LV"/>
              </w:rPr>
              <w:t>)</w:t>
            </w:r>
            <w:r w:rsidR="004F6DBD" w:rsidRPr="008A4147">
              <w:t xml:space="preserve"> </w:t>
            </w:r>
            <w:hyperlink r:id="rId12" w:history="1">
              <w:r w:rsidR="00FD5EA0" w:rsidRPr="008A4147">
                <w:rPr>
                  <w:rStyle w:val="Hyperlink"/>
                  <w:rFonts w:ascii="Times New Roman" w:eastAsia="Times New Roman" w:hAnsi="Times New Roman" w:cs="Times New Roman"/>
                  <w:color w:val="auto"/>
                  <w:sz w:val="24"/>
                  <w:szCs w:val="24"/>
                  <w:u w:val="none"/>
                  <w:lang w:eastAsia="lv-LV"/>
                </w:rPr>
                <w:t>Eiropas Vērtspapīru un tirgu iestādes 2021.</w:t>
              </w:r>
              <w:r w:rsidR="00025C42" w:rsidRPr="008A4147">
                <w:rPr>
                  <w:rStyle w:val="Hyperlink"/>
                  <w:rFonts w:ascii="Times New Roman" w:eastAsia="Times New Roman" w:hAnsi="Times New Roman" w:cs="Times New Roman"/>
                  <w:color w:val="auto"/>
                  <w:sz w:val="24"/>
                  <w:szCs w:val="24"/>
                  <w:u w:val="none"/>
                  <w:lang w:eastAsia="lv-LV"/>
                </w:rPr>
                <w:t> </w:t>
              </w:r>
              <w:r w:rsidR="00FD5EA0" w:rsidRPr="008A4147">
                <w:rPr>
                  <w:rStyle w:val="Hyperlink"/>
                  <w:rFonts w:ascii="Times New Roman" w:eastAsia="Times New Roman" w:hAnsi="Times New Roman" w:cs="Times New Roman"/>
                  <w:color w:val="auto"/>
                  <w:sz w:val="24"/>
                  <w:szCs w:val="24"/>
                  <w:u w:val="none"/>
                  <w:lang w:eastAsia="lv-LV"/>
                </w:rPr>
                <w:t>gada 6.</w:t>
              </w:r>
              <w:r w:rsidR="00025C42" w:rsidRPr="008A4147">
                <w:rPr>
                  <w:rStyle w:val="Hyperlink"/>
                  <w:rFonts w:ascii="Times New Roman" w:eastAsia="Times New Roman" w:hAnsi="Times New Roman" w:cs="Times New Roman"/>
                  <w:color w:val="auto"/>
                  <w:sz w:val="24"/>
                  <w:szCs w:val="24"/>
                  <w:u w:val="none"/>
                  <w:lang w:eastAsia="lv-LV"/>
                </w:rPr>
                <w:t> </w:t>
              </w:r>
              <w:r w:rsidR="00FD5EA0" w:rsidRPr="008A4147">
                <w:rPr>
                  <w:rStyle w:val="Hyperlink"/>
                  <w:rFonts w:ascii="Times New Roman" w:eastAsia="Times New Roman" w:hAnsi="Times New Roman" w:cs="Times New Roman"/>
                  <w:color w:val="auto"/>
                  <w:sz w:val="24"/>
                  <w:szCs w:val="24"/>
                  <w:u w:val="none"/>
                  <w:lang w:eastAsia="lv-LV"/>
                </w:rPr>
                <w:t>aprīļa pamatnostādnes Nr.</w:t>
              </w:r>
              <w:r w:rsidR="00025C42" w:rsidRPr="008A4147">
                <w:rPr>
                  <w:rStyle w:val="Hyperlink"/>
                  <w:rFonts w:ascii="Times New Roman" w:eastAsia="Times New Roman" w:hAnsi="Times New Roman" w:cs="Times New Roman"/>
                  <w:color w:val="auto"/>
                  <w:sz w:val="24"/>
                  <w:szCs w:val="24"/>
                  <w:u w:val="none"/>
                  <w:lang w:eastAsia="lv-LV"/>
                </w:rPr>
                <w:t> </w:t>
              </w:r>
              <w:r w:rsidR="00FD5EA0" w:rsidRPr="008A4147">
                <w:rPr>
                  <w:rStyle w:val="Hyperlink"/>
                  <w:rFonts w:ascii="Times New Roman" w:eastAsia="Times New Roman" w:hAnsi="Times New Roman" w:cs="Times New Roman"/>
                  <w:color w:val="auto"/>
                  <w:sz w:val="24"/>
                  <w:szCs w:val="24"/>
                  <w:u w:val="none"/>
                  <w:lang w:eastAsia="lv-LV"/>
                </w:rPr>
                <w:t>ESMA35-36-1952</w:t>
              </w:r>
              <w:r w:rsidR="00E6747A" w:rsidRPr="008A4147">
                <w:rPr>
                  <w:rStyle w:val="Hyperlink"/>
                  <w:rFonts w:ascii="Times New Roman" w:eastAsia="Times New Roman" w:hAnsi="Times New Roman" w:cs="Times New Roman"/>
                  <w:color w:val="auto"/>
                  <w:sz w:val="24"/>
                  <w:szCs w:val="24"/>
                  <w:u w:val="none"/>
                  <w:lang w:eastAsia="lv-LV"/>
                </w:rPr>
                <w:t> </w:t>
              </w:r>
              <w:r w:rsidR="00FD5EA0" w:rsidRPr="008A4147">
                <w:rPr>
                  <w:rStyle w:val="Hyperlink"/>
                  <w:rFonts w:ascii="Times New Roman" w:eastAsia="Times New Roman" w:hAnsi="Times New Roman" w:cs="Times New Roman"/>
                  <w:color w:val="auto"/>
                  <w:sz w:val="24"/>
                  <w:szCs w:val="24"/>
                  <w:u w:val="none"/>
                  <w:lang w:eastAsia="lv-LV"/>
                </w:rPr>
                <w:t xml:space="preserve">LV </w:t>
              </w:r>
              <w:r w:rsidR="005541EE">
                <w:rPr>
                  <w:rStyle w:val="Hyperlink"/>
                  <w:rFonts w:ascii="Times New Roman" w:eastAsia="Times New Roman" w:hAnsi="Times New Roman" w:cs="Times New Roman"/>
                  <w:color w:val="auto"/>
                  <w:sz w:val="24"/>
                  <w:szCs w:val="24"/>
                  <w:u w:val="none"/>
                  <w:lang w:eastAsia="lv-LV"/>
                </w:rPr>
                <w:t>"</w:t>
              </w:r>
              <w:r w:rsidR="00FD5EA0" w:rsidRPr="008A4147">
                <w:rPr>
                  <w:rStyle w:val="Hyperlink"/>
                  <w:rFonts w:ascii="Times New Roman" w:eastAsia="Times New Roman" w:hAnsi="Times New Roman" w:cs="Times New Roman"/>
                  <w:color w:val="auto"/>
                  <w:sz w:val="24"/>
                  <w:szCs w:val="24"/>
                  <w:u w:val="none"/>
                  <w:lang w:eastAsia="lv-LV"/>
                </w:rPr>
                <w:t>Par noteiktiem FITD</w:t>
              </w:r>
              <w:r w:rsidR="00025C42" w:rsidRPr="008A4147">
                <w:rPr>
                  <w:rStyle w:val="Hyperlink"/>
                  <w:rFonts w:ascii="Times New Roman" w:eastAsia="Times New Roman" w:hAnsi="Times New Roman" w:cs="Times New Roman"/>
                  <w:color w:val="auto"/>
                  <w:sz w:val="24"/>
                  <w:szCs w:val="24"/>
                  <w:u w:val="none"/>
                  <w:lang w:eastAsia="lv-LV"/>
                </w:rPr>
                <w:t> </w:t>
              </w:r>
              <w:r w:rsidR="00FD5EA0" w:rsidRPr="008A4147">
                <w:rPr>
                  <w:rStyle w:val="Hyperlink"/>
                  <w:rFonts w:ascii="Times New Roman" w:eastAsia="Times New Roman" w:hAnsi="Times New Roman" w:cs="Times New Roman"/>
                  <w:color w:val="auto"/>
                  <w:sz w:val="24"/>
                  <w:szCs w:val="24"/>
                  <w:u w:val="none"/>
                  <w:lang w:eastAsia="lv-LV"/>
                </w:rPr>
                <w:t>II atbilstības uzraudzības prasību aspektiem</w:t>
              </w:r>
              <w:r w:rsidR="005541EE">
                <w:rPr>
                  <w:rStyle w:val="Hyperlink"/>
                  <w:rFonts w:ascii="Times New Roman" w:eastAsia="Times New Roman" w:hAnsi="Times New Roman" w:cs="Times New Roman"/>
                  <w:color w:val="auto"/>
                  <w:sz w:val="24"/>
                  <w:szCs w:val="24"/>
                  <w:u w:val="none"/>
                  <w:lang w:eastAsia="lv-LV"/>
                </w:rPr>
                <w:t>"</w:t>
              </w:r>
            </w:hyperlink>
            <w:r w:rsidR="00FD5EA0" w:rsidRPr="008A4147">
              <w:rPr>
                <w:rFonts w:ascii="Times New Roman" w:eastAsia="Times New Roman" w:hAnsi="Times New Roman" w:cs="Times New Roman"/>
                <w:sz w:val="24"/>
                <w:szCs w:val="24"/>
                <w:lang w:eastAsia="lv-LV"/>
              </w:rPr>
              <w:t>;</w:t>
            </w:r>
          </w:p>
          <w:p w14:paraId="68FB9401" w14:textId="742D3586" w:rsidR="00282AB0" w:rsidRPr="008A4147" w:rsidRDefault="004C77D2" w:rsidP="00025C42">
            <w:pPr>
              <w:spacing w:after="120" w:line="240" w:lineRule="auto"/>
              <w:jc w:val="both"/>
              <w:rPr>
                <w:rFonts w:ascii="Times New Roman" w:eastAsia="Times New Roman" w:hAnsi="Times New Roman" w:cs="Times New Roman"/>
                <w:sz w:val="24"/>
                <w:szCs w:val="24"/>
                <w:lang w:eastAsia="lv-LV"/>
              </w:rPr>
            </w:pPr>
            <w:r w:rsidRPr="008A4147">
              <w:rPr>
                <w:rFonts w:ascii="Times New Roman" w:eastAsia="Times New Roman" w:hAnsi="Times New Roman" w:cs="Times New Roman"/>
                <w:sz w:val="24"/>
                <w:szCs w:val="24"/>
                <w:lang w:eastAsia="lv-LV"/>
              </w:rPr>
              <w:t>20</w:t>
            </w:r>
            <w:r w:rsidR="00FD5EA0" w:rsidRPr="008A4147">
              <w:rPr>
                <w:rFonts w:ascii="Times New Roman" w:eastAsia="Times New Roman" w:hAnsi="Times New Roman" w:cs="Times New Roman"/>
                <w:sz w:val="24"/>
                <w:szCs w:val="24"/>
                <w:lang w:eastAsia="lv-LV"/>
              </w:rPr>
              <w:t xml:space="preserve">) </w:t>
            </w:r>
            <w:hyperlink r:id="rId13" w:history="1">
              <w:r w:rsidR="002F2F54" w:rsidRPr="008A4147">
                <w:rPr>
                  <w:rStyle w:val="Hyperlink"/>
                  <w:rFonts w:ascii="Times New Roman" w:eastAsia="Times New Roman" w:hAnsi="Times New Roman" w:cs="Times New Roman"/>
                  <w:color w:val="auto"/>
                  <w:sz w:val="24"/>
                  <w:szCs w:val="24"/>
                  <w:u w:val="none"/>
                  <w:lang w:eastAsia="lv-LV"/>
                </w:rPr>
                <w:t>Eiropas Banku iestādes 2023.</w:t>
              </w:r>
              <w:r w:rsidR="00E6747A" w:rsidRPr="008A4147">
                <w:rPr>
                  <w:rStyle w:val="Hyperlink"/>
                  <w:rFonts w:ascii="Times New Roman" w:eastAsia="Times New Roman" w:hAnsi="Times New Roman" w:cs="Times New Roman"/>
                  <w:color w:val="auto"/>
                  <w:sz w:val="24"/>
                  <w:szCs w:val="24"/>
                  <w:u w:val="none"/>
                  <w:lang w:eastAsia="lv-LV"/>
                </w:rPr>
                <w:t> </w:t>
              </w:r>
              <w:r w:rsidR="002F2F54" w:rsidRPr="008A4147">
                <w:rPr>
                  <w:rStyle w:val="Hyperlink"/>
                  <w:rFonts w:ascii="Times New Roman" w:eastAsia="Times New Roman" w:hAnsi="Times New Roman" w:cs="Times New Roman"/>
                  <w:color w:val="auto"/>
                  <w:sz w:val="24"/>
                  <w:szCs w:val="24"/>
                  <w:u w:val="none"/>
                  <w:lang w:eastAsia="lv-LV"/>
                </w:rPr>
                <w:t>gada 18.</w:t>
              </w:r>
              <w:r w:rsidR="00E6747A" w:rsidRPr="008A4147">
                <w:rPr>
                  <w:rStyle w:val="Hyperlink"/>
                  <w:rFonts w:ascii="Times New Roman" w:eastAsia="Times New Roman" w:hAnsi="Times New Roman" w:cs="Times New Roman"/>
                  <w:color w:val="auto"/>
                  <w:sz w:val="24"/>
                  <w:szCs w:val="24"/>
                  <w:u w:val="none"/>
                  <w:lang w:eastAsia="lv-LV"/>
                </w:rPr>
                <w:t> </w:t>
              </w:r>
              <w:r w:rsidR="002F2F54" w:rsidRPr="008A4147">
                <w:rPr>
                  <w:rStyle w:val="Hyperlink"/>
                  <w:rFonts w:ascii="Times New Roman" w:eastAsia="Times New Roman" w:hAnsi="Times New Roman" w:cs="Times New Roman"/>
                  <w:color w:val="auto"/>
                  <w:sz w:val="24"/>
                  <w:szCs w:val="24"/>
                  <w:u w:val="none"/>
                  <w:lang w:eastAsia="lv-LV"/>
                </w:rPr>
                <w:t>decembra pamatnostādnes Nr.</w:t>
              </w:r>
              <w:r w:rsidR="00A41CD8" w:rsidRPr="008A4147">
                <w:rPr>
                  <w:rStyle w:val="Hyperlink"/>
                  <w:rFonts w:ascii="Times New Roman" w:eastAsia="Times New Roman" w:hAnsi="Times New Roman" w:cs="Times New Roman"/>
                  <w:color w:val="auto"/>
                  <w:sz w:val="24"/>
                  <w:szCs w:val="24"/>
                  <w:u w:val="none"/>
                  <w:lang w:eastAsia="lv-LV"/>
                </w:rPr>
                <w:t> </w:t>
              </w:r>
              <w:r w:rsidR="002F2F54" w:rsidRPr="008A4147">
                <w:rPr>
                  <w:rStyle w:val="Hyperlink"/>
                  <w:rFonts w:ascii="Times New Roman" w:eastAsia="Times New Roman" w:hAnsi="Times New Roman" w:cs="Times New Roman"/>
                  <w:color w:val="auto"/>
                  <w:sz w:val="24"/>
                  <w:szCs w:val="24"/>
                  <w:u w:val="none"/>
                  <w:lang w:eastAsia="lv-LV"/>
                </w:rPr>
                <w:t xml:space="preserve">EBA/GL/2023/08 </w:t>
              </w:r>
              <w:r w:rsidR="005541EE">
                <w:rPr>
                  <w:rStyle w:val="Hyperlink"/>
                  <w:rFonts w:ascii="Times New Roman" w:eastAsia="Times New Roman" w:hAnsi="Times New Roman" w:cs="Times New Roman"/>
                  <w:color w:val="auto"/>
                  <w:sz w:val="24"/>
                  <w:szCs w:val="24"/>
                  <w:u w:val="none"/>
                  <w:lang w:eastAsia="lv-LV"/>
                </w:rPr>
                <w:t>"</w:t>
              </w:r>
              <w:r w:rsidR="002F2F54" w:rsidRPr="008A4147">
                <w:rPr>
                  <w:rStyle w:val="Hyperlink"/>
                  <w:rFonts w:ascii="Times New Roman" w:eastAsia="Times New Roman" w:hAnsi="Times New Roman" w:cs="Times New Roman"/>
                  <w:color w:val="auto"/>
                  <w:sz w:val="24"/>
                  <w:szCs w:val="24"/>
                  <w:u w:val="none"/>
                  <w:lang w:eastAsia="lv-LV"/>
                </w:rPr>
                <w:t xml:space="preserve">Pamatnostādnes par dažādības prakses, tostarp dažādības politikas un vīriešu un sieviešu darba samaksas atšķirību, salīdzinošo novērtēšanu saskaņā ar </w:t>
              </w:r>
              <w:r w:rsidR="008A4147" w:rsidRPr="008A4147">
                <w:rPr>
                  <w:rStyle w:val="Hyperlink"/>
                  <w:rFonts w:ascii="Times New Roman" w:eastAsia="Times New Roman" w:hAnsi="Times New Roman" w:cs="Times New Roman"/>
                  <w:color w:val="auto"/>
                  <w:sz w:val="24"/>
                  <w:szCs w:val="24"/>
                  <w:u w:val="none"/>
                  <w:lang w:eastAsia="lv-LV"/>
                </w:rPr>
                <w:t>Direktīvu</w:t>
              </w:r>
              <w:r w:rsidR="008A4147">
                <w:rPr>
                  <w:rStyle w:val="Hyperlink"/>
                  <w:rFonts w:ascii="Times New Roman" w:eastAsia="Times New Roman" w:hAnsi="Times New Roman" w:cs="Times New Roman"/>
                  <w:color w:val="auto"/>
                  <w:sz w:val="24"/>
                  <w:szCs w:val="24"/>
                  <w:u w:val="none"/>
                  <w:lang w:eastAsia="lv-LV"/>
                </w:rPr>
                <w:t> </w:t>
              </w:r>
              <w:r w:rsidR="002F2F54" w:rsidRPr="008A4147">
                <w:rPr>
                  <w:rStyle w:val="Hyperlink"/>
                  <w:rFonts w:ascii="Times New Roman" w:eastAsia="Times New Roman" w:hAnsi="Times New Roman" w:cs="Times New Roman"/>
                  <w:color w:val="auto"/>
                  <w:sz w:val="24"/>
                  <w:szCs w:val="24"/>
                  <w:u w:val="none"/>
                  <w:lang w:eastAsia="lv-LV"/>
                </w:rPr>
                <w:t xml:space="preserve">2013/36/ES un </w:t>
              </w:r>
              <w:r w:rsidR="008A4147" w:rsidRPr="008A4147">
                <w:rPr>
                  <w:rStyle w:val="Hyperlink"/>
                  <w:rFonts w:ascii="Times New Roman" w:eastAsia="Times New Roman" w:hAnsi="Times New Roman" w:cs="Times New Roman"/>
                  <w:color w:val="auto"/>
                  <w:sz w:val="24"/>
                  <w:szCs w:val="24"/>
                  <w:u w:val="none"/>
                  <w:lang w:eastAsia="lv-LV"/>
                </w:rPr>
                <w:t xml:space="preserve">Direktīvu </w:t>
              </w:r>
              <w:r w:rsidR="002F2F54" w:rsidRPr="008A4147">
                <w:rPr>
                  <w:rStyle w:val="Hyperlink"/>
                  <w:rFonts w:ascii="Times New Roman" w:eastAsia="Times New Roman" w:hAnsi="Times New Roman" w:cs="Times New Roman"/>
                  <w:color w:val="auto"/>
                  <w:sz w:val="24"/>
                  <w:szCs w:val="24"/>
                  <w:u w:val="none"/>
                  <w:lang w:eastAsia="lv-LV"/>
                </w:rPr>
                <w:t>(ES)</w:t>
              </w:r>
              <w:r w:rsidR="008A4147">
                <w:rPr>
                  <w:rStyle w:val="Hyperlink"/>
                  <w:rFonts w:ascii="Times New Roman" w:eastAsia="Times New Roman" w:hAnsi="Times New Roman" w:cs="Times New Roman"/>
                  <w:color w:val="auto"/>
                  <w:sz w:val="24"/>
                  <w:szCs w:val="24"/>
                  <w:u w:val="none"/>
                  <w:lang w:eastAsia="lv-LV"/>
                </w:rPr>
                <w:t> </w:t>
              </w:r>
              <w:r w:rsidR="002F2F54" w:rsidRPr="008A4147">
                <w:rPr>
                  <w:rStyle w:val="Hyperlink"/>
                  <w:rFonts w:ascii="Times New Roman" w:eastAsia="Times New Roman" w:hAnsi="Times New Roman" w:cs="Times New Roman"/>
                  <w:color w:val="auto"/>
                  <w:sz w:val="24"/>
                  <w:szCs w:val="24"/>
                  <w:u w:val="none"/>
                  <w:lang w:eastAsia="lv-LV"/>
                </w:rPr>
                <w:t>2019/2034</w:t>
              </w:r>
              <w:r w:rsidR="005541EE">
                <w:rPr>
                  <w:rStyle w:val="Hyperlink"/>
                  <w:rFonts w:ascii="Times New Roman" w:eastAsia="Times New Roman" w:hAnsi="Times New Roman" w:cs="Times New Roman"/>
                  <w:color w:val="auto"/>
                  <w:sz w:val="24"/>
                  <w:szCs w:val="24"/>
                  <w:u w:val="none"/>
                  <w:lang w:eastAsia="lv-LV"/>
                </w:rPr>
                <w:t>"</w:t>
              </w:r>
            </w:hyperlink>
            <w:r w:rsidR="002F2F54" w:rsidRPr="008A4147">
              <w:rPr>
                <w:rFonts w:ascii="Times New Roman" w:eastAsia="Times New Roman" w:hAnsi="Times New Roman" w:cs="Times New Roman"/>
                <w:sz w:val="24"/>
                <w:szCs w:val="24"/>
                <w:lang w:eastAsia="lv-LV"/>
              </w:rPr>
              <w:t>;</w:t>
            </w:r>
          </w:p>
          <w:p w14:paraId="36B25790" w14:textId="096D80B8" w:rsidR="002F2F54" w:rsidRPr="008A4147" w:rsidRDefault="00B12E0F" w:rsidP="00025C42">
            <w:pPr>
              <w:spacing w:after="120" w:line="240" w:lineRule="auto"/>
              <w:jc w:val="both"/>
              <w:rPr>
                <w:rFonts w:ascii="Times New Roman" w:eastAsia="Times New Roman" w:hAnsi="Times New Roman" w:cs="Times New Roman"/>
                <w:sz w:val="24"/>
                <w:szCs w:val="24"/>
                <w:lang w:eastAsia="lv-LV"/>
              </w:rPr>
            </w:pPr>
            <w:r w:rsidRPr="008A4147">
              <w:rPr>
                <w:rFonts w:ascii="Times New Roman" w:eastAsia="Times New Roman" w:hAnsi="Times New Roman" w:cs="Times New Roman"/>
                <w:sz w:val="24"/>
                <w:szCs w:val="24"/>
                <w:lang w:eastAsia="lv-LV"/>
              </w:rPr>
              <w:t>2</w:t>
            </w:r>
            <w:r w:rsidR="004C77D2" w:rsidRPr="008A4147">
              <w:rPr>
                <w:rFonts w:ascii="Times New Roman" w:eastAsia="Times New Roman" w:hAnsi="Times New Roman" w:cs="Times New Roman"/>
                <w:sz w:val="24"/>
                <w:szCs w:val="24"/>
                <w:lang w:eastAsia="lv-LV"/>
              </w:rPr>
              <w:t>1</w:t>
            </w:r>
            <w:r w:rsidR="001A112D" w:rsidRPr="008A4147">
              <w:rPr>
                <w:rFonts w:ascii="Times New Roman" w:eastAsia="Times New Roman" w:hAnsi="Times New Roman" w:cs="Times New Roman"/>
                <w:sz w:val="24"/>
                <w:szCs w:val="24"/>
                <w:lang w:eastAsia="lv-LV"/>
              </w:rPr>
              <w:t xml:space="preserve">) </w:t>
            </w:r>
            <w:hyperlink r:id="rId14" w:history="1">
              <w:r w:rsidR="002F2F54" w:rsidRPr="008A4147">
                <w:rPr>
                  <w:rStyle w:val="Hyperlink"/>
                  <w:rFonts w:ascii="Times New Roman" w:eastAsia="Times New Roman" w:hAnsi="Times New Roman" w:cs="Times New Roman"/>
                  <w:color w:val="auto"/>
                  <w:sz w:val="24"/>
                  <w:szCs w:val="24"/>
                  <w:u w:val="none"/>
                  <w:lang w:eastAsia="lv-LV"/>
                </w:rPr>
                <w:t>Eiropas Banku iestādes 2021.</w:t>
              </w:r>
              <w:r w:rsidR="00025C42" w:rsidRPr="008A4147">
                <w:rPr>
                  <w:rStyle w:val="Hyperlink"/>
                  <w:rFonts w:ascii="Times New Roman" w:eastAsia="Times New Roman" w:hAnsi="Times New Roman" w:cs="Times New Roman"/>
                  <w:color w:val="auto"/>
                  <w:sz w:val="24"/>
                  <w:szCs w:val="24"/>
                  <w:u w:val="none"/>
                  <w:lang w:eastAsia="lv-LV"/>
                </w:rPr>
                <w:t> </w:t>
              </w:r>
              <w:r w:rsidR="002F2F54" w:rsidRPr="008A4147">
                <w:rPr>
                  <w:rStyle w:val="Hyperlink"/>
                  <w:rFonts w:ascii="Times New Roman" w:eastAsia="Times New Roman" w:hAnsi="Times New Roman" w:cs="Times New Roman"/>
                  <w:color w:val="auto"/>
                  <w:sz w:val="24"/>
                  <w:szCs w:val="24"/>
                  <w:u w:val="none"/>
                  <w:lang w:eastAsia="lv-LV"/>
                </w:rPr>
                <w:t>gada 2</w:t>
              </w:r>
              <w:r w:rsidR="00FD5EA0" w:rsidRPr="008A4147">
                <w:rPr>
                  <w:rStyle w:val="Hyperlink"/>
                  <w:rFonts w:ascii="Times New Roman" w:eastAsia="Times New Roman" w:hAnsi="Times New Roman" w:cs="Times New Roman"/>
                  <w:color w:val="auto"/>
                  <w:sz w:val="24"/>
                  <w:szCs w:val="24"/>
                  <w:u w:val="none"/>
                  <w:lang w:eastAsia="lv-LV"/>
                </w:rPr>
                <w:t>2</w:t>
              </w:r>
              <w:r w:rsidR="002F2F54" w:rsidRPr="008A4147">
                <w:rPr>
                  <w:rStyle w:val="Hyperlink"/>
                  <w:rFonts w:ascii="Times New Roman" w:eastAsia="Times New Roman" w:hAnsi="Times New Roman" w:cs="Times New Roman"/>
                  <w:color w:val="auto"/>
                  <w:sz w:val="24"/>
                  <w:szCs w:val="24"/>
                  <w:u w:val="none"/>
                  <w:lang w:eastAsia="lv-LV"/>
                </w:rPr>
                <w:t>.</w:t>
              </w:r>
              <w:r w:rsidR="00025C42" w:rsidRPr="008A4147">
                <w:rPr>
                  <w:rStyle w:val="Hyperlink"/>
                  <w:rFonts w:ascii="Times New Roman" w:eastAsia="Times New Roman" w:hAnsi="Times New Roman" w:cs="Times New Roman"/>
                  <w:color w:val="auto"/>
                  <w:sz w:val="24"/>
                  <w:szCs w:val="24"/>
                  <w:u w:val="none"/>
                  <w:lang w:eastAsia="lv-LV"/>
                </w:rPr>
                <w:t> </w:t>
              </w:r>
              <w:r w:rsidR="00FD5EA0" w:rsidRPr="008A4147">
                <w:rPr>
                  <w:rStyle w:val="Hyperlink"/>
                  <w:rFonts w:ascii="Times New Roman" w:eastAsia="Times New Roman" w:hAnsi="Times New Roman" w:cs="Times New Roman"/>
                  <w:color w:val="auto"/>
                  <w:sz w:val="24"/>
                  <w:szCs w:val="24"/>
                  <w:u w:val="none"/>
                  <w:lang w:eastAsia="lv-LV"/>
                </w:rPr>
                <w:t>novembra</w:t>
              </w:r>
              <w:r w:rsidR="002F2F54" w:rsidRPr="008A4147">
                <w:rPr>
                  <w:rStyle w:val="Hyperlink"/>
                  <w:rFonts w:ascii="Times New Roman" w:eastAsia="Times New Roman" w:hAnsi="Times New Roman" w:cs="Times New Roman"/>
                  <w:color w:val="auto"/>
                  <w:sz w:val="24"/>
                  <w:szCs w:val="24"/>
                  <w:u w:val="none"/>
                  <w:lang w:eastAsia="lv-LV"/>
                </w:rPr>
                <w:t xml:space="preserve"> pamatnostādnes Nr.</w:t>
              </w:r>
              <w:r w:rsidR="00025C42" w:rsidRPr="008A4147">
                <w:rPr>
                  <w:rStyle w:val="Hyperlink"/>
                  <w:rFonts w:ascii="Times New Roman" w:eastAsia="Times New Roman" w:hAnsi="Times New Roman" w:cs="Times New Roman"/>
                  <w:color w:val="auto"/>
                  <w:sz w:val="24"/>
                  <w:szCs w:val="24"/>
                  <w:u w:val="none"/>
                  <w:lang w:eastAsia="lv-LV"/>
                </w:rPr>
                <w:t> </w:t>
              </w:r>
              <w:r w:rsidR="002F2F54" w:rsidRPr="008A4147">
                <w:rPr>
                  <w:rStyle w:val="Hyperlink"/>
                  <w:rFonts w:ascii="Times New Roman" w:eastAsia="Times New Roman" w:hAnsi="Times New Roman" w:cs="Times New Roman"/>
                  <w:color w:val="auto"/>
                  <w:sz w:val="24"/>
                  <w:szCs w:val="24"/>
                  <w:u w:val="none"/>
                  <w:lang w:eastAsia="lv-LV"/>
                </w:rPr>
                <w:t>EBA/GL/2021/</w:t>
              </w:r>
              <w:r w:rsidR="00FD5EA0" w:rsidRPr="008A4147">
                <w:rPr>
                  <w:rStyle w:val="Hyperlink"/>
                  <w:rFonts w:ascii="Times New Roman" w:eastAsia="Times New Roman" w:hAnsi="Times New Roman" w:cs="Times New Roman"/>
                  <w:color w:val="auto"/>
                  <w:sz w:val="24"/>
                  <w:szCs w:val="24"/>
                  <w:u w:val="none"/>
                  <w:lang w:eastAsia="lv-LV"/>
                </w:rPr>
                <w:t>13</w:t>
              </w:r>
              <w:r w:rsidR="002F2F54" w:rsidRPr="008A4147">
                <w:rPr>
                  <w:rStyle w:val="Hyperlink"/>
                  <w:rFonts w:ascii="Times New Roman" w:eastAsia="Times New Roman" w:hAnsi="Times New Roman" w:cs="Times New Roman"/>
                  <w:color w:val="auto"/>
                  <w:sz w:val="24"/>
                  <w:szCs w:val="24"/>
                  <w:u w:val="none"/>
                  <w:lang w:eastAsia="lv-LV"/>
                </w:rPr>
                <w:t xml:space="preserve"> </w:t>
              </w:r>
              <w:r w:rsidR="005541EE">
                <w:rPr>
                  <w:rStyle w:val="Hyperlink"/>
                  <w:rFonts w:ascii="Times New Roman" w:eastAsia="Times New Roman" w:hAnsi="Times New Roman" w:cs="Times New Roman"/>
                  <w:color w:val="auto"/>
                  <w:sz w:val="24"/>
                  <w:szCs w:val="24"/>
                  <w:u w:val="none"/>
                  <w:lang w:eastAsia="lv-LV"/>
                </w:rPr>
                <w:t>"</w:t>
              </w:r>
              <w:r w:rsidR="002F2F54" w:rsidRPr="008A4147">
                <w:rPr>
                  <w:rStyle w:val="Hyperlink"/>
                  <w:rFonts w:ascii="Times New Roman" w:eastAsia="Times New Roman" w:hAnsi="Times New Roman" w:cs="Times New Roman"/>
                  <w:color w:val="auto"/>
                  <w:sz w:val="24"/>
                  <w:szCs w:val="24"/>
                  <w:u w:val="none"/>
                  <w:lang w:eastAsia="lv-LV"/>
                </w:rPr>
                <w:t xml:space="preserve">Pamatnostādnes </w:t>
              </w:r>
              <w:r w:rsidR="00FD5EA0" w:rsidRPr="008A4147">
                <w:rPr>
                  <w:rStyle w:val="Hyperlink"/>
                  <w:rFonts w:ascii="Times New Roman" w:eastAsia="Times New Roman" w:hAnsi="Times New Roman" w:cs="Times New Roman"/>
                  <w:color w:val="auto"/>
                  <w:sz w:val="24"/>
                  <w:szCs w:val="24"/>
                  <w:u w:val="none"/>
                  <w:lang w:eastAsia="lv-LV"/>
                </w:rPr>
                <w:t xml:space="preserve">par pareizu atalgojuma politiku saskaņā ar </w:t>
              </w:r>
              <w:r w:rsidR="008A4147" w:rsidRPr="008A4147">
                <w:rPr>
                  <w:rStyle w:val="Hyperlink"/>
                  <w:rFonts w:ascii="Times New Roman" w:eastAsia="Times New Roman" w:hAnsi="Times New Roman" w:cs="Times New Roman"/>
                  <w:color w:val="auto"/>
                  <w:sz w:val="24"/>
                  <w:szCs w:val="24"/>
                  <w:u w:val="none"/>
                  <w:lang w:eastAsia="lv-LV"/>
                </w:rPr>
                <w:t>Direktīvu</w:t>
              </w:r>
              <w:r w:rsidR="008A4147">
                <w:rPr>
                  <w:rStyle w:val="Hyperlink"/>
                  <w:rFonts w:ascii="Times New Roman" w:eastAsia="Times New Roman" w:hAnsi="Times New Roman" w:cs="Times New Roman"/>
                  <w:color w:val="auto"/>
                  <w:sz w:val="24"/>
                  <w:szCs w:val="24"/>
                  <w:u w:val="none"/>
                  <w:lang w:eastAsia="lv-LV"/>
                </w:rPr>
                <w:t xml:space="preserve"> </w:t>
              </w:r>
              <w:r w:rsidR="00FD5EA0" w:rsidRPr="008A4147">
                <w:rPr>
                  <w:rStyle w:val="Hyperlink"/>
                  <w:rFonts w:ascii="Times New Roman" w:eastAsia="Times New Roman" w:hAnsi="Times New Roman" w:cs="Times New Roman"/>
                  <w:color w:val="auto"/>
                  <w:sz w:val="24"/>
                  <w:szCs w:val="24"/>
                  <w:u w:val="none"/>
                  <w:lang w:eastAsia="lv-LV"/>
                </w:rPr>
                <w:t>(ES)</w:t>
              </w:r>
              <w:r w:rsidR="00025C42" w:rsidRPr="008A4147">
                <w:rPr>
                  <w:rStyle w:val="Hyperlink"/>
                  <w:rFonts w:ascii="Times New Roman" w:eastAsia="Times New Roman" w:hAnsi="Times New Roman" w:cs="Times New Roman"/>
                  <w:color w:val="auto"/>
                  <w:sz w:val="24"/>
                  <w:szCs w:val="24"/>
                  <w:u w:val="none"/>
                  <w:lang w:eastAsia="lv-LV"/>
                </w:rPr>
                <w:t> </w:t>
              </w:r>
              <w:r w:rsidR="00FD5EA0" w:rsidRPr="008A4147">
                <w:rPr>
                  <w:rStyle w:val="Hyperlink"/>
                  <w:rFonts w:ascii="Times New Roman" w:eastAsia="Times New Roman" w:hAnsi="Times New Roman" w:cs="Times New Roman"/>
                  <w:color w:val="auto"/>
                  <w:sz w:val="24"/>
                  <w:szCs w:val="24"/>
                  <w:u w:val="none"/>
                  <w:lang w:eastAsia="lv-LV"/>
                </w:rPr>
                <w:t>2019/2034</w:t>
              </w:r>
              <w:r w:rsidR="005541EE">
                <w:rPr>
                  <w:rStyle w:val="Hyperlink"/>
                  <w:rFonts w:ascii="Times New Roman" w:eastAsia="Times New Roman" w:hAnsi="Times New Roman" w:cs="Times New Roman"/>
                  <w:color w:val="auto"/>
                  <w:sz w:val="24"/>
                  <w:szCs w:val="24"/>
                  <w:u w:val="none"/>
                  <w:lang w:eastAsia="lv-LV"/>
                </w:rPr>
                <w:t>"</w:t>
              </w:r>
            </w:hyperlink>
            <w:r w:rsidR="002F2F54" w:rsidRPr="008A4147">
              <w:rPr>
                <w:rFonts w:ascii="Times New Roman" w:eastAsia="Times New Roman" w:hAnsi="Times New Roman" w:cs="Times New Roman"/>
                <w:sz w:val="24"/>
                <w:szCs w:val="24"/>
                <w:lang w:eastAsia="lv-LV"/>
              </w:rPr>
              <w:t>;</w:t>
            </w:r>
          </w:p>
          <w:p w14:paraId="27B485CD" w14:textId="440B3BFA" w:rsidR="005A1414" w:rsidRPr="008A4147" w:rsidRDefault="007F1075" w:rsidP="00025C42">
            <w:pPr>
              <w:spacing w:after="120" w:line="240" w:lineRule="auto"/>
              <w:jc w:val="both"/>
              <w:rPr>
                <w:rFonts w:ascii="Times New Roman" w:eastAsia="Times New Roman" w:hAnsi="Times New Roman" w:cs="Times New Roman"/>
                <w:sz w:val="24"/>
                <w:szCs w:val="24"/>
                <w:lang w:eastAsia="lv-LV"/>
              </w:rPr>
            </w:pPr>
            <w:r w:rsidRPr="008A4147">
              <w:rPr>
                <w:rFonts w:ascii="Times New Roman" w:eastAsia="Times New Roman" w:hAnsi="Times New Roman" w:cs="Times New Roman"/>
                <w:sz w:val="24"/>
                <w:szCs w:val="24"/>
                <w:lang w:eastAsia="lv-LV"/>
              </w:rPr>
              <w:t>2</w:t>
            </w:r>
            <w:r w:rsidR="004C77D2" w:rsidRPr="008A4147">
              <w:rPr>
                <w:rFonts w:ascii="Times New Roman" w:eastAsia="Times New Roman" w:hAnsi="Times New Roman" w:cs="Times New Roman"/>
                <w:sz w:val="24"/>
                <w:szCs w:val="24"/>
                <w:lang w:eastAsia="lv-LV"/>
              </w:rPr>
              <w:t>2</w:t>
            </w:r>
            <w:r w:rsidR="001A112D" w:rsidRPr="008A4147">
              <w:rPr>
                <w:rFonts w:ascii="Times New Roman" w:eastAsia="Times New Roman" w:hAnsi="Times New Roman" w:cs="Times New Roman"/>
                <w:sz w:val="24"/>
                <w:szCs w:val="24"/>
                <w:lang w:eastAsia="lv-LV"/>
              </w:rPr>
              <w:t xml:space="preserve">) </w:t>
            </w:r>
            <w:hyperlink r:id="rId15" w:history="1">
              <w:r w:rsidR="00180D94" w:rsidRPr="008A4147">
                <w:rPr>
                  <w:rStyle w:val="Hyperlink"/>
                  <w:rFonts w:ascii="Times New Roman" w:eastAsia="Times New Roman" w:hAnsi="Times New Roman" w:cs="Times New Roman"/>
                  <w:color w:val="auto"/>
                  <w:sz w:val="24"/>
                  <w:szCs w:val="24"/>
                  <w:u w:val="none"/>
                  <w:lang w:eastAsia="lv-LV"/>
                </w:rPr>
                <w:t xml:space="preserve">Eiropas Banku iestādes un Eiropas Vērtspapīru un tirgu iestādes 2021. gada 2. jūlija pamatnostādnes Nr. EBA/GL/2021/06, ESMA35-36-2319 </w:t>
              </w:r>
              <w:r w:rsidR="005541EE">
                <w:rPr>
                  <w:rStyle w:val="Hyperlink"/>
                  <w:rFonts w:ascii="Times New Roman" w:eastAsia="Times New Roman" w:hAnsi="Times New Roman" w:cs="Times New Roman"/>
                  <w:color w:val="auto"/>
                  <w:sz w:val="24"/>
                  <w:szCs w:val="24"/>
                  <w:u w:val="none"/>
                  <w:lang w:eastAsia="lv-LV"/>
                </w:rPr>
                <w:t>"</w:t>
              </w:r>
              <w:r w:rsidR="00180D94" w:rsidRPr="008A4147">
                <w:rPr>
                  <w:rStyle w:val="Hyperlink"/>
                  <w:rFonts w:ascii="Times New Roman" w:eastAsia="Times New Roman" w:hAnsi="Times New Roman" w:cs="Times New Roman"/>
                  <w:color w:val="auto"/>
                  <w:sz w:val="24"/>
                  <w:szCs w:val="24"/>
                  <w:u w:val="none"/>
                  <w:lang w:eastAsia="lv-LV"/>
                </w:rPr>
                <w:t xml:space="preserve">Pamatnostādnes par </w:t>
              </w:r>
              <w:r w:rsidR="00180D94" w:rsidRPr="008A4147">
                <w:rPr>
                  <w:rStyle w:val="Hyperlink"/>
                  <w:rFonts w:ascii="Times New Roman" w:eastAsia="Times New Roman" w:hAnsi="Times New Roman" w:cs="Times New Roman"/>
                  <w:color w:val="auto"/>
                  <w:sz w:val="24"/>
                  <w:szCs w:val="24"/>
                  <w:u w:val="none"/>
                  <w:lang w:eastAsia="lv-LV"/>
                </w:rPr>
                <w:lastRenderedPageBreak/>
                <w:t>vadības struktūras locekļu un personu, kuras pilda pamatfunkcijas, piemērotības novērtēšanu</w:t>
              </w:r>
              <w:r w:rsidR="005541EE">
                <w:rPr>
                  <w:rStyle w:val="Hyperlink"/>
                  <w:rFonts w:ascii="Times New Roman" w:eastAsia="Times New Roman" w:hAnsi="Times New Roman" w:cs="Times New Roman"/>
                  <w:color w:val="auto"/>
                  <w:sz w:val="24"/>
                  <w:szCs w:val="24"/>
                  <w:u w:val="none"/>
                  <w:lang w:eastAsia="lv-LV"/>
                </w:rPr>
                <w:t>"</w:t>
              </w:r>
              <w:r w:rsidR="00180D94" w:rsidRPr="008A4147">
                <w:rPr>
                  <w:rStyle w:val="Hyperlink"/>
                  <w:rFonts w:ascii="Times New Roman" w:eastAsia="Times New Roman" w:hAnsi="Times New Roman" w:cs="Times New Roman"/>
                  <w:color w:val="auto"/>
                  <w:sz w:val="24"/>
                  <w:szCs w:val="24"/>
                  <w:u w:val="none"/>
                  <w:lang w:eastAsia="lv-LV"/>
                </w:rPr>
                <w:t>.</w:t>
              </w:r>
            </w:hyperlink>
          </w:p>
        </w:tc>
      </w:tr>
      <w:tr w:rsidR="00D63F50" w:rsidRPr="000B4E0A" w14:paraId="7B39A4DD" w14:textId="77777777" w:rsidTr="005541EE">
        <w:trPr>
          <w:trHeight w:val="567"/>
        </w:trPr>
        <w:tc>
          <w:tcPr>
            <w:tcW w:w="1405" w:type="pct"/>
            <w:shd w:val="clear" w:color="auto" w:fill="auto"/>
            <w:hideMark/>
          </w:tcPr>
          <w:p w14:paraId="4A756E9D" w14:textId="1F6B09B5" w:rsidR="00D63F50" w:rsidRPr="00E253DA" w:rsidRDefault="00D63F50" w:rsidP="00B12E0F">
            <w:pPr>
              <w:spacing w:after="12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Saskaņošana ar Eiropas Centrālo banku</w:t>
            </w:r>
          </w:p>
        </w:tc>
        <w:tc>
          <w:tcPr>
            <w:tcW w:w="3595" w:type="pct"/>
            <w:shd w:val="clear" w:color="auto" w:fill="auto"/>
          </w:tcPr>
          <w:p w14:paraId="162166C3" w14:textId="41D27612" w:rsidR="00D63F50" w:rsidRPr="00317A94" w:rsidRDefault="00D63F50" w:rsidP="00025C42">
            <w:pPr>
              <w:spacing w:after="120" w:line="240" w:lineRule="auto"/>
              <w:rPr>
                <w:rFonts w:ascii="Times New Roman" w:eastAsia="Times New Roman" w:hAnsi="Times New Roman" w:cs="Times New Roman"/>
                <w:sz w:val="24"/>
                <w:szCs w:val="24"/>
                <w:lang w:eastAsia="lv-LV"/>
              </w:rPr>
            </w:pPr>
            <w:r w:rsidRPr="009F23B8">
              <w:rPr>
                <w:rFonts w:ascii="Times New Roman" w:eastAsia="Times New Roman" w:hAnsi="Times New Roman" w:cs="Times New Roman"/>
                <w:sz w:val="24"/>
                <w:szCs w:val="24"/>
                <w:lang w:eastAsia="lv-LV"/>
              </w:rPr>
              <w:t xml:space="preserve">Noteikumu projekts nav jāsaskaņo ar </w:t>
            </w:r>
            <w:r>
              <w:rPr>
                <w:rFonts w:ascii="Times New Roman" w:eastAsia="Times New Roman" w:hAnsi="Times New Roman" w:cs="Times New Roman"/>
                <w:sz w:val="24"/>
                <w:szCs w:val="24"/>
                <w:lang w:eastAsia="lv-LV"/>
              </w:rPr>
              <w:t>Eiropas Centrālo banku</w:t>
            </w:r>
            <w:r w:rsidR="00D40E90">
              <w:rPr>
                <w:rFonts w:ascii="Times New Roman" w:eastAsia="Times New Roman" w:hAnsi="Times New Roman" w:cs="Times New Roman"/>
                <w:sz w:val="24"/>
                <w:szCs w:val="24"/>
                <w:lang w:eastAsia="lv-LV"/>
              </w:rPr>
              <w:t>.</w:t>
            </w:r>
          </w:p>
        </w:tc>
      </w:tr>
      <w:tr w:rsidR="00D63F50" w:rsidRPr="000B4E0A" w14:paraId="79622963" w14:textId="77777777" w:rsidTr="005541EE">
        <w:trPr>
          <w:trHeight w:val="567"/>
        </w:trPr>
        <w:tc>
          <w:tcPr>
            <w:tcW w:w="1405" w:type="pct"/>
            <w:shd w:val="clear" w:color="auto" w:fill="auto"/>
            <w:hideMark/>
          </w:tcPr>
          <w:p w14:paraId="581D9633" w14:textId="77777777" w:rsidR="00D63F50" w:rsidRPr="00E253DA" w:rsidRDefault="00D63F50" w:rsidP="00025C42">
            <w:pPr>
              <w:spacing w:after="12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6D76A17A" w14:textId="2DF982D9" w:rsidR="00D63F50" w:rsidRPr="00E253DA" w:rsidRDefault="00D63F50" w:rsidP="00025C42">
            <w:pPr>
              <w:spacing w:after="12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7B1DB470" w14:textId="6D12343B" w:rsidR="00D63F50" w:rsidRPr="00317A94" w:rsidRDefault="00D63F50" w:rsidP="00025C42">
            <w:pPr>
              <w:spacing w:after="120" w:line="240" w:lineRule="auto"/>
              <w:jc w:val="both"/>
              <w:rPr>
                <w:rFonts w:ascii="Times New Roman" w:eastAsia="Times New Roman" w:hAnsi="Times New Roman" w:cs="Times New Roman"/>
                <w:sz w:val="24"/>
                <w:szCs w:val="24"/>
                <w:lang w:eastAsia="lv-LV"/>
              </w:rPr>
            </w:pPr>
            <w:r w:rsidRPr="000C29D8">
              <w:rPr>
                <w:rFonts w:ascii="Times New Roman" w:eastAsia="Times New Roman" w:hAnsi="Times New Roman" w:cs="Times New Roman"/>
                <w:sz w:val="24"/>
                <w:szCs w:val="24"/>
                <w:lang w:eastAsia="lv-LV"/>
              </w:rPr>
              <w:t xml:space="preserve">Noteikumu projekts </w:t>
            </w:r>
            <w:r w:rsidR="00DD6710">
              <w:rPr>
                <w:rFonts w:ascii="Times New Roman" w:eastAsia="Times New Roman" w:hAnsi="Times New Roman" w:cs="Times New Roman"/>
                <w:sz w:val="24"/>
                <w:szCs w:val="24"/>
                <w:lang w:eastAsia="lv-LV"/>
              </w:rPr>
              <w:t xml:space="preserve">2024. gada 30. oktobrī </w:t>
            </w:r>
            <w:r w:rsidR="00EC2BFA">
              <w:rPr>
                <w:rFonts w:ascii="Times New Roman" w:eastAsia="Times New Roman" w:hAnsi="Times New Roman" w:cs="Times New Roman"/>
                <w:sz w:val="24"/>
                <w:szCs w:val="24"/>
                <w:lang w:eastAsia="lv-LV"/>
              </w:rPr>
              <w:t>tik</w:t>
            </w:r>
            <w:r w:rsidR="00DD6710">
              <w:rPr>
                <w:rFonts w:ascii="Times New Roman" w:eastAsia="Times New Roman" w:hAnsi="Times New Roman" w:cs="Times New Roman"/>
                <w:sz w:val="24"/>
                <w:szCs w:val="24"/>
                <w:lang w:eastAsia="lv-LV"/>
              </w:rPr>
              <w:t>a</w:t>
            </w:r>
            <w:r w:rsidR="00EC2BFA">
              <w:rPr>
                <w:rFonts w:ascii="Times New Roman" w:eastAsia="Times New Roman" w:hAnsi="Times New Roman" w:cs="Times New Roman"/>
                <w:sz w:val="24"/>
                <w:szCs w:val="24"/>
                <w:lang w:eastAsia="lv-LV"/>
              </w:rPr>
              <w:t xml:space="preserve"> </w:t>
            </w:r>
            <w:r w:rsidRPr="000C29D8">
              <w:rPr>
                <w:rFonts w:ascii="Times New Roman" w:eastAsia="Times New Roman" w:hAnsi="Times New Roman" w:cs="Times New Roman"/>
                <w:sz w:val="24"/>
                <w:szCs w:val="24"/>
                <w:lang w:eastAsia="lv-LV"/>
              </w:rPr>
              <w:t>publicēts Latvijas Bankas tīmekļvietnes</w:t>
            </w:r>
            <w:r>
              <w:rPr>
                <w:rFonts w:ascii="Times New Roman" w:eastAsia="Times New Roman" w:hAnsi="Times New Roman" w:cs="Times New Roman"/>
                <w:sz w:val="24"/>
                <w:szCs w:val="24"/>
                <w:lang w:eastAsia="lv-LV"/>
              </w:rPr>
              <w:t xml:space="preserve"> </w:t>
            </w:r>
            <w:hyperlink r:id="rId16" w:history="1">
              <w:r w:rsidRPr="00481EB2">
                <w:rPr>
                  <w:rStyle w:val="Hyperlink"/>
                  <w:rFonts w:ascii="Times New Roman" w:eastAsia="Times New Roman" w:hAnsi="Times New Roman" w:cs="Times New Roman"/>
                  <w:sz w:val="24"/>
                  <w:szCs w:val="24"/>
                  <w:lang w:eastAsia="lv-LV"/>
                </w:rPr>
                <w:t>www.bank.lv</w:t>
              </w:r>
            </w:hyperlink>
            <w:r>
              <w:rPr>
                <w:rFonts w:ascii="Times New Roman" w:eastAsia="Times New Roman" w:hAnsi="Times New Roman" w:cs="Times New Roman"/>
                <w:sz w:val="24"/>
                <w:szCs w:val="24"/>
                <w:lang w:eastAsia="lv-LV"/>
              </w:rPr>
              <w:t xml:space="preserve"> </w:t>
            </w:r>
            <w:r w:rsidRPr="000C29D8">
              <w:rPr>
                <w:rFonts w:ascii="Times New Roman" w:eastAsia="Times New Roman" w:hAnsi="Times New Roman" w:cs="Times New Roman"/>
                <w:sz w:val="24"/>
                <w:szCs w:val="24"/>
                <w:lang w:eastAsia="lv-LV"/>
              </w:rPr>
              <w:t>sadaļ</w:t>
            </w:r>
            <w:r w:rsidR="00025C42">
              <w:rPr>
                <w:rFonts w:ascii="Times New Roman" w:eastAsia="Times New Roman" w:hAnsi="Times New Roman" w:cs="Times New Roman"/>
                <w:sz w:val="24"/>
                <w:szCs w:val="24"/>
                <w:lang w:eastAsia="lv-LV"/>
              </w:rPr>
              <w:t xml:space="preserve">as </w:t>
            </w:r>
            <w:r w:rsidR="005541EE">
              <w:rPr>
                <w:rFonts w:ascii="Times New Roman" w:eastAsia="Times New Roman" w:hAnsi="Times New Roman" w:cs="Times New Roman"/>
                <w:sz w:val="24"/>
                <w:szCs w:val="24"/>
                <w:lang w:eastAsia="lv-LV"/>
              </w:rPr>
              <w:t>"</w:t>
            </w:r>
            <w:r w:rsidR="00025C42">
              <w:rPr>
                <w:rFonts w:ascii="Times New Roman" w:eastAsia="Times New Roman" w:hAnsi="Times New Roman" w:cs="Times New Roman"/>
                <w:sz w:val="24"/>
                <w:szCs w:val="24"/>
                <w:lang w:eastAsia="lv-LV"/>
              </w:rPr>
              <w:t>Tiesību akti</w:t>
            </w:r>
            <w:r w:rsidR="005541EE">
              <w:rPr>
                <w:rFonts w:ascii="Times New Roman" w:eastAsia="Times New Roman" w:hAnsi="Times New Roman" w:cs="Times New Roman"/>
                <w:sz w:val="24"/>
                <w:szCs w:val="24"/>
                <w:lang w:eastAsia="lv-LV"/>
              </w:rPr>
              <w:t>"</w:t>
            </w:r>
            <w:r w:rsidR="00025C42">
              <w:rPr>
                <w:rFonts w:ascii="Times New Roman" w:eastAsia="Times New Roman" w:hAnsi="Times New Roman" w:cs="Times New Roman"/>
                <w:sz w:val="24"/>
                <w:szCs w:val="24"/>
                <w:lang w:eastAsia="lv-LV"/>
              </w:rPr>
              <w:t xml:space="preserve"> apakšsadaļ</w:t>
            </w:r>
            <w:r w:rsidRPr="000C29D8">
              <w:rPr>
                <w:rFonts w:ascii="Times New Roman" w:eastAsia="Times New Roman" w:hAnsi="Times New Roman" w:cs="Times New Roman"/>
                <w:sz w:val="24"/>
                <w:szCs w:val="24"/>
                <w:lang w:eastAsia="lv-LV"/>
              </w:rPr>
              <w:t xml:space="preserve">ā </w:t>
            </w:r>
            <w:r w:rsidR="005541EE">
              <w:rPr>
                <w:rFonts w:ascii="Times New Roman" w:eastAsia="Times New Roman" w:hAnsi="Times New Roman" w:cs="Times New Roman"/>
                <w:sz w:val="24"/>
                <w:szCs w:val="24"/>
                <w:lang w:eastAsia="lv-LV"/>
              </w:rPr>
              <w:t>"</w:t>
            </w:r>
            <w:r w:rsidRPr="000C29D8">
              <w:rPr>
                <w:rFonts w:ascii="Times New Roman" w:eastAsia="Times New Roman" w:hAnsi="Times New Roman" w:cs="Times New Roman"/>
                <w:sz w:val="24"/>
                <w:szCs w:val="24"/>
                <w:lang w:eastAsia="lv-LV"/>
              </w:rPr>
              <w:t>Sabiedrības līdzdalība</w:t>
            </w:r>
            <w:r w:rsidR="005541EE">
              <w:rPr>
                <w:rFonts w:ascii="Times New Roman" w:eastAsia="Times New Roman" w:hAnsi="Times New Roman" w:cs="Times New Roman"/>
                <w:sz w:val="24"/>
                <w:szCs w:val="24"/>
                <w:lang w:eastAsia="lv-LV"/>
              </w:rPr>
              <w:t>"</w:t>
            </w:r>
            <w:r w:rsidR="0067587D">
              <w:rPr>
                <w:rFonts w:ascii="Times New Roman" w:eastAsia="Times New Roman" w:hAnsi="Times New Roman" w:cs="Times New Roman"/>
                <w:sz w:val="24"/>
                <w:szCs w:val="24"/>
                <w:lang w:eastAsia="lv-LV"/>
              </w:rPr>
              <w:t>,</w:t>
            </w:r>
            <w:r w:rsidR="00DD6710">
              <w:rPr>
                <w:rFonts w:ascii="Times New Roman" w:eastAsia="Times New Roman" w:hAnsi="Times New Roman" w:cs="Times New Roman"/>
                <w:sz w:val="24"/>
                <w:szCs w:val="24"/>
                <w:lang w:eastAsia="lv-LV"/>
              </w:rPr>
              <w:t xml:space="preserve"> un sabiedrībai </w:t>
            </w:r>
            <w:r w:rsidR="0067587D">
              <w:rPr>
                <w:rFonts w:ascii="Times New Roman" w:eastAsia="Times New Roman" w:hAnsi="Times New Roman" w:cs="Times New Roman"/>
                <w:sz w:val="24"/>
                <w:szCs w:val="24"/>
                <w:lang w:eastAsia="lv-LV"/>
              </w:rPr>
              <w:t xml:space="preserve">līdz 2024. gada 13. novembrim </w:t>
            </w:r>
            <w:r w:rsidR="00DD6710">
              <w:rPr>
                <w:rFonts w:ascii="Times New Roman" w:eastAsia="Times New Roman" w:hAnsi="Times New Roman" w:cs="Times New Roman"/>
                <w:sz w:val="24"/>
                <w:szCs w:val="24"/>
                <w:lang w:eastAsia="lv-LV"/>
              </w:rPr>
              <w:t xml:space="preserve">bija iespēja </w:t>
            </w:r>
            <w:r w:rsidR="006F3EA0">
              <w:rPr>
                <w:rFonts w:ascii="Times New Roman" w:eastAsia="Times New Roman" w:hAnsi="Times New Roman" w:cs="Times New Roman"/>
                <w:sz w:val="24"/>
                <w:szCs w:val="24"/>
                <w:lang w:eastAsia="lv-LV"/>
              </w:rPr>
              <w:t xml:space="preserve">iesaistīties tā apspriešanā. </w:t>
            </w:r>
            <w:r w:rsidRPr="000C29D8">
              <w:rPr>
                <w:rFonts w:ascii="Times New Roman" w:eastAsia="Times New Roman" w:hAnsi="Times New Roman" w:cs="Times New Roman"/>
                <w:sz w:val="24"/>
                <w:szCs w:val="24"/>
                <w:lang w:eastAsia="lv-LV"/>
              </w:rPr>
              <w:t xml:space="preserve">Vienlaikus par </w:t>
            </w:r>
            <w:r>
              <w:rPr>
                <w:rFonts w:ascii="Times New Roman" w:eastAsia="Times New Roman" w:hAnsi="Times New Roman" w:cs="Times New Roman"/>
                <w:sz w:val="24"/>
                <w:szCs w:val="24"/>
                <w:lang w:eastAsia="lv-LV"/>
              </w:rPr>
              <w:t>n</w:t>
            </w:r>
            <w:r w:rsidRPr="000C29D8">
              <w:rPr>
                <w:rFonts w:ascii="Times New Roman" w:eastAsia="Times New Roman" w:hAnsi="Times New Roman" w:cs="Times New Roman"/>
                <w:sz w:val="24"/>
                <w:szCs w:val="24"/>
                <w:lang w:eastAsia="lv-LV"/>
              </w:rPr>
              <w:t>oteikumu projektu un notiekošo sabiedrības līdzdalību</w:t>
            </w:r>
            <w:r w:rsidR="002C4548">
              <w:rPr>
                <w:rFonts w:ascii="Times New Roman" w:eastAsia="Times New Roman" w:hAnsi="Times New Roman" w:cs="Times New Roman"/>
                <w:sz w:val="24"/>
                <w:szCs w:val="24"/>
                <w:lang w:eastAsia="lv-LV"/>
              </w:rPr>
              <w:t xml:space="preserve"> individuāli </w:t>
            </w:r>
            <w:r w:rsidRPr="000C29D8">
              <w:rPr>
                <w:rFonts w:ascii="Times New Roman" w:eastAsia="Times New Roman" w:hAnsi="Times New Roman" w:cs="Times New Roman"/>
                <w:sz w:val="24"/>
                <w:szCs w:val="24"/>
                <w:lang w:eastAsia="lv-LV"/>
              </w:rPr>
              <w:t>tik</w:t>
            </w:r>
            <w:r w:rsidR="006F3EA0">
              <w:rPr>
                <w:rFonts w:ascii="Times New Roman" w:eastAsia="Times New Roman" w:hAnsi="Times New Roman" w:cs="Times New Roman"/>
                <w:sz w:val="24"/>
                <w:szCs w:val="24"/>
                <w:lang w:eastAsia="lv-LV"/>
              </w:rPr>
              <w:t>a informētas ieguldījumu brokeru sabiedrības.</w:t>
            </w:r>
          </w:p>
        </w:tc>
      </w:tr>
      <w:tr w:rsidR="00D63F50" w:rsidRPr="000B4E0A" w14:paraId="4A3E4A01" w14:textId="77777777" w:rsidTr="005541EE">
        <w:trPr>
          <w:trHeight w:val="567"/>
        </w:trPr>
        <w:tc>
          <w:tcPr>
            <w:tcW w:w="1405" w:type="pct"/>
            <w:shd w:val="clear" w:color="auto" w:fill="auto"/>
            <w:hideMark/>
          </w:tcPr>
          <w:p w14:paraId="45DABBFE" w14:textId="75A0986D" w:rsidR="00D63F50" w:rsidRPr="00E253DA" w:rsidRDefault="00D63F50" w:rsidP="00B12E0F">
            <w:pPr>
              <w:spacing w:after="12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tc>
        <w:tc>
          <w:tcPr>
            <w:tcW w:w="3595" w:type="pct"/>
            <w:shd w:val="clear" w:color="auto" w:fill="auto"/>
          </w:tcPr>
          <w:p w14:paraId="736AD104" w14:textId="6FE91DB2" w:rsidR="002C4548" w:rsidRPr="00317A94" w:rsidRDefault="006F3EA0" w:rsidP="006F3EA0">
            <w:pPr>
              <w:spacing w:after="120" w:line="240" w:lineRule="auto"/>
              <w:jc w:val="both"/>
              <w:rPr>
                <w:rFonts w:ascii="Times New Roman" w:eastAsia="Times New Roman" w:hAnsi="Times New Roman" w:cs="Times New Roman"/>
                <w:sz w:val="24"/>
                <w:szCs w:val="24"/>
                <w:lang w:eastAsia="lv-LV"/>
              </w:rPr>
            </w:pPr>
            <w:r w:rsidRPr="00997EDB">
              <w:rPr>
                <w:rFonts w:ascii="Times New Roman" w:eastAsia="Times New Roman" w:hAnsi="Times New Roman" w:cs="Times New Roman"/>
                <w:sz w:val="24"/>
                <w:szCs w:val="24"/>
                <w:lang w:eastAsia="lv-LV"/>
              </w:rPr>
              <w:t xml:space="preserve">Latvijas Banka ir iepazinusies ar </w:t>
            </w:r>
            <w:r w:rsidR="0067587D">
              <w:rPr>
                <w:rFonts w:ascii="Times New Roman" w:eastAsia="Times New Roman" w:hAnsi="Times New Roman" w:cs="Times New Roman"/>
                <w:sz w:val="24"/>
                <w:szCs w:val="24"/>
                <w:lang w:eastAsia="lv-LV"/>
              </w:rPr>
              <w:t>AS </w:t>
            </w:r>
            <w:proofErr w:type="spellStart"/>
            <w:r>
              <w:rPr>
                <w:rFonts w:ascii="Times New Roman" w:eastAsia="Times New Roman" w:hAnsi="Times New Roman" w:cs="Times New Roman"/>
                <w:sz w:val="24"/>
                <w:szCs w:val="24"/>
                <w:lang w:eastAsia="lv-LV"/>
              </w:rPr>
              <w:t>Mintos</w:t>
            </w:r>
            <w:proofErr w:type="spellEnd"/>
            <w:r w:rsidR="00542B7A">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Marketplace sniegtajiem priekšlikumiem, </w:t>
            </w:r>
            <w:r w:rsidRPr="00997EDB">
              <w:rPr>
                <w:rFonts w:ascii="Times New Roman" w:eastAsia="Times New Roman" w:hAnsi="Times New Roman" w:cs="Times New Roman"/>
                <w:sz w:val="24"/>
                <w:szCs w:val="24"/>
                <w:lang w:eastAsia="lv-LV"/>
              </w:rPr>
              <w:t>komentāriem</w:t>
            </w:r>
            <w:r>
              <w:rPr>
                <w:rFonts w:ascii="Times New Roman" w:eastAsia="Times New Roman" w:hAnsi="Times New Roman" w:cs="Times New Roman"/>
                <w:sz w:val="24"/>
                <w:szCs w:val="24"/>
                <w:lang w:eastAsia="lv-LV"/>
              </w:rPr>
              <w:t xml:space="preserve"> un jautājumiem</w:t>
            </w:r>
            <w:r w:rsidRPr="00997EDB">
              <w:rPr>
                <w:rFonts w:ascii="Times New Roman" w:eastAsia="Times New Roman" w:hAnsi="Times New Roman" w:cs="Times New Roman"/>
                <w:sz w:val="24"/>
                <w:szCs w:val="24"/>
                <w:lang w:eastAsia="lv-LV"/>
              </w:rPr>
              <w:t xml:space="preserve"> par noteikumu projektu un sniegusi viedokli, kas iekļauts noteikumu projekta anotācijas </w:t>
            </w:r>
            <w:r w:rsidR="00D14223">
              <w:rPr>
                <w:rFonts w:ascii="Times New Roman" w:eastAsia="Times New Roman" w:hAnsi="Times New Roman" w:cs="Times New Roman"/>
                <w:sz w:val="24"/>
                <w:szCs w:val="24"/>
                <w:lang w:eastAsia="lv-LV"/>
              </w:rPr>
              <w:t>2. </w:t>
            </w:r>
            <w:r w:rsidRPr="00997EDB">
              <w:rPr>
                <w:rFonts w:ascii="Times New Roman" w:eastAsia="Times New Roman" w:hAnsi="Times New Roman" w:cs="Times New Roman"/>
                <w:sz w:val="24"/>
                <w:szCs w:val="24"/>
                <w:lang w:eastAsia="lv-LV"/>
              </w:rPr>
              <w:t>pielikumā.</w:t>
            </w:r>
            <w:r>
              <w:rPr>
                <w:rFonts w:ascii="Times New Roman" w:eastAsia="Times New Roman" w:hAnsi="Times New Roman" w:cs="Times New Roman"/>
                <w:sz w:val="24"/>
                <w:szCs w:val="24"/>
                <w:lang w:eastAsia="lv-LV"/>
              </w:rPr>
              <w:t xml:space="preserve"> </w:t>
            </w:r>
          </w:p>
        </w:tc>
      </w:tr>
    </w:tbl>
    <w:p w14:paraId="5E06D3E8" w14:textId="1277D277" w:rsidR="005A22ED" w:rsidRDefault="005A22ED" w:rsidP="00025C42">
      <w:pPr>
        <w:spacing w:after="120" w:line="240" w:lineRule="auto"/>
        <w:rPr>
          <w:rFonts w:ascii="Times New Roman" w:hAnsi="Times New Roman" w:cs="Times New Roman"/>
          <w:sz w:val="24"/>
          <w:szCs w:val="24"/>
        </w:rPr>
      </w:pPr>
    </w:p>
    <w:p w14:paraId="19D1E178" w14:textId="77777777" w:rsidR="005A22ED" w:rsidRDefault="005A22ED" w:rsidP="00025C42">
      <w:pPr>
        <w:spacing w:after="120"/>
        <w:rPr>
          <w:rFonts w:ascii="Times New Roman" w:hAnsi="Times New Roman" w:cs="Times New Roman"/>
          <w:sz w:val="24"/>
          <w:szCs w:val="24"/>
        </w:rPr>
      </w:pPr>
      <w:r>
        <w:rPr>
          <w:rFonts w:ascii="Times New Roman" w:hAnsi="Times New Roman" w:cs="Times New Roman"/>
          <w:sz w:val="24"/>
          <w:szCs w:val="24"/>
        </w:rPr>
        <w:br w:type="page"/>
      </w:r>
    </w:p>
    <w:p w14:paraId="6389A5B2" w14:textId="77777777" w:rsidR="005A22ED" w:rsidRDefault="005A22ED" w:rsidP="00025C42">
      <w:pPr>
        <w:spacing w:after="120" w:line="240" w:lineRule="auto"/>
        <w:jc w:val="right"/>
        <w:rPr>
          <w:rFonts w:ascii="Times New Roman" w:eastAsia="Calibri" w:hAnsi="Times New Roman" w:cs="Times New Roman"/>
          <w:sz w:val="24"/>
          <w:szCs w:val="24"/>
          <w14:ligatures w14:val="standardContextual"/>
        </w:rPr>
        <w:sectPr w:rsidR="005A22ED" w:rsidSect="007E313B">
          <w:headerReference w:type="default" r:id="rId17"/>
          <w:pgSz w:w="11906" w:h="16838" w:code="9"/>
          <w:pgMar w:top="1134" w:right="1134" w:bottom="1134" w:left="1701" w:header="708" w:footer="708" w:gutter="0"/>
          <w:cols w:space="708"/>
          <w:titlePg/>
          <w:docGrid w:linePitch="360"/>
        </w:sectPr>
      </w:pPr>
    </w:p>
    <w:p w14:paraId="0FE2AEEF" w14:textId="6E946F09" w:rsidR="005A22ED" w:rsidRPr="005A22ED" w:rsidRDefault="00D14223" w:rsidP="008A4147">
      <w:pPr>
        <w:spacing w:after="0" w:line="240" w:lineRule="auto"/>
        <w:jc w:val="right"/>
        <w:rPr>
          <w:rFonts w:ascii="Times New Roman" w:eastAsia="Calibri" w:hAnsi="Times New Roman" w:cs="Times New Roman"/>
          <w:sz w:val="24"/>
          <w:szCs w:val="24"/>
          <w14:ligatures w14:val="standardContextual"/>
        </w:rPr>
      </w:pPr>
      <w:r>
        <w:rPr>
          <w:rFonts w:ascii="Times New Roman" w:eastAsia="Calibri" w:hAnsi="Times New Roman" w:cs="Times New Roman"/>
          <w:sz w:val="24"/>
          <w:szCs w:val="24"/>
          <w14:ligatures w14:val="standardContextual"/>
        </w:rPr>
        <w:lastRenderedPageBreak/>
        <w:t>1. p</w:t>
      </w:r>
      <w:r w:rsidR="005A22ED" w:rsidRPr="005A22ED">
        <w:rPr>
          <w:rFonts w:ascii="Times New Roman" w:eastAsia="Calibri" w:hAnsi="Times New Roman" w:cs="Times New Roman"/>
          <w:sz w:val="24"/>
          <w:szCs w:val="24"/>
          <w14:ligatures w14:val="standardContextual"/>
        </w:rPr>
        <w:t>ielikums</w:t>
      </w:r>
    </w:p>
    <w:p w14:paraId="065DC6E4" w14:textId="3C3FA81D" w:rsidR="005A22ED" w:rsidRPr="005A22ED" w:rsidRDefault="005A22ED" w:rsidP="008A4147">
      <w:pPr>
        <w:spacing w:after="0"/>
        <w:jc w:val="right"/>
        <w:rPr>
          <w:rFonts w:ascii="Times New Roman" w:eastAsia="Calibri" w:hAnsi="Times New Roman" w:cs="Times New Roman"/>
          <w:sz w:val="24"/>
          <w:szCs w:val="24"/>
          <w14:ligatures w14:val="standardContextual"/>
        </w:rPr>
      </w:pPr>
      <w:r>
        <w:rPr>
          <w:rFonts w:ascii="Times New Roman" w:eastAsia="Calibri" w:hAnsi="Times New Roman" w:cs="Times New Roman"/>
          <w:sz w:val="24"/>
          <w:szCs w:val="24"/>
          <w14:ligatures w14:val="standardContextual"/>
        </w:rPr>
        <w:t>L</w:t>
      </w:r>
      <w:r w:rsidRPr="005A22ED">
        <w:rPr>
          <w:rFonts w:ascii="Times New Roman" w:eastAsia="Calibri" w:hAnsi="Times New Roman" w:cs="Times New Roman"/>
          <w:sz w:val="24"/>
          <w:szCs w:val="24"/>
          <w14:ligatures w14:val="standardContextual"/>
        </w:rPr>
        <w:t>atvijas Bankas noteikumu projekta anotācijai</w:t>
      </w:r>
    </w:p>
    <w:p w14:paraId="22A77B7F" w14:textId="77777777" w:rsidR="008A4147" w:rsidRDefault="008A4147" w:rsidP="00025C42">
      <w:pPr>
        <w:spacing w:after="120"/>
        <w:jc w:val="center"/>
        <w:rPr>
          <w:rFonts w:ascii="Times New Roman" w:eastAsia="Calibri" w:hAnsi="Times New Roman" w:cs="Times New Roman"/>
          <w:b/>
          <w:sz w:val="24"/>
          <w:szCs w:val="24"/>
          <w14:ligatures w14:val="standardContextual"/>
        </w:rPr>
      </w:pPr>
    </w:p>
    <w:p w14:paraId="56A3D7EB" w14:textId="4D0A63E7" w:rsidR="005A22ED" w:rsidRPr="005A22ED" w:rsidRDefault="005A22ED" w:rsidP="006C2720">
      <w:pPr>
        <w:spacing w:after="0" w:line="240" w:lineRule="auto"/>
        <w:jc w:val="both"/>
        <w:rPr>
          <w:rFonts w:ascii="Times New Roman" w:eastAsia="Calibri" w:hAnsi="Times New Roman" w:cs="Times New Roman"/>
          <w:b/>
          <w:sz w:val="24"/>
          <w:szCs w:val="24"/>
          <w14:ligatures w14:val="standardContextual"/>
        </w:rPr>
      </w:pPr>
      <w:r w:rsidRPr="005A22ED">
        <w:rPr>
          <w:rFonts w:ascii="Times New Roman" w:eastAsia="Calibri" w:hAnsi="Times New Roman" w:cs="Times New Roman"/>
          <w:b/>
          <w:sz w:val="24"/>
          <w:szCs w:val="24"/>
          <w14:ligatures w14:val="standardContextual"/>
        </w:rPr>
        <w:t>Eiropas Savienības tiesību aktu pārņemšanas/ieviešanas tabula</w:t>
      </w:r>
    </w:p>
    <w:p w14:paraId="669F29F6" w14:textId="77777777" w:rsidR="005A22ED" w:rsidRPr="005A22ED" w:rsidRDefault="005A22ED" w:rsidP="006C2720">
      <w:pPr>
        <w:spacing w:after="0" w:line="240" w:lineRule="auto"/>
        <w:rPr>
          <w:rFonts w:ascii="Times New Roman" w:eastAsia="Calibri" w:hAnsi="Times New Roman" w:cs="Times New Roman"/>
          <w:b/>
          <w:sz w:val="24"/>
          <w:szCs w:val="24"/>
          <w14:ligatures w14:val="standardContextual"/>
        </w:rPr>
      </w:pPr>
    </w:p>
    <w:p w14:paraId="0319A92C" w14:textId="033EDD53" w:rsidR="005A22ED" w:rsidRPr="005A22ED" w:rsidRDefault="005A22ED" w:rsidP="006C2720">
      <w:pPr>
        <w:spacing w:after="120" w:line="240" w:lineRule="auto"/>
        <w:rPr>
          <w:rFonts w:ascii="Times New Roman" w:eastAsia="Calibri" w:hAnsi="Times New Roman" w:cs="Times New Roman"/>
          <w:b/>
          <w:sz w:val="24"/>
          <w:szCs w:val="24"/>
          <w14:ligatures w14:val="standardContextual"/>
        </w:rPr>
      </w:pPr>
      <w:r w:rsidRPr="005A22ED">
        <w:rPr>
          <w:rFonts w:ascii="Times New Roman" w:eastAsia="Calibri" w:hAnsi="Times New Roman" w:cs="Times New Roman"/>
          <w:b/>
          <w:sz w:val="24"/>
          <w:szCs w:val="24"/>
          <w14:ligatures w14:val="standardContextual"/>
        </w:rPr>
        <w:t>Latvijas Bankas noteikumu projekta nosaukums:</w:t>
      </w:r>
      <w:r w:rsidRPr="005A22ED">
        <w:rPr>
          <w:rFonts w:ascii="Times New Roman" w:eastAsia="Calibri" w:hAnsi="Times New Roman" w:cs="Times New Roman"/>
          <w:bCs/>
          <w:sz w:val="24"/>
          <w:szCs w:val="24"/>
          <w14:ligatures w14:val="standardContextual"/>
        </w:rPr>
        <w:t xml:space="preserve"> </w:t>
      </w:r>
      <w:r w:rsidR="005541EE">
        <w:rPr>
          <w:rFonts w:ascii="Times New Roman" w:eastAsia="Calibri" w:hAnsi="Times New Roman" w:cs="Times New Roman"/>
          <w:bCs/>
          <w:sz w:val="24"/>
          <w:szCs w:val="24"/>
          <w14:ligatures w14:val="standardContextual"/>
        </w:rPr>
        <w:t>"</w:t>
      </w:r>
      <w:r w:rsidR="00AE51D2">
        <w:rPr>
          <w:rFonts w:ascii="Times New Roman" w:eastAsia="Calibri" w:hAnsi="Times New Roman" w:cs="Times New Roman"/>
          <w:bCs/>
          <w:sz w:val="24"/>
          <w:szCs w:val="24"/>
          <w14:ligatures w14:val="standardContextual"/>
        </w:rPr>
        <w:t xml:space="preserve">Ieguldījumu brokeru sabiedrību </w:t>
      </w:r>
      <w:r>
        <w:rPr>
          <w:rFonts w:ascii="Times New Roman" w:eastAsia="Calibri" w:hAnsi="Times New Roman" w:cs="Times New Roman"/>
          <w:bCs/>
          <w:sz w:val="24"/>
          <w:szCs w:val="24"/>
          <w14:ligatures w14:val="standardContextual"/>
        </w:rPr>
        <w:t>pārvaldības sistēmas noteikumi</w:t>
      </w:r>
      <w:r w:rsidR="005541EE">
        <w:rPr>
          <w:rFonts w:ascii="Times New Roman" w:eastAsia="Calibri" w:hAnsi="Times New Roman" w:cs="Times New Roman"/>
          <w:bCs/>
          <w:sz w:val="24"/>
          <w:szCs w:val="24"/>
          <w14:ligatures w14:val="standardContextual"/>
        </w:rPr>
        <w:t>"</w:t>
      </w:r>
      <w:r w:rsidRPr="005A22ED">
        <w:rPr>
          <w:rFonts w:ascii="Times New Roman" w:eastAsia="Calibri" w:hAnsi="Times New Roman" w:cs="Times New Roman"/>
          <w:bCs/>
          <w:sz w:val="24"/>
          <w:szCs w:val="24"/>
          <w14:ligatures w14:val="standardContextual"/>
        </w:rPr>
        <w:t xml:space="preserve"> (turpmāk – </w:t>
      </w:r>
      <w:r w:rsidR="008A4147" w:rsidRPr="005A22ED">
        <w:rPr>
          <w:rFonts w:ascii="Times New Roman" w:eastAsia="Calibri" w:hAnsi="Times New Roman" w:cs="Times New Roman"/>
          <w:bCs/>
          <w:sz w:val="24"/>
          <w:szCs w:val="24"/>
          <w14:ligatures w14:val="standardContextual"/>
        </w:rPr>
        <w:t xml:space="preserve">noteikumu </w:t>
      </w:r>
      <w:r w:rsidRPr="005A22ED">
        <w:rPr>
          <w:rFonts w:ascii="Times New Roman" w:eastAsia="Calibri" w:hAnsi="Times New Roman" w:cs="Times New Roman"/>
          <w:bCs/>
          <w:sz w:val="24"/>
          <w:szCs w:val="24"/>
          <w14:ligatures w14:val="standardContextual"/>
        </w:rPr>
        <w:t>projekts)</w:t>
      </w:r>
    </w:p>
    <w:p w14:paraId="5C017B6D" w14:textId="1DBD58ED" w:rsidR="00AE51D2" w:rsidRDefault="005A22ED" w:rsidP="006C2720">
      <w:pPr>
        <w:spacing w:after="120" w:line="240" w:lineRule="auto"/>
        <w:jc w:val="both"/>
        <w:rPr>
          <w:rFonts w:ascii="Times New Roman" w:eastAsia="Times New Roman" w:hAnsi="Times New Roman" w:cs="Times New Roman"/>
          <w:sz w:val="24"/>
          <w:szCs w:val="24"/>
          <w:lang w:eastAsia="lv-LV"/>
        </w:rPr>
      </w:pPr>
      <w:r w:rsidRPr="005A22ED">
        <w:rPr>
          <w:rFonts w:ascii="Times New Roman" w:eastAsia="Calibri" w:hAnsi="Times New Roman" w:cs="Times New Roman"/>
          <w:b/>
          <w:sz w:val="24"/>
          <w:szCs w:val="24"/>
          <w14:ligatures w14:val="standardContextual"/>
        </w:rPr>
        <w:t>Eiropas Savienības tiesību akta nosaukums:</w:t>
      </w:r>
      <w:r w:rsidRPr="005A22ED">
        <w:rPr>
          <w:rFonts w:ascii="Times New Roman" w:eastAsia="Calibri" w:hAnsi="Times New Roman" w:cs="Times New Roman"/>
          <w:bCs/>
          <w:sz w:val="24"/>
          <w:szCs w:val="24"/>
          <w14:ligatures w14:val="standardContextual"/>
        </w:rPr>
        <w:t xml:space="preserve"> </w:t>
      </w:r>
      <w:r w:rsidR="00AE51D2" w:rsidRPr="00394095">
        <w:rPr>
          <w:rFonts w:ascii="Times New Roman" w:eastAsia="Times New Roman" w:hAnsi="Times New Roman" w:cs="Times New Roman"/>
          <w:sz w:val="24"/>
          <w:szCs w:val="24"/>
          <w:lang w:eastAsia="lv-LV"/>
        </w:rPr>
        <w:t>Eiropas Parlamenta un Padomes 2019.</w:t>
      </w:r>
      <w:r w:rsidR="00B12E0F">
        <w:rPr>
          <w:rFonts w:ascii="Times New Roman" w:eastAsia="Times New Roman" w:hAnsi="Times New Roman" w:cs="Times New Roman"/>
          <w:sz w:val="24"/>
          <w:szCs w:val="24"/>
          <w:lang w:eastAsia="lv-LV"/>
        </w:rPr>
        <w:t> </w:t>
      </w:r>
      <w:r w:rsidR="00AE51D2" w:rsidRPr="00394095">
        <w:rPr>
          <w:rFonts w:ascii="Times New Roman" w:eastAsia="Times New Roman" w:hAnsi="Times New Roman" w:cs="Times New Roman"/>
          <w:sz w:val="24"/>
          <w:szCs w:val="24"/>
          <w:lang w:eastAsia="lv-LV"/>
        </w:rPr>
        <w:t>gada 27.</w:t>
      </w:r>
      <w:r w:rsidR="00B12E0F">
        <w:rPr>
          <w:rFonts w:ascii="Times New Roman" w:eastAsia="Times New Roman" w:hAnsi="Times New Roman" w:cs="Times New Roman"/>
          <w:sz w:val="24"/>
          <w:szCs w:val="24"/>
          <w:lang w:eastAsia="lv-LV"/>
        </w:rPr>
        <w:t> </w:t>
      </w:r>
      <w:r w:rsidR="00AE51D2" w:rsidRPr="00394095">
        <w:rPr>
          <w:rFonts w:ascii="Times New Roman" w:eastAsia="Times New Roman" w:hAnsi="Times New Roman" w:cs="Times New Roman"/>
          <w:sz w:val="24"/>
          <w:szCs w:val="24"/>
          <w:lang w:eastAsia="lv-LV"/>
        </w:rPr>
        <w:t xml:space="preserve">novembra </w:t>
      </w:r>
      <w:r w:rsidR="0098150E">
        <w:rPr>
          <w:rFonts w:ascii="Times New Roman" w:eastAsia="Times New Roman" w:hAnsi="Times New Roman" w:cs="Times New Roman"/>
          <w:sz w:val="24"/>
          <w:szCs w:val="24"/>
          <w:lang w:eastAsia="lv-LV"/>
        </w:rPr>
        <w:t>d</w:t>
      </w:r>
      <w:r w:rsidR="00AE51D2" w:rsidRPr="00394095">
        <w:rPr>
          <w:rFonts w:ascii="Times New Roman" w:eastAsia="Times New Roman" w:hAnsi="Times New Roman" w:cs="Times New Roman"/>
          <w:sz w:val="24"/>
          <w:szCs w:val="24"/>
          <w:lang w:eastAsia="lv-LV"/>
        </w:rPr>
        <w:t xml:space="preserve">irektīva (ES) </w:t>
      </w:r>
      <w:r w:rsidR="00AE51D2">
        <w:rPr>
          <w:rFonts w:ascii="Times New Roman" w:eastAsia="Times New Roman" w:hAnsi="Times New Roman" w:cs="Times New Roman"/>
          <w:sz w:val="24"/>
          <w:szCs w:val="24"/>
          <w:lang w:eastAsia="lv-LV"/>
        </w:rPr>
        <w:t>Nr.</w:t>
      </w:r>
      <w:r w:rsidR="00B12E0F">
        <w:rPr>
          <w:rFonts w:ascii="Times New Roman" w:eastAsia="Times New Roman" w:hAnsi="Times New Roman" w:cs="Times New Roman"/>
          <w:sz w:val="24"/>
          <w:szCs w:val="24"/>
          <w:lang w:eastAsia="lv-LV"/>
        </w:rPr>
        <w:t> </w:t>
      </w:r>
      <w:r w:rsidR="00AE51D2" w:rsidRPr="00394095">
        <w:rPr>
          <w:rFonts w:ascii="Times New Roman" w:eastAsia="Times New Roman" w:hAnsi="Times New Roman" w:cs="Times New Roman"/>
          <w:sz w:val="24"/>
          <w:szCs w:val="24"/>
          <w:lang w:eastAsia="lv-LV"/>
        </w:rPr>
        <w:t xml:space="preserve">2019/2034 par ieguldījumu brokeru sabiedrību prudenciālo uzraudzību un ar ko groza </w:t>
      </w:r>
      <w:r w:rsidR="0098150E">
        <w:rPr>
          <w:rFonts w:ascii="Times New Roman" w:eastAsia="Times New Roman" w:hAnsi="Times New Roman" w:cs="Times New Roman"/>
          <w:sz w:val="24"/>
          <w:szCs w:val="24"/>
          <w:lang w:eastAsia="lv-LV"/>
        </w:rPr>
        <w:t>d</w:t>
      </w:r>
      <w:r w:rsidR="00AE51D2" w:rsidRPr="00394095">
        <w:rPr>
          <w:rFonts w:ascii="Times New Roman" w:eastAsia="Times New Roman" w:hAnsi="Times New Roman" w:cs="Times New Roman"/>
          <w:sz w:val="24"/>
          <w:szCs w:val="24"/>
          <w:lang w:eastAsia="lv-LV"/>
        </w:rPr>
        <w:t>irektīvas</w:t>
      </w:r>
      <w:r w:rsidR="008A4147">
        <w:rPr>
          <w:rFonts w:ascii="Times New Roman" w:eastAsia="Times New Roman" w:hAnsi="Times New Roman" w:cs="Times New Roman"/>
          <w:sz w:val="24"/>
          <w:szCs w:val="24"/>
          <w:lang w:eastAsia="lv-LV"/>
        </w:rPr>
        <w:t> </w:t>
      </w:r>
      <w:r w:rsidR="00AE51D2" w:rsidRPr="00394095">
        <w:rPr>
          <w:rFonts w:ascii="Times New Roman" w:eastAsia="Times New Roman" w:hAnsi="Times New Roman" w:cs="Times New Roman"/>
          <w:sz w:val="24"/>
          <w:szCs w:val="24"/>
          <w:lang w:eastAsia="lv-LV"/>
        </w:rPr>
        <w:t>2002/87/EK, 2009/65/EK, 2011/61/ES, 2013/36/ES, 2014/59/ES un 2014/65/ES</w:t>
      </w:r>
      <w:r w:rsidR="00AE51D2">
        <w:rPr>
          <w:rFonts w:ascii="Times New Roman" w:eastAsia="Times New Roman" w:hAnsi="Times New Roman" w:cs="Times New Roman"/>
          <w:sz w:val="24"/>
          <w:szCs w:val="24"/>
          <w:lang w:eastAsia="lv-LV"/>
        </w:rPr>
        <w:t xml:space="preserve"> (turpmāk</w:t>
      </w:r>
      <w:r w:rsidR="00B12E0F">
        <w:rPr>
          <w:rFonts w:ascii="Times New Roman" w:eastAsia="Times New Roman" w:hAnsi="Times New Roman" w:cs="Times New Roman"/>
          <w:sz w:val="24"/>
          <w:szCs w:val="24"/>
          <w:lang w:eastAsia="lv-LV"/>
        </w:rPr>
        <w:t> </w:t>
      </w:r>
      <w:r w:rsidR="00AE51D2">
        <w:rPr>
          <w:rFonts w:ascii="Times New Roman" w:eastAsia="Times New Roman" w:hAnsi="Times New Roman" w:cs="Times New Roman"/>
          <w:sz w:val="24"/>
          <w:szCs w:val="24"/>
          <w:lang w:eastAsia="lv-LV"/>
        </w:rPr>
        <w:t xml:space="preserve">– </w:t>
      </w:r>
      <w:r w:rsidR="0098150E">
        <w:rPr>
          <w:rFonts w:ascii="Times New Roman" w:eastAsia="Times New Roman" w:hAnsi="Times New Roman" w:cs="Times New Roman"/>
          <w:sz w:val="24"/>
          <w:szCs w:val="24"/>
          <w:lang w:eastAsia="lv-LV"/>
        </w:rPr>
        <w:t>D</w:t>
      </w:r>
      <w:r w:rsidR="00AE51D2">
        <w:rPr>
          <w:rFonts w:ascii="Times New Roman" w:eastAsia="Times New Roman" w:hAnsi="Times New Roman" w:cs="Times New Roman"/>
          <w:sz w:val="24"/>
          <w:szCs w:val="24"/>
          <w:lang w:eastAsia="lv-LV"/>
        </w:rPr>
        <w:t>irektīva Nr.</w:t>
      </w:r>
      <w:r w:rsidR="0067587D">
        <w:rPr>
          <w:rFonts w:ascii="Times New Roman" w:eastAsia="Times New Roman" w:hAnsi="Times New Roman" w:cs="Times New Roman"/>
          <w:sz w:val="24"/>
          <w:szCs w:val="24"/>
          <w:lang w:eastAsia="lv-LV"/>
        </w:rPr>
        <w:t> </w:t>
      </w:r>
      <w:r w:rsidR="00AE51D2">
        <w:rPr>
          <w:rFonts w:ascii="Times New Roman" w:eastAsia="Times New Roman" w:hAnsi="Times New Roman" w:cs="Times New Roman"/>
          <w:sz w:val="24"/>
          <w:szCs w:val="24"/>
          <w:lang w:eastAsia="lv-LV"/>
        </w:rPr>
        <w:t>2019/2034/ES)</w:t>
      </w:r>
    </w:p>
    <w:p w14:paraId="7B5B4581" w14:textId="77777777" w:rsidR="00AE51D2" w:rsidRPr="00394095" w:rsidRDefault="00AE51D2" w:rsidP="00025C42">
      <w:pPr>
        <w:spacing w:after="120" w:line="240" w:lineRule="auto"/>
        <w:jc w:val="both"/>
        <w:rPr>
          <w:rFonts w:ascii="Times New Roman" w:eastAsia="Times New Roman" w:hAnsi="Times New Roman" w:cs="Times New Roman"/>
          <w:sz w:val="24"/>
          <w:szCs w:val="24"/>
          <w:lang w:eastAsia="lv-LV"/>
        </w:rPr>
      </w:pPr>
    </w:p>
    <w:tbl>
      <w:tblPr>
        <w:tblStyle w:val="Reatabula1"/>
        <w:tblW w:w="14771" w:type="dxa"/>
        <w:tblLook w:val="04A0" w:firstRow="1" w:lastRow="0" w:firstColumn="1" w:lastColumn="0" w:noHBand="0" w:noVBand="1"/>
      </w:tblPr>
      <w:tblGrid>
        <w:gridCol w:w="2850"/>
        <w:gridCol w:w="3403"/>
        <w:gridCol w:w="2122"/>
        <w:gridCol w:w="2228"/>
        <w:gridCol w:w="2011"/>
        <w:gridCol w:w="2157"/>
      </w:tblGrid>
      <w:tr w:rsidR="005A22ED" w:rsidRPr="005A22ED" w14:paraId="598AE5E5" w14:textId="77777777" w:rsidTr="00127DA3">
        <w:tc>
          <w:tcPr>
            <w:tcW w:w="2850" w:type="dxa"/>
          </w:tcPr>
          <w:p w14:paraId="68A53EAE" w14:textId="77777777" w:rsidR="008A4147" w:rsidRDefault="005A22ED" w:rsidP="006C2720">
            <w:pPr>
              <w:spacing w:after="120"/>
              <w:jc w:val="center"/>
              <w:rPr>
                <w:rFonts w:ascii="Times New Roman" w:eastAsia="Calibri" w:hAnsi="Times New Roman" w:cs="Times New Roman"/>
                <w:b/>
                <w:bCs/>
                <w:sz w:val="24"/>
                <w:szCs w:val="24"/>
              </w:rPr>
            </w:pPr>
            <w:r w:rsidRPr="005A22ED">
              <w:rPr>
                <w:rFonts w:ascii="Times New Roman" w:eastAsia="Calibri" w:hAnsi="Times New Roman" w:cs="Times New Roman"/>
                <w:b/>
                <w:bCs/>
                <w:sz w:val="24"/>
                <w:szCs w:val="24"/>
              </w:rPr>
              <w:t xml:space="preserve">Eiropas Savienības tiesību akta pants, punkts vai apakšpunkts, kurā paredzētās prasības Latvijā jāizpilda </w:t>
            </w:r>
          </w:p>
          <w:p w14:paraId="4763E293" w14:textId="16EFF3F7" w:rsidR="005A22ED" w:rsidRPr="005A22ED" w:rsidRDefault="005A22ED" w:rsidP="006C2720">
            <w:pPr>
              <w:spacing w:after="120"/>
              <w:jc w:val="center"/>
              <w:rPr>
                <w:rFonts w:ascii="Times New Roman" w:eastAsia="Calibri" w:hAnsi="Times New Roman" w:cs="Times New Roman"/>
                <w:sz w:val="24"/>
                <w:szCs w:val="24"/>
              </w:rPr>
            </w:pPr>
            <w:r w:rsidRPr="005A22ED">
              <w:rPr>
                <w:rFonts w:ascii="Times New Roman" w:eastAsia="Calibri" w:hAnsi="Times New Roman" w:cs="Times New Roman"/>
                <w:i/>
                <w:iCs/>
                <w:sz w:val="24"/>
                <w:szCs w:val="24"/>
              </w:rPr>
              <w:t>(</w:t>
            </w:r>
            <w:r w:rsidR="008A4147">
              <w:rPr>
                <w:rFonts w:ascii="Times New Roman" w:eastAsia="Calibri" w:hAnsi="Times New Roman" w:cs="Times New Roman"/>
                <w:i/>
                <w:iCs/>
                <w:sz w:val="24"/>
                <w:szCs w:val="24"/>
              </w:rPr>
              <w:t>N</w:t>
            </w:r>
            <w:r w:rsidR="008A4147" w:rsidRPr="005A22ED">
              <w:rPr>
                <w:rFonts w:ascii="Times New Roman" w:eastAsia="Calibri" w:hAnsi="Times New Roman" w:cs="Times New Roman"/>
                <w:i/>
                <w:iCs/>
                <w:sz w:val="24"/>
                <w:szCs w:val="24"/>
              </w:rPr>
              <w:t xml:space="preserve">orāda </w:t>
            </w:r>
            <w:r w:rsidRPr="005A22ED">
              <w:rPr>
                <w:rFonts w:ascii="Times New Roman" w:eastAsia="Calibri" w:hAnsi="Times New Roman" w:cs="Times New Roman"/>
                <w:i/>
                <w:iCs/>
                <w:sz w:val="24"/>
                <w:szCs w:val="24"/>
              </w:rPr>
              <w:t>pēc iespējas konkrētāku teksta vienību)</w:t>
            </w:r>
          </w:p>
        </w:tc>
        <w:tc>
          <w:tcPr>
            <w:tcW w:w="3403" w:type="dxa"/>
          </w:tcPr>
          <w:p w14:paraId="5DF7FAB5" w14:textId="648D37DC" w:rsidR="005A22ED" w:rsidRPr="005A22ED" w:rsidRDefault="005A22ED" w:rsidP="006C2720">
            <w:pPr>
              <w:spacing w:after="120"/>
              <w:jc w:val="center"/>
              <w:rPr>
                <w:rFonts w:ascii="Times New Roman" w:eastAsia="Calibri" w:hAnsi="Times New Roman" w:cs="Times New Roman"/>
                <w:b/>
                <w:bCs/>
                <w:sz w:val="24"/>
                <w:szCs w:val="24"/>
              </w:rPr>
            </w:pPr>
            <w:r w:rsidRPr="005A22ED">
              <w:rPr>
                <w:rFonts w:ascii="Times New Roman" w:eastAsia="Calibri" w:hAnsi="Times New Roman" w:cs="Times New Roman"/>
                <w:b/>
                <w:bCs/>
                <w:sz w:val="24"/>
                <w:szCs w:val="24"/>
              </w:rPr>
              <w:t>Noteikumu projekta punkts vai apakšpunkts, kas izpilda A ailē minēto prasību</w:t>
            </w:r>
          </w:p>
          <w:p w14:paraId="0D59D018" w14:textId="4582D1B7" w:rsidR="005A22ED" w:rsidRPr="005A22ED" w:rsidRDefault="005A22ED" w:rsidP="006C2720">
            <w:pPr>
              <w:spacing w:after="120"/>
              <w:jc w:val="center"/>
              <w:rPr>
                <w:rFonts w:ascii="Times New Roman" w:eastAsia="Calibri" w:hAnsi="Times New Roman" w:cs="Times New Roman"/>
                <w:b/>
                <w:bCs/>
                <w:sz w:val="24"/>
                <w:szCs w:val="24"/>
              </w:rPr>
            </w:pPr>
            <w:r w:rsidRPr="005A22ED">
              <w:rPr>
                <w:rFonts w:ascii="Times New Roman" w:eastAsia="Calibri" w:hAnsi="Times New Roman" w:cs="Times New Roman"/>
                <w:i/>
                <w:iCs/>
                <w:sz w:val="24"/>
                <w:szCs w:val="24"/>
              </w:rPr>
              <w:t>(</w:t>
            </w:r>
            <w:r w:rsidR="008A4147">
              <w:rPr>
                <w:rFonts w:ascii="Times New Roman" w:eastAsia="Calibri" w:hAnsi="Times New Roman" w:cs="Times New Roman"/>
                <w:i/>
                <w:iCs/>
                <w:sz w:val="24"/>
                <w:szCs w:val="24"/>
              </w:rPr>
              <w:t>N</w:t>
            </w:r>
            <w:r w:rsidR="008A4147" w:rsidRPr="005A22ED">
              <w:rPr>
                <w:rFonts w:ascii="Times New Roman" w:eastAsia="Calibri" w:hAnsi="Times New Roman" w:cs="Times New Roman"/>
                <w:i/>
                <w:iCs/>
                <w:sz w:val="24"/>
                <w:szCs w:val="24"/>
              </w:rPr>
              <w:t xml:space="preserve">orāda </w:t>
            </w:r>
            <w:r w:rsidRPr="005A22ED">
              <w:rPr>
                <w:rFonts w:ascii="Times New Roman" w:eastAsia="Calibri" w:hAnsi="Times New Roman" w:cs="Times New Roman"/>
                <w:i/>
                <w:iCs/>
                <w:sz w:val="24"/>
                <w:szCs w:val="24"/>
              </w:rPr>
              <w:t>pēc iespējas konkrētāku teksta vienību)</w:t>
            </w:r>
          </w:p>
        </w:tc>
        <w:tc>
          <w:tcPr>
            <w:tcW w:w="2122" w:type="dxa"/>
          </w:tcPr>
          <w:p w14:paraId="4990D021" w14:textId="7A5B9E14" w:rsidR="005A22ED" w:rsidRPr="005A22ED" w:rsidRDefault="005A22ED" w:rsidP="006C2720">
            <w:pPr>
              <w:spacing w:after="120"/>
              <w:jc w:val="center"/>
              <w:rPr>
                <w:rFonts w:ascii="Times New Roman" w:eastAsia="Calibri" w:hAnsi="Times New Roman" w:cs="Times New Roman"/>
                <w:b/>
                <w:bCs/>
                <w:sz w:val="24"/>
                <w:szCs w:val="24"/>
              </w:rPr>
            </w:pPr>
            <w:r w:rsidRPr="005A22ED">
              <w:rPr>
                <w:rFonts w:ascii="Times New Roman" w:eastAsia="Calibri" w:hAnsi="Times New Roman" w:cs="Times New Roman"/>
                <w:b/>
                <w:bCs/>
                <w:sz w:val="24"/>
                <w:szCs w:val="24"/>
              </w:rPr>
              <w:t xml:space="preserve">Vai A ailē minētā prasība ar B ailē minēto </w:t>
            </w:r>
            <w:r w:rsidR="008A4147" w:rsidRPr="005A22ED">
              <w:rPr>
                <w:rFonts w:ascii="Times New Roman" w:eastAsia="Calibri" w:hAnsi="Times New Roman" w:cs="Times New Roman"/>
                <w:b/>
                <w:bCs/>
                <w:sz w:val="24"/>
                <w:szCs w:val="24"/>
              </w:rPr>
              <w:t xml:space="preserve">noteikumu </w:t>
            </w:r>
            <w:r w:rsidRPr="005A22ED">
              <w:rPr>
                <w:rFonts w:ascii="Times New Roman" w:eastAsia="Calibri" w:hAnsi="Times New Roman" w:cs="Times New Roman"/>
                <w:b/>
                <w:bCs/>
                <w:sz w:val="24"/>
                <w:szCs w:val="24"/>
              </w:rPr>
              <w:t>projekta punktu vai apakšpunktu tiek izpildīta pilnībā vai daļēji?</w:t>
            </w:r>
          </w:p>
          <w:p w14:paraId="538D70A8" w14:textId="7A4BAA22" w:rsidR="005A22ED" w:rsidRPr="005A22ED" w:rsidRDefault="005A22ED" w:rsidP="006C2720">
            <w:pPr>
              <w:spacing w:after="120"/>
              <w:jc w:val="center"/>
              <w:rPr>
                <w:rFonts w:ascii="Times New Roman" w:eastAsia="Calibri" w:hAnsi="Times New Roman" w:cs="Times New Roman"/>
                <w:b/>
                <w:bCs/>
                <w:sz w:val="24"/>
                <w:szCs w:val="24"/>
              </w:rPr>
            </w:pPr>
            <w:r w:rsidRPr="005A22ED">
              <w:rPr>
                <w:rFonts w:ascii="Times New Roman" w:eastAsia="Calibri" w:hAnsi="Times New Roman" w:cs="Times New Roman"/>
                <w:i/>
                <w:iCs/>
                <w:sz w:val="24"/>
                <w:szCs w:val="24"/>
              </w:rPr>
              <w:t>(</w:t>
            </w:r>
            <w:r w:rsidR="008A4147">
              <w:rPr>
                <w:rFonts w:ascii="Times New Roman" w:eastAsia="Calibri" w:hAnsi="Times New Roman" w:cs="Times New Roman"/>
                <w:i/>
                <w:iCs/>
                <w:sz w:val="24"/>
                <w:szCs w:val="24"/>
              </w:rPr>
              <w:t>J</w:t>
            </w:r>
            <w:r w:rsidR="008A4147" w:rsidRPr="005A22ED">
              <w:rPr>
                <w:rFonts w:ascii="Times New Roman" w:eastAsia="Calibri" w:hAnsi="Times New Roman" w:cs="Times New Roman"/>
                <w:i/>
                <w:iCs/>
                <w:sz w:val="24"/>
                <w:szCs w:val="24"/>
              </w:rPr>
              <w:t xml:space="preserve">a </w:t>
            </w:r>
            <w:r w:rsidRPr="005A22ED">
              <w:rPr>
                <w:rFonts w:ascii="Times New Roman" w:eastAsia="Calibri" w:hAnsi="Times New Roman" w:cs="Times New Roman"/>
                <w:i/>
                <w:iCs/>
                <w:sz w:val="24"/>
                <w:szCs w:val="24"/>
              </w:rPr>
              <w:t>daļēji, norāda, kur un kā ir vai tiks nodrošināta prasības pilnīga izpilde)</w:t>
            </w:r>
          </w:p>
        </w:tc>
        <w:tc>
          <w:tcPr>
            <w:tcW w:w="2228" w:type="dxa"/>
          </w:tcPr>
          <w:p w14:paraId="7427C1BB" w14:textId="7CF28FD0" w:rsidR="005A22ED" w:rsidRPr="005A22ED" w:rsidRDefault="005A22ED" w:rsidP="006C2720">
            <w:pPr>
              <w:spacing w:after="120"/>
              <w:jc w:val="center"/>
              <w:rPr>
                <w:rFonts w:ascii="Times New Roman" w:eastAsia="Calibri" w:hAnsi="Times New Roman" w:cs="Times New Roman"/>
                <w:b/>
                <w:bCs/>
                <w:sz w:val="24"/>
                <w:szCs w:val="24"/>
              </w:rPr>
            </w:pPr>
            <w:r w:rsidRPr="005A22ED">
              <w:rPr>
                <w:rFonts w:ascii="Times New Roman" w:eastAsia="Calibri" w:hAnsi="Times New Roman" w:cs="Times New Roman"/>
                <w:b/>
                <w:bCs/>
                <w:sz w:val="24"/>
                <w:szCs w:val="24"/>
              </w:rPr>
              <w:t xml:space="preserve">Vai B ailē norādītais </w:t>
            </w:r>
            <w:r w:rsidR="008A4147" w:rsidRPr="005A22ED">
              <w:rPr>
                <w:rFonts w:ascii="Times New Roman" w:eastAsia="Calibri" w:hAnsi="Times New Roman" w:cs="Times New Roman"/>
                <w:b/>
                <w:bCs/>
                <w:sz w:val="24"/>
                <w:szCs w:val="24"/>
              </w:rPr>
              <w:t xml:space="preserve">noteikumu </w:t>
            </w:r>
            <w:r w:rsidRPr="005A22ED">
              <w:rPr>
                <w:rFonts w:ascii="Times New Roman" w:eastAsia="Calibri" w:hAnsi="Times New Roman" w:cs="Times New Roman"/>
                <w:b/>
                <w:bCs/>
                <w:sz w:val="24"/>
                <w:szCs w:val="24"/>
              </w:rPr>
              <w:t>projekta punkts vai apakšpunkts paredz stingrākas prasības nekā A ailē minētā prasība</w:t>
            </w:r>
            <w:r w:rsidR="008A4147">
              <w:rPr>
                <w:rFonts w:ascii="Times New Roman" w:eastAsia="Calibri" w:hAnsi="Times New Roman" w:cs="Times New Roman"/>
                <w:b/>
                <w:bCs/>
                <w:sz w:val="24"/>
                <w:szCs w:val="24"/>
              </w:rPr>
              <w:t>?</w:t>
            </w:r>
          </w:p>
          <w:p w14:paraId="344027EF" w14:textId="398B9FF1" w:rsidR="005A22ED" w:rsidRPr="005A22ED" w:rsidRDefault="005A22ED" w:rsidP="006C2720">
            <w:pPr>
              <w:spacing w:after="120"/>
              <w:jc w:val="center"/>
              <w:rPr>
                <w:rFonts w:ascii="Times New Roman" w:eastAsia="Calibri" w:hAnsi="Times New Roman" w:cs="Times New Roman"/>
                <w:b/>
                <w:bCs/>
                <w:sz w:val="24"/>
                <w:szCs w:val="24"/>
              </w:rPr>
            </w:pPr>
            <w:r w:rsidRPr="005A22ED">
              <w:rPr>
                <w:rFonts w:ascii="Times New Roman" w:eastAsia="Calibri" w:hAnsi="Times New Roman" w:cs="Times New Roman"/>
                <w:i/>
                <w:iCs/>
                <w:sz w:val="24"/>
                <w:szCs w:val="24"/>
              </w:rPr>
              <w:t>(</w:t>
            </w:r>
            <w:r w:rsidR="008A4147">
              <w:rPr>
                <w:rFonts w:ascii="Times New Roman" w:eastAsia="Calibri" w:hAnsi="Times New Roman" w:cs="Times New Roman"/>
                <w:i/>
                <w:iCs/>
                <w:sz w:val="24"/>
                <w:szCs w:val="24"/>
              </w:rPr>
              <w:t>J</w:t>
            </w:r>
            <w:r w:rsidR="008A4147" w:rsidRPr="005A22ED">
              <w:rPr>
                <w:rFonts w:ascii="Times New Roman" w:eastAsia="Calibri" w:hAnsi="Times New Roman" w:cs="Times New Roman"/>
                <w:i/>
                <w:iCs/>
                <w:sz w:val="24"/>
                <w:szCs w:val="24"/>
              </w:rPr>
              <w:t xml:space="preserve">a </w:t>
            </w:r>
            <w:r w:rsidRPr="005A22ED">
              <w:rPr>
                <w:rFonts w:ascii="Times New Roman" w:eastAsia="Calibri" w:hAnsi="Times New Roman" w:cs="Times New Roman"/>
                <w:i/>
                <w:iCs/>
                <w:sz w:val="24"/>
                <w:szCs w:val="24"/>
              </w:rPr>
              <w:t>paredz stingrākas prasības, norāda pamatojumu šādu stingrāku prasību nepieciešamībai)</w:t>
            </w:r>
          </w:p>
        </w:tc>
        <w:tc>
          <w:tcPr>
            <w:tcW w:w="2011" w:type="dxa"/>
          </w:tcPr>
          <w:p w14:paraId="1C48BF30" w14:textId="76BC1372" w:rsidR="005A22ED" w:rsidRPr="005A22ED" w:rsidRDefault="005A22ED" w:rsidP="006C2720">
            <w:pPr>
              <w:spacing w:after="120"/>
              <w:jc w:val="center"/>
              <w:rPr>
                <w:rFonts w:ascii="Times New Roman" w:eastAsia="Calibri" w:hAnsi="Times New Roman" w:cs="Times New Roman"/>
                <w:b/>
                <w:bCs/>
                <w:sz w:val="24"/>
                <w:szCs w:val="24"/>
              </w:rPr>
            </w:pPr>
            <w:r w:rsidRPr="005A22ED">
              <w:rPr>
                <w:rFonts w:ascii="Times New Roman" w:eastAsia="Calibri" w:hAnsi="Times New Roman" w:cs="Times New Roman"/>
                <w:b/>
                <w:bCs/>
                <w:sz w:val="24"/>
                <w:szCs w:val="24"/>
              </w:rPr>
              <w:t>Vai A ailē minētā prasība ir jāizpilda obligāti?</w:t>
            </w:r>
          </w:p>
          <w:p w14:paraId="2DDB533B" w14:textId="38D1970E" w:rsidR="005A22ED" w:rsidRPr="005A22ED" w:rsidRDefault="005A22ED" w:rsidP="006C2720">
            <w:pPr>
              <w:spacing w:after="120"/>
              <w:jc w:val="center"/>
              <w:rPr>
                <w:rFonts w:ascii="Times New Roman" w:eastAsia="Calibri" w:hAnsi="Times New Roman" w:cs="Times New Roman"/>
                <w:i/>
                <w:iCs/>
                <w:sz w:val="24"/>
                <w:szCs w:val="24"/>
              </w:rPr>
            </w:pPr>
            <w:r w:rsidRPr="005A22ED">
              <w:rPr>
                <w:rFonts w:ascii="Times New Roman" w:eastAsia="Calibri" w:hAnsi="Times New Roman" w:cs="Times New Roman"/>
                <w:i/>
                <w:iCs/>
                <w:sz w:val="24"/>
                <w:szCs w:val="24"/>
              </w:rPr>
              <w:t>(</w:t>
            </w:r>
            <w:r w:rsidR="008A4147">
              <w:rPr>
                <w:rFonts w:ascii="Times New Roman" w:eastAsia="Calibri" w:hAnsi="Times New Roman" w:cs="Times New Roman"/>
                <w:i/>
                <w:iCs/>
                <w:sz w:val="24"/>
                <w:szCs w:val="24"/>
              </w:rPr>
              <w:t>J</w:t>
            </w:r>
            <w:r w:rsidR="008A4147" w:rsidRPr="005A22ED">
              <w:rPr>
                <w:rFonts w:ascii="Times New Roman" w:eastAsia="Calibri" w:hAnsi="Times New Roman" w:cs="Times New Roman"/>
                <w:i/>
                <w:iCs/>
                <w:sz w:val="24"/>
                <w:szCs w:val="24"/>
              </w:rPr>
              <w:t xml:space="preserve">a </w:t>
            </w:r>
            <w:r w:rsidRPr="005A22ED">
              <w:rPr>
                <w:rFonts w:ascii="Times New Roman" w:eastAsia="Calibri" w:hAnsi="Times New Roman" w:cs="Times New Roman"/>
                <w:i/>
                <w:iCs/>
                <w:sz w:val="24"/>
                <w:szCs w:val="24"/>
              </w:rPr>
              <w:t>Eiropas Savienības tiesību akts paredz izvēles iespēju, norāda, vai un kādēļ šī rīcības brīvība Latvijā ir vai nav jāizmanto)</w:t>
            </w:r>
          </w:p>
          <w:p w14:paraId="5214BA27" w14:textId="77777777" w:rsidR="005A22ED" w:rsidRPr="005A22ED" w:rsidRDefault="005A22ED" w:rsidP="006C2720">
            <w:pPr>
              <w:spacing w:after="120"/>
              <w:jc w:val="center"/>
              <w:rPr>
                <w:rFonts w:ascii="Times New Roman" w:eastAsia="Calibri" w:hAnsi="Times New Roman" w:cs="Times New Roman"/>
                <w:b/>
                <w:bCs/>
                <w:sz w:val="24"/>
                <w:szCs w:val="24"/>
              </w:rPr>
            </w:pPr>
          </w:p>
          <w:p w14:paraId="00363B18" w14:textId="77777777" w:rsidR="005A22ED" w:rsidRPr="005A22ED" w:rsidRDefault="005A22ED" w:rsidP="006C2720">
            <w:pPr>
              <w:spacing w:after="120"/>
              <w:jc w:val="center"/>
              <w:rPr>
                <w:rFonts w:ascii="Times New Roman" w:eastAsia="Calibri" w:hAnsi="Times New Roman" w:cs="Times New Roman"/>
                <w:b/>
                <w:bCs/>
                <w:sz w:val="24"/>
                <w:szCs w:val="24"/>
              </w:rPr>
            </w:pPr>
          </w:p>
        </w:tc>
        <w:tc>
          <w:tcPr>
            <w:tcW w:w="2157" w:type="dxa"/>
          </w:tcPr>
          <w:p w14:paraId="3B85C1CA" w14:textId="77777777" w:rsidR="005A22ED" w:rsidRPr="008A4147" w:rsidRDefault="005A22ED" w:rsidP="006C2720">
            <w:pPr>
              <w:spacing w:after="120"/>
              <w:jc w:val="center"/>
              <w:rPr>
                <w:rFonts w:ascii="Times New Roman" w:eastAsia="Calibri" w:hAnsi="Times New Roman" w:cs="Times New Roman"/>
                <w:b/>
                <w:bCs/>
                <w:sz w:val="24"/>
                <w:szCs w:val="24"/>
              </w:rPr>
            </w:pPr>
            <w:r w:rsidRPr="008A4147">
              <w:rPr>
                <w:rFonts w:ascii="Times New Roman" w:eastAsia="Calibri" w:hAnsi="Times New Roman" w:cs="Times New Roman"/>
                <w:b/>
                <w:bCs/>
                <w:sz w:val="24"/>
                <w:szCs w:val="24"/>
              </w:rPr>
              <w:t>Vai A ailē minētais Eiropas Savienības tiesību akts paredz dalībvalsts paziņošanas pienākumu Eiropas Savienības institūcijām?</w:t>
            </w:r>
          </w:p>
          <w:p w14:paraId="15683376" w14:textId="068751C5" w:rsidR="005A22ED" w:rsidRPr="008A4147" w:rsidRDefault="005A22ED" w:rsidP="006C2720">
            <w:pPr>
              <w:spacing w:after="120"/>
              <w:jc w:val="center"/>
              <w:rPr>
                <w:rFonts w:ascii="Times New Roman" w:eastAsia="Calibri" w:hAnsi="Times New Roman" w:cs="Times New Roman"/>
                <w:b/>
                <w:bCs/>
                <w:sz w:val="24"/>
                <w:szCs w:val="24"/>
              </w:rPr>
            </w:pPr>
            <w:r w:rsidRPr="008A4147">
              <w:rPr>
                <w:rFonts w:ascii="Times New Roman" w:eastAsia="Calibri" w:hAnsi="Times New Roman" w:cs="Times New Roman"/>
                <w:i/>
                <w:iCs/>
                <w:sz w:val="24"/>
                <w:szCs w:val="24"/>
              </w:rPr>
              <w:t>(</w:t>
            </w:r>
            <w:r w:rsidR="008A4147" w:rsidRPr="008A4147">
              <w:rPr>
                <w:rFonts w:ascii="Times New Roman" w:eastAsia="Calibri" w:hAnsi="Times New Roman" w:cs="Times New Roman"/>
                <w:i/>
                <w:iCs/>
                <w:sz w:val="24"/>
                <w:szCs w:val="24"/>
              </w:rPr>
              <w:t xml:space="preserve">Ja </w:t>
            </w:r>
            <w:r w:rsidRPr="008A4147">
              <w:rPr>
                <w:rFonts w:ascii="Times New Roman" w:eastAsia="Calibri" w:hAnsi="Times New Roman" w:cs="Times New Roman"/>
                <w:i/>
                <w:iCs/>
                <w:sz w:val="24"/>
                <w:szCs w:val="24"/>
              </w:rPr>
              <w:t>paredz, norāda, kas un kādā termiņā šo paziņošanas pienākumu izpildīs)</w:t>
            </w:r>
          </w:p>
        </w:tc>
      </w:tr>
      <w:tr w:rsidR="005A22ED" w:rsidRPr="005A22ED" w14:paraId="45CCD10D" w14:textId="77777777" w:rsidTr="00127DA3">
        <w:tc>
          <w:tcPr>
            <w:tcW w:w="2850" w:type="dxa"/>
          </w:tcPr>
          <w:p w14:paraId="40A26C97" w14:textId="77777777" w:rsidR="005A22ED" w:rsidRPr="005A22ED" w:rsidRDefault="005A22ED" w:rsidP="006C2720">
            <w:pPr>
              <w:spacing w:after="120"/>
              <w:jc w:val="center"/>
              <w:rPr>
                <w:rFonts w:ascii="Times New Roman" w:eastAsia="Calibri" w:hAnsi="Times New Roman" w:cs="Times New Roman"/>
                <w:sz w:val="24"/>
                <w:szCs w:val="24"/>
              </w:rPr>
            </w:pPr>
            <w:r w:rsidRPr="005A22ED">
              <w:rPr>
                <w:rFonts w:ascii="Times New Roman" w:eastAsia="Calibri" w:hAnsi="Times New Roman" w:cs="Times New Roman"/>
                <w:sz w:val="24"/>
                <w:szCs w:val="24"/>
              </w:rPr>
              <w:t>A</w:t>
            </w:r>
          </w:p>
        </w:tc>
        <w:tc>
          <w:tcPr>
            <w:tcW w:w="3403" w:type="dxa"/>
          </w:tcPr>
          <w:p w14:paraId="322CB400" w14:textId="77777777" w:rsidR="005A22ED" w:rsidRPr="005A22ED" w:rsidRDefault="005A22ED" w:rsidP="006C2720">
            <w:pPr>
              <w:spacing w:after="120"/>
              <w:jc w:val="center"/>
              <w:rPr>
                <w:rFonts w:ascii="Times New Roman" w:eastAsia="Calibri" w:hAnsi="Times New Roman" w:cs="Times New Roman"/>
                <w:sz w:val="24"/>
                <w:szCs w:val="24"/>
              </w:rPr>
            </w:pPr>
            <w:r w:rsidRPr="005A22ED">
              <w:rPr>
                <w:rFonts w:ascii="Times New Roman" w:eastAsia="Calibri" w:hAnsi="Times New Roman" w:cs="Times New Roman"/>
                <w:sz w:val="24"/>
                <w:szCs w:val="24"/>
              </w:rPr>
              <w:t>B</w:t>
            </w:r>
          </w:p>
        </w:tc>
        <w:tc>
          <w:tcPr>
            <w:tcW w:w="2122" w:type="dxa"/>
          </w:tcPr>
          <w:p w14:paraId="780220FD" w14:textId="77777777" w:rsidR="005A22ED" w:rsidRPr="005A22ED" w:rsidRDefault="005A22ED" w:rsidP="006C2720">
            <w:pPr>
              <w:spacing w:after="120"/>
              <w:jc w:val="center"/>
              <w:rPr>
                <w:rFonts w:ascii="Times New Roman" w:eastAsia="Calibri" w:hAnsi="Times New Roman" w:cs="Times New Roman"/>
                <w:sz w:val="24"/>
                <w:szCs w:val="24"/>
              </w:rPr>
            </w:pPr>
            <w:r w:rsidRPr="005A22ED">
              <w:rPr>
                <w:rFonts w:ascii="Times New Roman" w:eastAsia="Calibri" w:hAnsi="Times New Roman" w:cs="Times New Roman"/>
                <w:sz w:val="24"/>
                <w:szCs w:val="24"/>
              </w:rPr>
              <w:t>C</w:t>
            </w:r>
          </w:p>
        </w:tc>
        <w:tc>
          <w:tcPr>
            <w:tcW w:w="2228" w:type="dxa"/>
          </w:tcPr>
          <w:p w14:paraId="04B88492" w14:textId="77777777" w:rsidR="005A22ED" w:rsidRPr="005A22ED" w:rsidRDefault="005A22ED" w:rsidP="006C2720">
            <w:pPr>
              <w:spacing w:after="120"/>
              <w:jc w:val="center"/>
              <w:rPr>
                <w:rFonts w:ascii="Times New Roman" w:eastAsia="Calibri" w:hAnsi="Times New Roman" w:cs="Times New Roman"/>
                <w:sz w:val="24"/>
                <w:szCs w:val="24"/>
              </w:rPr>
            </w:pPr>
            <w:r w:rsidRPr="005A22ED">
              <w:rPr>
                <w:rFonts w:ascii="Times New Roman" w:eastAsia="Calibri" w:hAnsi="Times New Roman" w:cs="Times New Roman"/>
                <w:sz w:val="24"/>
                <w:szCs w:val="24"/>
              </w:rPr>
              <w:t>D</w:t>
            </w:r>
          </w:p>
        </w:tc>
        <w:tc>
          <w:tcPr>
            <w:tcW w:w="2011" w:type="dxa"/>
          </w:tcPr>
          <w:p w14:paraId="35C295DA" w14:textId="77777777" w:rsidR="005A22ED" w:rsidRPr="005A22ED" w:rsidRDefault="005A22ED" w:rsidP="006C2720">
            <w:pPr>
              <w:spacing w:after="120"/>
              <w:jc w:val="center"/>
              <w:rPr>
                <w:rFonts w:ascii="Times New Roman" w:eastAsia="Calibri" w:hAnsi="Times New Roman" w:cs="Times New Roman"/>
                <w:sz w:val="24"/>
                <w:szCs w:val="24"/>
              </w:rPr>
            </w:pPr>
            <w:r w:rsidRPr="005A22ED">
              <w:rPr>
                <w:rFonts w:ascii="Times New Roman" w:eastAsia="Calibri" w:hAnsi="Times New Roman" w:cs="Times New Roman"/>
                <w:sz w:val="24"/>
                <w:szCs w:val="24"/>
              </w:rPr>
              <w:t>E</w:t>
            </w:r>
          </w:p>
        </w:tc>
        <w:tc>
          <w:tcPr>
            <w:tcW w:w="2157" w:type="dxa"/>
          </w:tcPr>
          <w:p w14:paraId="04FBAA9C" w14:textId="77777777" w:rsidR="005A22ED" w:rsidRPr="005A22ED" w:rsidRDefault="005A22ED" w:rsidP="006C2720">
            <w:pPr>
              <w:spacing w:after="120"/>
              <w:jc w:val="center"/>
              <w:rPr>
                <w:rFonts w:ascii="Times New Roman" w:eastAsia="Calibri" w:hAnsi="Times New Roman" w:cs="Times New Roman"/>
                <w:sz w:val="24"/>
                <w:szCs w:val="24"/>
              </w:rPr>
            </w:pPr>
            <w:r w:rsidRPr="005A22ED">
              <w:rPr>
                <w:rFonts w:ascii="Times New Roman" w:eastAsia="Calibri" w:hAnsi="Times New Roman" w:cs="Times New Roman"/>
                <w:sz w:val="24"/>
                <w:szCs w:val="24"/>
              </w:rPr>
              <w:t>F</w:t>
            </w:r>
          </w:p>
        </w:tc>
      </w:tr>
      <w:tr w:rsidR="00F26821" w:rsidRPr="005A22ED" w14:paraId="5B9E26A7" w14:textId="77777777" w:rsidTr="00127DA3">
        <w:tc>
          <w:tcPr>
            <w:tcW w:w="2850" w:type="dxa"/>
          </w:tcPr>
          <w:p w14:paraId="247B59B7" w14:textId="312F24F7" w:rsidR="00F26821" w:rsidRPr="005A22ED" w:rsidRDefault="00F26821" w:rsidP="006C2720">
            <w:pPr>
              <w:spacing w:after="120"/>
              <w:rPr>
                <w:rFonts w:ascii="Times New Roman" w:eastAsia="Calibri" w:hAnsi="Times New Roman" w:cs="Times New Roman"/>
                <w:bCs/>
              </w:rPr>
            </w:pPr>
            <w:r w:rsidRPr="005A22ED">
              <w:rPr>
                <w:rFonts w:ascii="Times New Roman" w:eastAsia="Calibri" w:hAnsi="Times New Roman" w:cs="Times New Roman"/>
                <w:bCs/>
              </w:rPr>
              <w:t>Direktīvas</w:t>
            </w:r>
            <w:r w:rsidR="008A4147">
              <w:rPr>
                <w:rFonts w:ascii="Times New Roman" w:eastAsia="Calibri" w:hAnsi="Times New Roman" w:cs="Times New Roman"/>
                <w:bCs/>
              </w:rPr>
              <w:t> </w:t>
            </w:r>
            <w:r w:rsidRPr="005A22ED">
              <w:rPr>
                <w:rFonts w:ascii="Times New Roman" w:eastAsia="Calibri" w:hAnsi="Times New Roman" w:cs="Times New Roman"/>
                <w:bCs/>
              </w:rPr>
              <w:t>201</w:t>
            </w:r>
            <w:r>
              <w:rPr>
                <w:rFonts w:ascii="Times New Roman" w:eastAsia="Calibri" w:hAnsi="Times New Roman" w:cs="Times New Roman"/>
                <w:bCs/>
              </w:rPr>
              <w:t>9</w:t>
            </w:r>
            <w:r w:rsidRPr="005A22ED">
              <w:rPr>
                <w:rFonts w:ascii="Times New Roman" w:eastAsia="Calibri" w:hAnsi="Times New Roman" w:cs="Times New Roman"/>
                <w:bCs/>
              </w:rPr>
              <w:t>/</w:t>
            </w:r>
            <w:r>
              <w:rPr>
                <w:rFonts w:ascii="Times New Roman" w:eastAsia="Calibri" w:hAnsi="Times New Roman" w:cs="Times New Roman"/>
                <w:bCs/>
              </w:rPr>
              <w:t>2034</w:t>
            </w:r>
            <w:r w:rsidRPr="005A22ED">
              <w:rPr>
                <w:rFonts w:ascii="Times New Roman" w:eastAsia="Calibri" w:hAnsi="Times New Roman" w:cs="Times New Roman"/>
                <w:bCs/>
              </w:rPr>
              <w:t>/ES</w:t>
            </w:r>
            <w:r w:rsidRPr="005A22ED">
              <w:rPr>
                <w:rFonts w:ascii="Times New Roman" w:eastAsia="Calibri" w:hAnsi="Times New Roman" w:cs="Times New Roman"/>
              </w:rPr>
              <w:t xml:space="preserve"> </w:t>
            </w:r>
            <w:r>
              <w:rPr>
                <w:rFonts w:ascii="Times New Roman" w:eastAsia="Calibri" w:hAnsi="Times New Roman" w:cs="Times New Roman"/>
              </w:rPr>
              <w:t>28</w:t>
            </w:r>
            <w:r w:rsidRPr="005A22ED">
              <w:rPr>
                <w:rFonts w:ascii="Times New Roman" w:eastAsia="Calibri" w:hAnsi="Times New Roman" w:cs="Times New Roman"/>
              </w:rPr>
              <w:t xml:space="preserve">. panta </w:t>
            </w:r>
            <w:r>
              <w:rPr>
                <w:rFonts w:ascii="Times New Roman" w:eastAsia="Calibri" w:hAnsi="Times New Roman" w:cs="Times New Roman"/>
              </w:rPr>
              <w:t>1</w:t>
            </w:r>
            <w:r w:rsidRPr="005A22ED">
              <w:rPr>
                <w:rFonts w:ascii="Times New Roman" w:eastAsia="Calibri" w:hAnsi="Times New Roman" w:cs="Times New Roman"/>
              </w:rPr>
              <w:t>. punkt</w:t>
            </w:r>
            <w:r>
              <w:rPr>
                <w:rFonts w:ascii="Times New Roman" w:eastAsia="Calibri" w:hAnsi="Times New Roman" w:cs="Times New Roman"/>
              </w:rPr>
              <w:t>s</w:t>
            </w:r>
          </w:p>
        </w:tc>
        <w:tc>
          <w:tcPr>
            <w:tcW w:w="3403" w:type="dxa"/>
          </w:tcPr>
          <w:p w14:paraId="2B2D95ED" w14:textId="421D3767" w:rsidR="00F26821" w:rsidRPr="005A22ED" w:rsidRDefault="00F26821" w:rsidP="006C2720">
            <w:pPr>
              <w:spacing w:after="120"/>
              <w:rPr>
                <w:rFonts w:ascii="Times New Roman" w:eastAsia="Calibri" w:hAnsi="Times New Roman" w:cs="Times New Roman"/>
              </w:rPr>
            </w:pPr>
            <w:r w:rsidRPr="00AA28D9">
              <w:rPr>
                <w:rFonts w:ascii="Times New Roman" w:eastAsia="Calibri" w:hAnsi="Times New Roman" w:cs="Times New Roman"/>
              </w:rPr>
              <w:t xml:space="preserve">Noteikumu projekta </w:t>
            </w:r>
            <w:r w:rsidR="003D4C96">
              <w:rPr>
                <w:rFonts w:ascii="Times New Roman" w:eastAsia="Calibri" w:hAnsi="Times New Roman" w:cs="Times New Roman"/>
              </w:rPr>
              <w:t>9</w:t>
            </w:r>
            <w:r w:rsidR="00463813">
              <w:rPr>
                <w:rFonts w:ascii="Times New Roman" w:eastAsia="Calibri" w:hAnsi="Times New Roman" w:cs="Times New Roman"/>
              </w:rPr>
              <w:t>.2. un 9</w:t>
            </w:r>
            <w:r w:rsidR="003D4C96">
              <w:rPr>
                <w:rFonts w:ascii="Times New Roman" w:eastAsia="Calibri" w:hAnsi="Times New Roman" w:cs="Times New Roman"/>
              </w:rPr>
              <w:t>4</w:t>
            </w:r>
            <w:r w:rsidR="00463813">
              <w:rPr>
                <w:rFonts w:ascii="Times New Roman" w:eastAsia="Calibri" w:hAnsi="Times New Roman" w:cs="Times New Roman"/>
              </w:rPr>
              <w:t>.4. apakš</w:t>
            </w:r>
            <w:r>
              <w:rPr>
                <w:rFonts w:ascii="Times New Roman" w:eastAsia="Calibri" w:hAnsi="Times New Roman" w:cs="Times New Roman"/>
              </w:rPr>
              <w:t xml:space="preserve">punkts </w:t>
            </w:r>
          </w:p>
        </w:tc>
        <w:tc>
          <w:tcPr>
            <w:tcW w:w="2122" w:type="dxa"/>
          </w:tcPr>
          <w:p w14:paraId="0EDD73C7" w14:textId="5A9A90F3" w:rsidR="00F26821" w:rsidRPr="005A22ED" w:rsidRDefault="00F26821" w:rsidP="006C2720">
            <w:pPr>
              <w:spacing w:after="120"/>
              <w:rPr>
                <w:rFonts w:ascii="Times New Roman" w:eastAsia="Calibri" w:hAnsi="Times New Roman" w:cs="Times New Roman"/>
              </w:rPr>
            </w:pPr>
            <w:r w:rsidRPr="00C93407">
              <w:rPr>
                <w:rFonts w:ascii="Times New Roman" w:eastAsia="Calibri" w:hAnsi="Times New Roman" w:cs="Times New Roman"/>
              </w:rPr>
              <w:t>Izpilda pilnībā</w:t>
            </w:r>
          </w:p>
        </w:tc>
        <w:tc>
          <w:tcPr>
            <w:tcW w:w="2228" w:type="dxa"/>
          </w:tcPr>
          <w:p w14:paraId="60AF4221" w14:textId="76B7A02D" w:rsidR="00F26821" w:rsidRPr="005A22ED" w:rsidRDefault="00F26821" w:rsidP="006C2720">
            <w:pPr>
              <w:spacing w:after="120"/>
              <w:rPr>
                <w:rFonts w:ascii="Times New Roman" w:eastAsia="Calibri" w:hAnsi="Times New Roman" w:cs="Times New Roman"/>
              </w:rPr>
            </w:pPr>
            <w:r w:rsidRPr="00C93407">
              <w:rPr>
                <w:rFonts w:ascii="Times New Roman" w:eastAsia="Calibri" w:hAnsi="Times New Roman" w:cs="Times New Roman"/>
              </w:rPr>
              <w:t>Nē</w:t>
            </w:r>
          </w:p>
        </w:tc>
        <w:tc>
          <w:tcPr>
            <w:tcW w:w="2011" w:type="dxa"/>
          </w:tcPr>
          <w:p w14:paraId="3E88C59A" w14:textId="7D88DFBF" w:rsidR="00F26821" w:rsidRPr="005A22ED" w:rsidRDefault="00F26821" w:rsidP="006C2720">
            <w:pPr>
              <w:spacing w:after="120"/>
              <w:rPr>
                <w:rFonts w:ascii="Times New Roman" w:eastAsia="Calibri" w:hAnsi="Times New Roman" w:cs="Times New Roman"/>
              </w:rPr>
            </w:pPr>
            <w:r w:rsidRPr="00C93407">
              <w:rPr>
                <w:rFonts w:ascii="Times New Roman" w:eastAsia="Calibri" w:hAnsi="Times New Roman" w:cs="Times New Roman"/>
              </w:rPr>
              <w:t>Jā</w:t>
            </w:r>
          </w:p>
        </w:tc>
        <w:tc>
          <w:tcPr>
            <w:tcW w:w="2157" w:type="dxa"/>
            <w:vMerge w:val="restart"/>
          </w:tcPr>
          <w:p w14:paraId="158BDD82" w14:textId="77777777" w:rsidR="00F26821" w:rsidRPr="005A22ED" w:rsidRDefault="00F26821" w:rsidP="006C2720">
            <w:pPr>
              <w:spacing w:after="120"/>
              <w:rPr>
                <w:rFonts w:ascii="Times New Roman" w:eastAsia="Calibri" w:hAnsi="Times New Roman" w:cs="Times New Roman"/>
              </w:rPr>
            </w:pPr>
            <w:r w:rsidRPr="003623CE">
              <w:rPr>
                <w:rFonts w:ascii="Times New Roman" w:eastAsia="Calibri" w:hAnsi="Times New Roman" w:cs="Times New Roman"/>
              </w:rPr>
              <w:t xml:space="preserve">Direktīvas 2019/2034/ES </w:t>
            </w:r>
            <w:r>
              <w:rPr>
                <w:rFonts w:ascii="Times New Roman" w:eastAsia="Calibri" w:hAnsi="Times New Roman" w:cs="Times New Roman"/>
              </w:rPr>
              <w:lastRenderedPageBreak/>
              <w:t>67</w:t>
            </w:r>
            <w:r w:rsidRPr="005A22ED">
              <w:rPr>
                <w:rFonts w:ascii="Times New Roman" w:eastAsia="Calibri" w:hAnsi="Times New Roman" w:cs="Times New Roman"/>
              </w:rPr>
              <w:t xml:space="preserve">. panta </w:t>
            </w:r>
            <w:r>
              <w:rPr>
                <w:rFonts w:ascii="Times New Roman" w:eastAsia="Calibri" w:hAnsi="Times New Roman" w:cs="Times New Roman"/>
              </w:rPr>
              <w:t>3</w:t>
            </w:r>
            <w:r w:rsidRPr="005A22ED">
              <w:rPr>
                <w:rFonts w:ascii="Times New Roman" w:eastAsia="Calibri" w:hAnsi="Times New Roman" w:cs="Times New Roman"/>
              </w:rPr>
              <w:t>. punkt</w:t>
            </w:r>
            <w:r>
              <w:rPr>
                <w:rFonts w:ascii="Times New Roman" w:eastAsia="Calibri" w:hAnsi="Times New Roman" w:cs="Times New Roman"/>
              </w:rPr>
              <w:t xml:space="preserve">s </w:t>
            </w:r>
            <w:r w:rsidRPr="005A22ED">
              <w:rPr>
                <w:rFonts w:ascii="Times New Roman" w:eastAsia="Calibri" w:hAnsi="Times New Roman" w:cs="Times New Roman"/>
              </w:rPr>
              <w:t xml:space="preserve">paredz, ka dalībvalstis paziņo Eiropas Komisijai un Eiropas Banku iestādei par šīs direktīvas prasību pārņemšanu. </w:t>
            </w:r>
          </w:p>
          <w:p w14:paraId="20118814" w14:textId="15073B26" w:rsidR="00F26821" w:rsidRPr="003623CE" w:rsidRDefault="00F26821" w:rsidP="006C2720">
            <w:pPr>
              <w:spacing w:after="120"/>
              <w:rPr>
                <w:rFonts w:ascii="Times New Roman" w:eastAsia="Calibri" w:hAnsi="Times New Roman" w:cs="Times New Roman"/>
              </w:rPr>
            </w:pPr>
            <w:r w:rsidRPr="005A22ED">
              <w:rPr>
                <w:rFonts w:ascii="Times New Roman" w:eastAsia="Calibri" w:hAnsi="Times New Roman" w:cs="Times New Roman"/>
              </w:rPr>
              <w:t xml:space="preserve">Pēc </w:t>
            </w:r>
            <w:r w:rsidR="008A4147" w:rsidRPr="005A22ED">
              <w:rPr>
                <w:rFonts w:ascii="Times New Roman" w:eastAsia="Calibri" w:hAnsi="Times New Roman" w:cs="Times New Roman"/>
              </w:rPr>
              <w:t xml:space="preserve">noteikumu </w:t>
            </w:r>
            <w:r w:rsidRPr="005A22ED">
              <w:rPr>
                <w:rFonts w:ascii="Times New Roman" w:eastAsia="Calibri" w:hAnsi="Times New Roman" w:cs="Times New Roman"/>
              </w:rPr>
              <w:t xml:space="preserve">projekta apstiprināšanas Latvijas Bankas padomē minēto paziņošanas pienākumu attiecībā uz Eiropas Komisiju izpildīs Finanšu ministrija, savukārt Eiropas Banku iestādei </w:t>
            </w:r>
            <w:r w:rsidR="008A4147">
              <w:rPr>
                <w:rFonts w:ascii="Times New Roman" w:eastAsia="Calibri" w:hAnsi="Times New Roman" w:cs="Times New Roman"/>
              </w:rPr>
              <w:t>paziņos</w:t>
            </w:r>
            <w:r w:rsidRPr="005A22ED">
              <w:rPr>
                <w:rFonts w:ascii="Times New Roman" w:eastAsia="Calibri" w:hAnsi="Times New Roman" w:cs="Times New Roman"/>
              </w:rPr>
              <w:t xml:space="preserve"> Latvijas Banka.</w:t>
            </w:r>
          </w:p>
        </w:tc>
      </w:tr>
      <w:tr w:rsidR="00F26821" w:rsidRPr="005A22ED" w14:paraId="53777291" w14:textId="77777777" w:rsidTr="00127DA3">
        <w:tc>
          <w:tcPr>
            <w:tcW w:w="2850" w:type="dxa"/>
          </w:tcPr>
          <w:p w14:paraId="063A614B" w14:textId="2A8E40BF" w:rsidR="00F26821" w:rsidRPr="005A22ED" w:rsidRDefault="00F26821" w:rsidP="006C2720">
            <w:pPr>
              <w:spacing w:after="120"/>
              <w:rPr>
                <w:rFonts w:ascii="Times New Roman" w:eastAsia="Calibri" w:hAnsi="Times New Roman" w:cs="Times New Roman"/>
                <w:bCs/>
              </w:rPr>
            </w:pPr>
            <w:r w:rsidRPr="005A22ED">
              <w:rPr>
                <w:rFonts w:ascii="Times New Roman" w:eastAsia="Calibri" w:hAnsi="Times New Roman" w:cs="Times New Roman"/>
                <w:bCs/>
              </w:rPr>
              <w:lastRenderedPageBreak/>
              <w:t>Direktīvas</w:t>
            </w:r>
            <w:r w:rsidR="008A4147">
              <w:rPr>
                <w:rFonts w:ascii="Times New Roman" w:eastAsia="Calibri" w:hAnsi="Times New Roman" w:cs="Times New Roman"/>
                <w:bCs/>
              </w:rPr>
              <w:t> </w:t>
            </w:r>
            <w:r w:rsidRPr="005A22ED">
              <w:rPr>
                <w:rFonts w:ascii="Times New Roman" w:eastAsia="Calibri" w:hAnsi="Times New Roman" w:cs="Times New Roman"/>
                <w:bCs/>
              </w:rPr>
              <w:t>201</w:t>
            </w:r>
            <w:r>
              <w:rPr>
                <w:rFonts w:ascii="Times New Roman" w:eastAsia="Calibri" w:hAnsi="Times New Roman" w:cs="Times New Roman"/>
                <w:bCs/>
              </w:rPr>
              <w:t>9</w:t>
            </w:r>
            <w:r w:rsidRPr="005A22ED">
              <w:rPr>
                <w:rFonts w:ascii="Times New Roman" w:eastAsia="Calibri" w:hAnsi="Times New Roman" w:cs="Times New Roman"/>
                <w:bCs/>
              </w:rPr>
              <w:t>/</w:t>
            </w:r>
            <w:r>
              <w:rPr>
                <w:rFonts w:ascii="Times New Roman" w:eastAsia="Calibri" w:hAnsi="Times New Roman" w:cs="Times New Roman"/>
                <w:bCs/>
              </w:rPr>
              <w:t>2034</w:t>
            </w:r>
            <w:r w:rsidRPr="005A22ED">
              <w:rPr>
                <w:rFonts w:ascii="Times New Roman" w:eastAsia="Calibri" w:hAnsi="Times New Roman" w:cs="Times New Roman"/>
                <w:bCs/>
              </w:rPr>
              <w:t>/ES</w:t>
            </w:r>
            <w:r w:rsidRPr="005A22ED">
              <w:rPr>
                <w:rFonts w:ascii="Times New Roman" w:eastAsia="Calibri" w:hAnsi="Times New Roman" w:cs="Times New Roman"/>
              </w:rPr>
              <w:t xml:space="preserve"> </w:t>
            </w:r>
            <w:r>
              <w:rPr>
                <w:rFonts w:ascii="Times New Roman" w:eastAsia="Calibri" w:hAnsi="Times New Roman" w:cs="Times New Roman"/>
              </w:rPr>
              <w:t>28</w:t>
            </w:r>
            <w:r w:rsidRPr="005A22ED">
              <w:rPr>
                <w:rFonts w:ascii="Times New Roman" w:eastAsia="Calibri" w:hAnsi="Times New Roman" w:cs="Times New Roman"/>
              </w:rPr>
              <w:t xml:space="preserve">. panta </w:t>
            </w:r>
            <w:r>
              <w:rPr>
                <w:rFonts w:ascii="Times New Roman" w:eastAsia="Calibri" w:hAnsi="Times New Roman" w:cs="Times New Roman"/>
              </w:rPr>
              <w:t>2</w:t>
            </w:r>
            <w:r w:rsidRPr="005A22ED">
              <w:rPr>
                <w:rFonts w:ascii="Times New Roman" w:eastAsia="Calibri" w:hAnsi="Times New Roman" w:cs="Times New Roman"/>
              </w:rPr>
              <w:t>. punkt</w:t>
            </w:r>
            <w:r>
              <w:rPr>
                <w:rFonts w:ascii="Times New Roman" w:eastAsia="Calibri" w:hAnsi="Times New Roman" w:cs="Times New Roman"/>
              </w:rPr>
              <w:t>s</w:t>
            </w:r>
          </w:p>
        </w:tc>
        <w:tc>
          <w:tcPr>
            <w:tcW w:w="3403" w:type="dxa"/>
          </w:tcPr>
          <w:p w14:paraId="08B3245D" w14:textId="297C64A0" w:rsidR="00F26821" w:rsidRPr="005A22ED" w:rsidRDefault="00F26821" w:rsidP="006C2720">
            <w:pPr>
              <w:spacing w:after="120"/>
              <w:rPr>
                <w:rFonts w:ascii="Times New Roman" w:eastAsia="Calibri" w:hAnsi="Times New Roman" w:cs="Times New Roman"/>
              </w:rPr>
            </w:pPr>
            <w:r w:rsidRPr="00AA28D9">
              <w:rPr>
                <w:rFonts w:ascii="Times New Roman" w:eastAsia="Calibri" w:hAnsi="Times New Roman" w:cs="Times New Roman"/>
              </w:rPr>
              <w:t xml:space="preserve">Noteikumu projekta </w:t>
            </w:r>
            <w:r>
              <w:rPr>
                <w:rFonts w:ascii="Times New Roman" w:eastAsia="Calibri" w:hAnsi="Times New Roman" w:cs="Times New Roman"/>
              </w:rPr>
              <w:t>6</w:t>
            </w:r>
            <w:r w:rsidR="003D4C96">
              <w:rPr>
                <w:rFonts w:ascii="Times New Roman" w:eastAsia="Calibri" w:hAnsi="Times New Roman" w:cs="Times New Roman"/>
              </w:rPr>
              <w:t>1</w:t>
            </w:r>
            <w:r>
              <w:rPr>
                <w:rFonts w:ascii="Times New Roman" w:eastAsia="Calibri" w:hAnsi="Times New Roman" w:cs="Times New Roman"/>
              </w:rPr>
              <w:t>.</w:t>
            </w:r>
            <w:r w:rsidR="004C77D2">
              <w:rPr>
                <w:rFonts w:ascii="Times New Roman" w:eastAsia="Calibri" w:hAnsi="Times New Roman" w:cs="Times New Roman"/>
              </w:rPr>
              <w:t> </w:t>
            </w:r>
            <w:r>
              <w:rPr>
                <w:rFonts w:ascii="Times New Roman" w:eastAsia="Calibri" w:hAnsi="Times New Roman" w:cs="Times New Roman"/>
              </w:rPr>
              <w:t>punkts</w:t>
            </w:r>
            <w:r w:rsidR="008A4147">
              <w:rPr>
                <w:rFonts w:ascii="Times New Roman" w:eastAsia="Calibri" w:hAnsi="Times New Roman" w:cs="Times New Roman"/>
              </w:rPr>
              <w:t xml:space="preserve"> un</w:t>
            </w:r>
            <w:r>
              <w:rPr>
                <w:rFonts w:ascii="Times New Roman" w:eastAsia="Calibri" w:hAnsi="Times New Roman" w:cs="Times New Roman"/>
              </w:rPr>
              <w:t xml:space="preserve"> 9</w:t>
            </w:r>
            <w:r w:rsidR="003D4C96">
              <w:rPr>
                <w:rFonts w:ascii="Times New Roman" w:eastAsia="Calibri" w:hAnsi="Times New Roman" w:cs="Times New Roman"/>
              </w:rPr>
              <w:t>4</w:t>
            </w:r>
            <w:r>
              <w:rPr>
                <w:rFonts w:ascii="Times New Roman" w:eastAsia="Calibri" w:hAnsi="Times New Roman" w:cs="Times New Roman"/>
              </w:rPr>
              <w:t>.9.</w:t>
            </w:r>
            <w:r w:rsidR="004C77D2">
              <w:rPr>
                <w:rFonts w:ascii="Times New Roman" w:eastAsia="Calibri" w:hAnsi="Times New Roman" w:cs="Times New Roman"/>
              </w:rPr>
              <w:t> </w:t>
            </w:r>
            <w:r>
              <w:rPr>
                <w:rFonts w:ascii="Times New Roman" w:eastAsia="Calibri" w:hAnsi="Times New Roman" w:cs="Times New Roman"/>
              </w:rPr>
              <w:t>apakšpunkts</w:t>
            </w:r>
          </w:p>
        </w:tc>
        <w:tc>
          <w:tcPr>
            <w:tcW w:w="2122" w:type="dxa"/>
          </w:tcPr>
          <w:p w14:paraId="5B86AB09" w14:textId="64FD095C" w:rsidR="00F26821" w:rsidRPr="005A22ED" w:rsidRDefault="00F26821" w:rsidP="006C2720">
            <w:pPr>
              <w:spacing w:after="120"/>
              <w:rPr>
                <w:rFonts w:ascii="Times New Roman" w:eastAsia="Calibri" w:hAnsi="Times New Roman" w:cs="Times New Roman"/>
              </w:rPr>
            </w:pPr>
            <w:r w:rsidRPr="00AA28D9">
              <w:rPr>
                <w:rFonts w:ascii="Times New Roman" w:eastAsia="Calibri" w:hAnsi="Times New Roman" w:cs="Times New Roman"/>
              </w:rPr>
              <w:t>Izpilda pilnībā</w:t>
            </w:r>
          </w:p>
        </w:tc>
        <w:tc>
          <w:tcPr>
            <w:tcW w:w="2228" w:type="dxa"/>
          </w:tcPr>
          <w:p w14:paraId="585C701B" w14:textId="5A5CEACF" w:rsidR="00F26821" w:rsidRPr="005A22ED" w:rsidRDefault="00F26821" w:rsidP="006C2720">
            <w:pPr>
              <w:spacing w:after="120"/>
              <w:rPr>
                <w:rFonts w:ascii="Times New Roman" w:eastAsia="Calibri" w:hAnsi="Times New Roman" w:cs="Times New Roman"/>
              </w:rPr>
            </w:pPr>
            <w:r w:rsidRPr="00AA28D9">
              <w:rPr>
                <w:rFonts w:ascii="Times New Roman" w:eastAsia="Calibri" w:hAnsi="Times New Roman" w:cs="Times New Roman"/>
              </w:rPr>
              <w:t>Nē</w:t>
            </w:r>
          </w:p>
        </w:tc>
        <w:tc>
          <w:tcPr>
            <w:tcW w:w="2011" w:type="dxa"/>
          </w:tcPr>
          <w:p w14:paraId="6D45AE12" w14:textId="39A8DF9E" w:rsidR="00F26821" w:rsidRPr="005A22ED" w:rsidRDefault="00F26821" w:rsidP="006C2720">
            <w:pPr>
              <w:spacing w:after="120"/>
              <w:rPr>
                <w:rFonts w:ascii="Times New Roman" w:eastAsia="Calibri" w:hAnsi="Times New Roman" w:cs="Times New Roman"/>
              </w:rPr>
            </w:pPr>
            <w:r w:rsidRPr="00AA28D9">
              <w:rPr>
                <w:rFonts w:ascii="Times New Roman" w:eastAsia="Calibri" w:hAnsi="Times New Roman" w:cs="Times New Roman"/>
              </w:rPr>
              <w:t>Jā</w:t>
            </w:r>
          </w:p>
        </w:tc>
        <w:tc>
          <w:tcPr>
            <w:tcW w:w="2157" w:type="dxa"/>
            <w:vMerge/>
          </w:tcPr>
          <w:p w14:paraId="2533E8D1" w14:textId="1E755007" w:rsidR="00F26821" w:rsidRPr="003623CE" w:rsidRDefault="00F26821" w:rsidP="006C2720">
            <w:pPr>
              <w:spacing w:after="120"/>
              <w:rPr>
                <w:rFonts w:ascii="Times New Roman" w:eastAsia="Calibri" w:hAnsi="Times New Roman" w:cs="Times New Roman"/>
              </w:rPr>
            </w:pPr>
          </w:p>
        </w:tc>
      </w:tr>
      <w:tr w:rsidR="00F26821" w:rsidRPr="005A22ED" w14:paraId="60066807" w14:textId="77777777" w:rsidTr="00127DA3">
        <w:tc>
          <w:tcPr>
            <w:tcW w:w="2850" w:type="dxa"/>
          </w:tcPr>
          <w:p w14:paraId="6B9696F6" w14:textId="66BA5A52" w:rsidR="00F26821" w:rsidRPr="005A22ED" w:rsidRDefault="00F26821" w:rsidP="006C2720">
            <w:pPr>
              <w:spacing w:after="120"/>
              <w:rPr>
                <w:rFonts w:ascii="Times New Roman" w:eastAsia="Calibri" w:hAnsi="Times New Roman" w:cs="Times New Roman"/>
                <w:bCs/>
              </w:rPr>
            </w:pPr>
            <w:r w:rsidRPr="00855C6F">
              <w:rPr>
                <w:rFonts w:ascii="Times New Roman" w:eastAsia="Calibri" w:hAnsi="Times New Roman" w:cs="Times New Roman"/>
                <w:bCs/>
              </w:rPr>
              <w:t>Direktīvas</w:t>
            </w:r>
            <w:r w:rsidR="008A4147">
              <w:rPr>
                <w:rFonts w:ascii="Times New Roman" w:eastAsia="Calibri" w:hAnsi="Times New Roman" w:cs="Times New Roman"/>
                <w:bCs/>
              </w:rPr>
              <w:t> </w:t>
            </w:r>
            <w:r w:rsidRPr="00855C6F">
              <w:rPr>
                <w:rFonts w:ascii="Times New Roman" w:eastAsia="Calibri" w:hAnsi="Times New Roman" w:cs="Times New Roman"/>
                <w:bCs/>
              </w:rPr>
              <w:t>2019/2034/ES 28.</w:t>
            </w:r>
            <w:r>
              <w:rPr>
                <w:rFonts w:ascii="Times New Roman" w:eastAsia="Calibri" w:hAnsi="Times New Roman" w:cs="Times New Roman"/>
                <w:bCs/>
              </w:rPr>
              <w:t> </w:t>
            </w:r>
            <w:r w:rsidRPr="00855C6F">
              <w:rPr>
                <w:rFonts w:ascii="Times New Roman" w:eastAsia="Calibri" w:hAnsi="Times New Roman" w:cs="Times New Roman"/>
                <w:bCs/>
              </w:rPr>
              <w:t xml:space="preserve">panta </w:t>
            </w:r>
            <w:r>
              <w:rPr>
                <w:rFonts w:ascii="Times New Roman" w:eastAsia="Calibri" w:hAnsi="Times New Roman" w:cs="Times New Roman"/>
                <w:bCs/>
              </w:rPr>
              <w:t>3</w:t>
            </w:r>
            <w:r w:rsidRPr="00855C6F">
              <w:rPr>
                <w:rFonts w:ascii="Times New Roman" w:eastAsia="Calibri" w:hAnsi="Times New Roman" w:cs="Times New Roman"/>
                <w:bCs/>
              </w:rPr>
              <w:t>.</w:t>
            </w:r>
            <w:r>
              <w:rPr>
                <w:rFonts w:ascii="Times New Roman" w:eastAsia="Calibri" w:hAnsi="Times New Roman" w:cs="Times New Roman"/>
                <w:bCs/>
              </w:rPr>
              <w:t> </w:t>
            </w:r>
            <w:r w:rsidRPr="00855C6F">
              <w:rPr>
                <w:rFonts w:ascii="Times New Roman" w:eastAsia="Calibri" w:hAnsi="Times New Roman" w:cs="Times New Roman"/>
                <w:bCs/>
              </w:rPr>
              <w:t>punkts</w:t>
            </w:r>
          </w:p>
        </w:tc>
        <w:tc>
          <w:tcPr>
            <w:tcW w:w="3403" w:type="dxa"/>
          </w:tcPr>
          <w:p w14:paraId="0B2A3D14" w14:textId="3DA5B59C" w:rsidR="00F26821" w:rsidRPr="005A22ED" w:rsidRDefault="00F26821" w:rsidP="006C2720">
            <w:pPr>
              <w:spacing w:after="120"/>
              <w:rPr>
                <w:rFonts w:ascii="Times New Roman" w:eastAsia="Calibri" w:hAnsi="Times New Roman" w:cs="Times New Roman"/>
              </w:rPr>
            </w:pPr>
            <w:r w:rsidRPr="005A22ED">
              <w:rPr>
                <w:rFonts w:ascii="Times New Roman" w:eastAsia="Calibri" w:hAnsi="Times New Roman" w:cs="Times New Roman"/>
              </w:rPr>
              <w:t>Noteikumu projekta</w:t>
            </w:r>
            <w:r w:rsidR="00A1769D">
              <w:rPr>
                <w:rFonts w:ascii="Times New Roman" w:eastAsia="Calibri" w:hAnsi="Times New Roman" w:cs="Times New Roman"/>
              </w:rPr>
              <w:t xml:space="preserve"> </w:t>
            </w:r>
            <w:r>
              <w:rPr>
                <w:rFonts w:ascii="Times New Roman" w:eastAsia="Calibri" w:hAnsi="Times New Roman" w:cs="Times New Roman"/>
              </w:rPr>
              <w:t>1</w:t>
            </w:r>
            <w:r w:rsidR="003D4C96">
              <w:rPr>
                <w:rFonts w:ascii="Times New Roman" w:eastAsia="Calibri" w:hAnsi="Times New Roman" w:cs="Times New Roman"/>
              </w:rPr>
              <w:t>7</w:t>
            </w:r>
            <w:r>
              <w:rPr>
                <w:rFonts w:ascii="Times New Roman" w:eastAsia="Calibri" w:hAnsi="Times New Roman" w:cs="Times New Roman"/>
              </w:rPr>
              <w:t>.</w:t>
            </w:r>
            <w:r w:rsidR="008A4147">
              <w:rPr>
                <w:rFonts w:ascii="Times New Roman" w:eastAsia="Calibri" w:hAnsi="Times New Roman" w:cs="Times New Roman"/>
              </w:rPr>
              <w:t xml:space="preserve"> un</w:t>
            </w:r>
            <w:r>
              <w:rPr>
                <w:rFonts w:ascii="Times New Roman" w:eastAsia="Calibri" w:hAnsi="Times New Roman" w:cs="Times New Roman"/>
              </w:rPr>
              <w:t xml:space="preserve"> 10</w:t>
            </w:r>
            <w:r w:rsidR="003D4C96">
              <w:rPr>
                <w:rFonts w:ascii="Times New Roman" w:eastAsia="Calibri" w:hAnsi="Times New Roman" w:cs="Times New Roman"/>
              </w:rPr>
              <w:t>8</w:t>
            </w:r>
            <w:r>
              <w:rPr>
                <w:rFonts w:ascii="Times New Roman" w:eastAsia="Calibri" w:hAnsi="Times New Roman" w:cs="Times New Roman"/>
              </w:rPr>
              <w:t>.</w:t>
            </w:r>
            <w:r w:rsidR="004C77D2">
              <w:rPr>
                <w:rFonts w:ascii="Times New Roman" w:eastAsia="Calibri" w:hAnsi="Times New Roman" w:cs="Times New Roman"/>
              </w:rPr>
              <w:t> </w:t>
            </w:r>
            <w:r>
              <w:rPr>
                <w:rFonts w:ascii="Times New Roman" w:eastAsia="Calibri" w:hAnsi="Times New Roman" w:cs="Times New Roman"/>
              </w:rPr>
              <w:t>punkts un 6</w:t>
            </w:r>
            <w:r w:rsidR="003D4C96">
              <w:rPr>
                <w:rFonts w:ascii="Times New Roman" w:eastAsia="Calibri" w:hAnsi="Times New Roman" w:cs="Times New Roman"/>
              </w:rPr>
              <w:t>7</w:t>
            </w:r>
            <w:r>
              <w:rPr>
                <w:rFonts w:ascii="Times New Roman" w:eastAsia="Calibri" w:hAnsi="Times New Roman" w:cs="Times New Roman"/>
              </w:rPr>
              <w:t>.</w:t>
            </w:r>
            <w:r w:rsidR="00A1769D">
              <w:rPr>
                <w:rFonts w:ascii="Times New Roman" w:eastAsia="Calibri" w:hAnsi="Times New Roman" w:cs="Times New Roman"/>
              </w:rPr>
              <w:t>3</w:t>
            </w:r>
            <w:r>
              <w:rPr>
                <w:rFonts w:ascii="Times New Roman" w:eastAsia="Calibri" w:hAnsi="Times New Roman" w:cs="Times New Roman"/>
              </w:rPr>
              <w:t>.</w:t>
            </w:r>
            <w:r w:rsidR="004C77D2">
              <w:rPr>
                <w:rFonts w:ascii="Times New Roman" w:eastAsia="Calibri" w:hAnsi="Times New Roman" w:cs="Times New Roman"/>
              </w:rPr>
              <w:t> </w:t>
            </w:r>
            <w:r>
              <w:rPr>
                <w:rFonts w:ascii="Times New Roman" w:eastAsia="Calibri" w:hAnsi="Times New Roman" w:cs="Times New Roman"/>
              </w:rPr>
              <w:t>apakšpunkts</w:t>
            </w:r>
          </w:p>
        </w:tc>
        <w:tc>
          <w:tcPr>
            <w:tcW w:w="2122" w:type="dxa"/>
          </w:tcPr>
          <w:p w14:paraId="6E75D658" w14:textId="1ADD7CF2" w:rsidR="00F26821" w:rsidRPr="005A22ED" w:rsidRDefault="00F26821" w:rsidP="006C2720">
            <w:pPr>
              <w:spacing w:after="120"/>
              <w:rPr>
                <w:rFonts w:ascii="Times New Roman" w:eastAsia="Calibri" w:hAnsi="Times New Roman" w:cs="Times New Roman"/>
              </w:rPr>
            </w:pPr>
            <w:r w:rsidRPr="003623CE">
              <w:rPr>
                <w:rFonts w:ascii="Times New Roman" w:eastAsia="Calibri" w:hAnsi="Times New Roman" w:cs="Times New Roman"/>
              </w:rPr>
              <w:t>Izpilda pilnībā</w:t>
            </w:r>
          </w:p>
        </w:tc>
        <w:tc>
          <w:tcPr>
            <w:tcW w:w="2228" w:type="dxa"/>
          </w:tcPr>
          <w:p w14:paraId="39ACE302" w14:textId="3E0F11DA" w:rsidR="00F26821" w:rsidRPr="005A22ED" w:rsidRDefault="00F26821" w:rsidP="006C2720">
            <w:pPr>
              <w:spacing w:after="120"/>
              <w:rPr>
                <w:rFonts w:ascii="Times New Roman" w:eastAsia="Calibri" w:hAnsi="Times New Roman" w:cs="Times New Roman"/>
              </w:rPr>
            </w:pPr>
            <w:r w:rsidRPr="003623CE">
              <w:rPr>
                <w:rFonts w:ascii="Times New Roman" w:eastAsia="Calibri" w:hAnsi="Times New Roman" w:cs="Times New Roman"/>
              </w:rPr>
              <w:t>Nē</w:t>
            </w:r>
          </w:p>
        </w:tc>
        <w:tc>
          <w:tcPr>
            <w:tcW w:w="2011" w:type="dxa"/>
          </w:tcPr>
          <w:p w14:paraId="388D9314" w14:textId="632CAC0A" w:rsidR="00F26821" w:rsidRPr="005A22ED" w:rsidRDefault="00F26821" w:rsidP="006C2720">
            <w:pPr>
              <w:spacing w:after="120"/>
              <w:rPr>
                <w:rFonts w:ascii="Times New Roman" w:eastAsia="Calibri" w:hAnsi="Times New Roman" w:cs="Times New Roman"/>
              </w:rPr>
            </w:pPr>
            <w:r w:rsidRPr="003623CE">
              <w:rPr>
                <w:rFonts w:ascii="Times New Roman" w:eastAsia="Calibri" w:hAnsi="Times New Roman" w:cs="Times New Roman"/>
              </w:rPr>
              <w:t>Jā</w:t>
            </w:r>
          </w:p>
        </w:tc>
        <w:tc>
          <w:tcPr>
            <w:tcW w:w="2157" w:type="dxa"/>
            <w:vMerge/>
          </w:tcPr>
          <w:p w14:paraId="2A502774" w14:textId="277D9BED" w:rsidR="00F26821" w:rsidRPr="003623CE" w:rsidRDefault="00F26821" w:rsidP="006C2720">
            <w:pPr>
              <w:spacing w:after="120"/>
              <w:rPr>
                <w:rFonts w:ascii="Times New Roman" w:eastAsia="Calibri" w:hAnsi="Times New Roman" w:cs="Times New Roman"/>
              </w:rPr>
            </w:pPr>
          </w:p>
        </w:tc>
      </w:tr>
      <w:tr w:rsidR="00F26821" w:rsidRPr="005A22ED" w14:paraId="4B079870" w14:textId="77777777" w:rsidTr="00127DA3">
        <w:tc>
          <w:tcPr>
            <w:tcW w:w="2850" w:type="dxa"/>
          </w:tcPr>
          <w:p w14:paraId="15347408" w14:textId="14BC2AD0" w:rsidR="00F26821" w:rsidRPr="005A22ED" w:rsidRDefault="00F26821" w:rsidP="006C2720">
            <w:pPr>
              <w:spacing w:after="120"/>
              <w:rPr>
                <w:rFonts w:ascii="Times New Roman" w:eastAsia="Calibri" w:hAnsi="Times New Roman" w:cs="Times New Roman"/>
                <w:bCs/>
              </w:rPr>
            </w:pPr>
            <w:r w:rsidRPr="00855C6F">
              <w:rPr>
                <w:rFonts w:ascii="Times New Roman" w:eastAsia="Calibri" w:hAnsi="Times New Roman" w:cs="Times New Roman"/>
                <w:bCs/>
              </w:rPr>
              <w:t>Direktīvas</w:t>
            </w:r>
            <w:r w:rsidR="008A4147">
              <w:rPr>
                <w:rFonts w:ascii="Times New Roman" w:eastAsia="Calibri" w:hAnsi="Times New Roman" w:cs="Times New Roman"/>
                <w:bCs/>
              </w:rPr>
              <w:t> </w:t>
            </w:r>
            <w:r w:rsidRPr="00855C6F">
              <w:rPr>
                <w:rFonts w:ascii="Times New Roman" w:eastAsia="Calibri" w:hAnsi="Times New Roman" w:cs="Times New Roman"/>
                <w:bCs/>
              </w:rPr>
              <w:t>2019/2034/ES 28.</w:t>
            </w:r>
            <w:r>
              <w:rPr>
                <w:rFonts w:ascii="Times New Roman" w:eastAsia="Calibri" w:hAnsi="Times New Roman" w:cs="Times New Roman"/>
                <w:bCs/>
              </w:rPr>
              <w:t> </w:t>
            </w:r>
            <w:r w:rsidRPr="00855C6F">
              <w:rPr>
                <w:rFonts w:ascii="Times New Roman" w:eastAsia="Calibri" w:hAnsi="Times New Roman" w:cs="Times New Roman"/>
                <w:bCs/>
              </w:rPr>
              <w:t xml:space="preserve">panta </w:t>
            </w:r>
            <w:r>
              <w:rPr>
                <w:rFonts w:ascii="Times New Roman" w:eastAsia="Calibri" w:hAnsi="Times New Roman" w:cs="Times New Roman"/>
                <w:bCs/>
              </w:rPr>
              <w:t>4</w:t>
            </w:r>
            <w:r w:rsidRPr="00855C6F">
              <w:rPr>
                <w:rFonts w:ascii="Times New Roman" w:eastAsia="Calibri" w:hAnsi="Times New Roman" w:cs="Times New Roman"/>
                <w:bCs/>
              </w:rPr>
              <w:t>.</w:t>
            </w:r>
            <w:r w:rsidR="00463813">
              <w:rPr>
                <w:rFonts w:ascii="Times New Roman" w:eastAsia="Calibri" w:hAnsi="Times New Roman" w:cs="Times New Roman"/>
                <w:bCs/>
              </w:rPr>
              <w:t> </w:t>
            </w:r>
            <w:r w:rsidRPr="00855C6F">
              <w:rPr>
                <w:rFonts w:ascii="Times New Roman" w:eastAsia="Calibri" w:hAnsi="Times New Roman" w:cs="Times New Roman"/>
                <w:bCs/>
              </w:rPr>
              <w:t>punkts</w:t>
            </w:r>
          </w:p>
        </w:tc>
        <w:tc>
          <w:tcPr>
            <w:tcW w:w="3403" w:type="dxa"/>
          </w:tcPr>
          <w:p w14:paraId="185405D0" w14:textId="72368497" w:rsidR="00F26821" w:rsidRPr="005A22ED" w:rsidRDefault="00F26821" w:rsidP="006C2720">
            <w:pPr>
              <w:spacing w:after="120"/>
              <w:rPr>
                <w:rFonts w:ascii="Times New Roman" w:eastAsia="Calibri" w:hAnsi="Times New Roman" w:cs="Times New Roman"/>
              </w:rPr>
            </w:pPr>
            <w:r w:rsidRPr="00855C6F">
              <w:rPr>
                <w:rFonts w:ascii="Times New Roman" w:eastAsia="Calibri" w:hAnsi="Times New Roman" w:cs="Times New Roman"/>
              </w:rPr>
              <w:t xml:space="preserve">Noteikumu projekta </w:t>
            </w:r>
            <w:r>
              <w:rPr>
                <w:rFonts w:ascii="Times New Roman" w:eastAsia="Calibri" w:hAnsi="Times New Roman" w:cs="Times New Roman"/>
              </w:rPr>
              <w:t>7</w:t>
            </w:r>
            <w:r w:rsidR="003D4C96">
              <w:rPr>
                <w:rFonts w:ascii="Times New Roman" w:eastAsia="Calibri" w:hAnsi="Times New Roman" w:cs="Times New Roman"/>
              </w:rPr>
              <w:t>3</w:t>
            </w:r>
            <w:r>
              <w:rPr>
                <w:rFonts w:ascii="Times New Roman" w:eastAsia="Calibri" w:hAnsi="Times New Roman" w:cs="Times New Roman"/>
              </w:rPr>
              <w:t>.</w:t>
            </w:r>
            <w:r w:rsidR="004C77D2">
              <w:rPr>
                <w:rFonts w:ascii="Times New Roman" w:eastAsia="Calibri" w:hAnsi="Times New Roman" w:cs="Times New Roman"/>
              </w:rPr>
              <w:t> </w:t>
            </w:r>
            <w:r>
              <w:rPr>
                <w:rFonts w:ascii="Times New Roman" w:eastAsia="Calibri" w:hAnsi="Times New Roman" w:cs="Times New Roman"/>
              </w:rPr>
              <w:t>punkts, 1</w:t>
            </w:r>
            <w:r w:rsidR="003D4C96">
              <w:rPr>
                <w:rFonts w:ascii="Times New Roman" w:eastAsia="Calibri" w:hAnsi="Times New Roman" w:cs="Times New Roman"/>
              </w:rPr>
              <w:t>0</w:t>
            </w:r>
            <w:r>
              <w:rPr>
                <w:rFonts w:ascii="Times New Roman" w:eastAsia="Calibri" w:hAnsi="Times New Roman" w:cs="Times New Roman"/>
              </w:rPr>
              <w:t>.1. apakš</w:t>
            </w:r>
            <w:r w:rsidRPr="00855C6F">
              <w:rPr>
                <w:rFonts w:ascii="Times New Roman" w:eastAsia="Calibri" w:hAnsi="Times New Roman" w:cs="Times New Roman"/>
              </w:rPr>
              <w:t>nodaļa</w:t>
            </w:r>
            <w:r>
              <w:rPr>
                <w:rFonts w:ascii="Times New Roman" w:eastAsia="Calibri" w:hAnsi="Times New Roman" w:cs="Times New Roman"/>
              </w:rPr>
              <w:t xml:space="preserve"> un 9</w:t>
            </w:r>
            <w:r w:rsidR="003D4C96">
              <w:rPr>
                <w:rFonts w:ascii="Times New Roman" w:eastAsia="Calibri" w:hAnsi="Times New Roman" w:cs="Times New Roman"/>
              </w:rPr>
              <w:t>4</w:t>
            </w:r>
            <w:r>
              <w:rPr>
                <w:rFonts w:ascii="Times New Roman" w:eastAsia="Calibri" w:hAnsi="Times New Roman" w:cs="Times New Roman"/>
              </w:rPr>
              <w:t xml:space="preserve">.4. apakšpunkts </w:t>
            </w:r>
          </w:p>
        </w:tc>
        <w:tc>
          <w:tcPr>
            <w:tcW w:w="2122" w:type="dxa"/>
          </w:tcPr>
          <w:p w14:paraId="6A6FCB29" w14:textId="68AD7566" w:rsidR="00F26821" w:rsidRPr="005A22ED" w:rsidRDefault="00F26821" w:rsidP="006C2720">
            <w:pPr>
              <w:spacing w:after="120"/>
              <w:rPr>
                <w:rFonts w:ascii="Times New Roman" w:eastAsia="Calibri" w:hAnsi="Times New Roman" w:cs="Times New Roman"/>
              </w:rPr>
            </w:pPr>
            <w:r w:rsidRPr="002A1F1B">
              <w:rPr>
                <w:rFonts w:ascii="Times New Roman" w:hAnsi="Times New Roman" w:cs="Times New Roman"/>
              </w:rPr>
              <w:t>Izpilda pilnībā</w:t>
            </w:r>
          </w:p>
        </w:tc>
        <w:tc>
          <w:tcPr>
            <w:tcW w:w="2228" w:type="dxa"/>
          </w:tcPr>
          <w:p w14:paraId="5DD1D27D" w14:textId="617DBE31" w:rsidR="00F26821" w:rsidRPr="005A22ED" w:rsidRDefault="00F26821" w:rsidP="006C2720">
            <w:pPr>
              <w:spacing w:after="120"/>
              <w:rPr>
                <w:rFonts w:ascii="Times New Roman" w:eastAsia="Calibri" w:hAnsi="Times New Roman" w:cs="Times New Roman"/>
              </w:rPr>
            </w:pPr>
            <w:r w:rsidRPr="002A1F1B">
              <w:rPr>
                <w:rFonts w:ascii="Times New Roman" w:hAnsi="Times New Roman" w:cs="Times New Roman"/>
              </w:rPr>
              <w:t>Nē</w:t>
            </w:r>
          </w:p>
        </w:tc>
        <w:tc>
          <w:tcPr>
            <w:tcW w:w="2011" w:type="dxa"/>
          </w:tcPr>
          <w:p w14:paraId="5584E325" w14:textId="2FF64C79" w:rsidR="00F26821" w:rsidRPr="005A22ED" w:rsidRDefault="00F26821" w:rsidP="006C2720">
            <w:pPr>
              <w:spacing w:after="120"/>
              <w:rPr>
                <w:rFonts w:ascii="Times New Roman" w:eastAsia="Calibri" w:hAnsi="Times New Roman" w:cs="Times New Roman"/>
              </w:rPr>
            </w:pPr>
            <w:r w:rsidRPr="002A1F1B">
              <w:rPr>
                <w:rFonts w:ascii="Times New Roman" w:hAnsi="Times New Roman" w:cs="Times New Roman"/>
              </w:rPr>
              <w:t>Jā</w:t>
            </w:r>
          </w:p>
        </w:tc>
        <w:tc>
          <w:tcPr>
            <w:tcW w:w="2157" w:type="dxa"/>
            <w:vMerge/>
          </w:tcPr>
          <w:p w14:paraId="660AE532" w14:textId="34F03B20" w:rsidR="00F26821" w:rsidRPr="003623CE" w:rsidRDefault="00F26821" w:rsidP="006C2720">
            <w:pPr>
              <w:spacing w:after="120"/>
              <w:rPr>
                <w:rFonts w:ascii="Times New Roman" w:eastAsia="Calibri" w:hAnsi="Times New Roman" w:cs="Times New Roman"/>
              </w:rPr>
            </w:pPr>
          </w:p>
        </w:tc>
      </w:tr>
      <w:tr w:rsidR="00A1769D" w:rsidRPr="005A22ED" w14:paraId="0CD5CBFA" w14:textId="77777777" w:rsidTr="00127DA3">
        <w:tc>
          <w:tcPr>
            <w:tcW w:w="2850" w:type="dxa"/>
          </w:tcPr>
          <w:p w14:paraId="099530E0" w14:textId="088EEF03" w:rsidR="00A1769D" w:rsidRPr="005A22ED" w:rsidRDefault="00A1769D" w:rsidP="006C2720">
            <w:pPr>
              <w:spacing w:after="120"/>
              <w:rPr>
                <w:rFonts w:ascii="Times New Roman" w:eastAsia="Calibri" w:hAnsi="Times New Roman" w:cs="Times New Roman"/>
                <w:bCs/>
              </w:rPr>
            </w:pPr>
            <w:r w:rsidRPr="009D552D">
              <w:rPr>
                <w:rFonts w:ascii="Times New Roman" w:eastAsia="Calibri" w:hAnsi="Times New Roman" w:cs="Times New Roman"/>
                <w:bCs/>
              </w:rPr>
              <w:t>Direktīvas</w:t>
            </w:r>
            <w:r w:rsidR="008A4147">
              <w:rPr>
                <w:rFonts w:ascii="Times New Roman" w:eastAsia="Calibri" w:hAnsi="Times New Roman" w:cs="Times New Roman"/>
                <w:bCs/>
              </w:rPr>
              <w:t> </w:t>
            </w:r>
            <w:r w:rsidRPr="009D552D">
              <w:rPr>
                <w:rFonts w:ascii="Times New Roman" w:eastAsia="Calibri" w:hAnsi="Times New Roman" w:cs="Times New Roman"/>
                <w:bCs/>
              </w:rPr>
              <w:t>2019/2034/ES 28.</w:t>
            </w:r>
            <w:r>
              <w:rPr>
                <w:rFonts w:ascii="Times New Roman" w:eastAsia="Calibri" w:hAnsi="Times New Roman" w:cs="Times New Roman"/>
                <w:bCs/>
              </w:rPr>
              <w:t> </w:t>
            </w:r>
            <w:r w:rsidRPr="009D552D">
              <w:rPr>
                <w:rFonts w:ascii="Times New Roman" w:eastAsia="Calibri" w:hAnsi="Times New Roman" w:cs="Times New Roman"/>
                <w:bCs/>
              </w:rPr>
              <w:t xml:space="preserve">panta </w:t>
            </w:r>
            <w:r>
              <w:rPr>
                <w:rFonts w:ascii="Times New Roman" w:eastAsia="Calibri" w:hAnsi="Times New Roman" w:cs="Times New Roman"/>
                <w:bCs/>
              </w:rPr>
              <w:t>5</w:t>
            </w:r>
            <w:r w:rsidRPr="009D552D">
              <w:rPr>
                <w:rFonts w:ascii="Times New Roman" w:eastAsia="Calibri" w:hAnsi="Times New Roman" w:cs="Times New Roman"/>
                <w:bCs/>
              </w:rPr>
              <w:t>.</w:t>
            </w:r>
            <w:r>
              <w:rPr>
                <w:rFonts w:ascii="Times New Roman" w:eastAsia="Calibri" w:hAnsi="Times New Roman" w:cs="Times New Roman"/>
                <w:bCs/>
              </w:rPr>
              <w:t> </w:t>
            </w:r>
            <w:r w:rsidRPr="009D552D">
              <w:rPr>
                <w:rFonts w:ascii="Times New Roman" w:eastAsia="Calibri" w:hAnsi="Times New Roman" w:cs="Times New Roman"/>
                <w:bCs/>
              </w:rPr>
              <w:t>punkts</w:t>
            </w:r>
          </w:p>
        </w:tc>
        <w:tc>
          <w:tcPr>
            <w:tcW w:w="3403" w:type="dxa"/>
          </w:tcPr>
          <w:p w14:paraId="3B80BD8B" w14:textId="7C788855" w:rsidR="00A1769D" w:rsidRPr="005A22ED" w:rsidRDefault="00A1769D" w:rsidP="006C2720">
            <w:pPr>
              <w:spacing w:after="120"/>
              <w:rPr>
                <w:rFonts w:ascii="Times New Roman" w:eastAsia="Calibri" w:hAnsi="Times New Roman" w:cs="Times New Roman"/>
              </w:rPr>
            </w:pPr>
            <w:r w:rsidRPr="009D552D">
              <w:rPr>
                <w:rFonts w:ascii="Times New Roman" w:eastAsia="Calibri" w:hAnsi="Times New Roman" w:cs="Times New Roman"/>
              </w:rPr>
              <w:t xml:space="preserve">Noteikumu projekta </w:t>
            </w:r>
            <w:r>
              <w:rPr>
                <w:rFonts w:ascii="Times New Roman" w:eastAsia="Calibri" w:hAnsi="Times New Roman" w:cs="Times New Roman"/>
              </w:rPr>
              <w:t>7</w:t>
            </w:r>
            <w:r w:rsidR="003D4C96">
              <w:rPr>
                <w:rFonts w:ascii="Times New Roman" w:eastAsia="Calibri" w:hAnsi="Times New Roman" w:cs="Times New Roman"/>
              </w:rPr>
              <w:t>8</w:t>
            </w:r>
            <w:r>
              <w:rPr>
                <w:rFonts w:ascii="Times New Roman" w:eastAsia="Calibri" w:hAnsi="Times New Roman" w:cs="Times New Roman"/>
              </w:rPr>
              <w:t>. </w:t>
            </w:r>
            <w:r w:rsidRPr="009D552D">
              <w:rPr>
                <w:rFonts w:ascii="Times New Roman" w:eastAsia="Calibri" w:hAnsi="Times New Roman" w:cs="Times New Roman"/>
              </w:rPr>
              <w:t>punkts</w:t>
            </w:r>
          </w:p>
        </w:tc>
        <w:tc>
          <w:tcPr>
            <w:tcW w:w="2122" w:type="dxa"/>
          </w:tcPr>
          <w:p w14:paraId="54F451DD" w14:textId="22CF0CF7" w:rsidR="00A1769D" w:rsidRPr="005A22ED" w:rsidRDefault="00A1769D" w:rsidP="006C2720">
            <w:pPr>
              <w:spacing w:after="120"/>
              <w:rPr>
                <w:rFonts w:ascii="Times New Roman" w:eastAsia="Calibri" w:hAnsi="Times New Roman" w:cs="Times New Roman"/>
              </w:rPr>
            </w:pPr>
            <w:r w:rsidRPr="002A1F1B">
              <w:rPr>
                <w:rFonts w:ascii="Times New Roman" w:hAnsi="Times New Roman" w:cs="Times New Roman"/>
              </w:rPr>
              <w:t>Izpilda pilnībā</w:t>
            </w:r>
          </w:p>
        </w:tc>
        <w:tc>
          <w:tcPr>
            <w:tcW w:w="2228" w:type="dxa"/>
          </w:tcPr>
          <w:p w14:paraId="3BF5795B" w14:textId="29982C3E" w:rsidR="00A1769D" w:rsidRPr="005A22ED" w:rsidRDefault="00A1769D" w:rsidP="006C2720">
            <w:pPr>
              <w:spacing w:after="120"/>
              <w:rPr>
                <w:rFonts w:ascii="Times New Roman" w:eastAsia="Calibri" w:hAnsi="Times New Roman" w:cs="Times New Roman"/>
              </w:rPr>
            </w:pPr>
            <w:r w:rsidRPr="002A1F1B">
              <w:rPr>
                <w:rFonts w:ascii="Times New Roman" w:hAnsi="Times New Roman" w:cs="Times New Roman"/>
              </w:rPr>
              <w:t>Nē</w:t>
            </w:r>
          </w:p>
        </w:tc>
        <w:tc>
          <w:tcPr>
            <w:tcW w:w="2011" w:type="dxa"/>
          </w:tcPr>
          <w:p w14:paraId="533D6B61" w14:textId="6F5A588E" w:rsidR="00A1769D" w:rsidRPr="005A22ED" w:rsidRDefault="00A1769D" w:rsidP="006C2720">
            <w:pPr>
              <w:spacing w:after="120"/>
              <w:rPr>
                <w:rFonts w:ascii="Times New Roman" w:eastAsia="Calibri" w:hAnsi="Times New Roman" w:cs="Times New Roman"/>
              </w:rPr>
            </w:pPr>
            <w:r w:rsidRPr="002A1F1B">
              <w:rPr>
                <w:rFonts w:ascii="Times New Roman" w:hAnsi="Times New Roman" w:cs="Times New Roman"/>
              </w:rPr>
              <w:t>Jā</w:t>
            </w:r>
          </w:p>
        </w:tc>
        <w:tc>
          <w:tcPr>
            <w:tcW w:w="2157" w:type="dxa"/>
            <w:vMerge/>
          </w:tcPr>
          <w:p w14:paraId="764D417A" w14:textId="51481D39" w:rsidR="00A1769D" w:rsidRPr="003623CE" w:rsidRDefault="00A1769D" w:rsidP="006C2720">
            <w:pPr>
              <w:spacing w:after="120"/>
              <w:rPr>
                <w:rFonts w:ascii="Times New Roman" w:eastAsia="Calibri" w:hAnsi="Times New Roman" w:cs="Times New Roman"/>
              </w:rPr>
            </w:pPr>
          </w:p>
        </w:tc>
      </w:tr>
      <w:tr w:rsidR="00A1769D" w:rsidRPr="005A22ED" w14:paraId="5493E5E6" w14:textId="77777777" w:rsidTr="00127DA3">
        <w:tc>
          <w:tcPr>
            <w:tcW w:w="2850" w:type="dxa"/>
          </w:tcPr>
          <w:p w14:paraId="0D5D82A6" w14:textId="7213737B" w:rsidR="00A1769D" w:rsidRPr="005A22ED" w:rsidRDefault="00A1769D" w:rsidP="006C2720">
            <w:pPr>
              <w:spacing w:after="120"/>
              <w:rPr>
                <w:rFonts w:ascii="Times New Roman" w:eastAsia="Calibri" w:hAnsi="Times New Roman" w:cs="Times New Roman"/>
                <w:bCs/>
              </w:rPr>
            </w:pPr>
            <w:r w:rsidRPr="005A22ED">
              <w:rPr>
                <w:rFonts w:ascii="Times New Roman" w:eastAsia="Calibri" w:hAnsi="Times New Roman" w:cs="Times New Roman"/>
                <w:bCs/>
              </w:rPr>
              <w:t>Direktīvas</w:t>
            </w:r>
            <w:r w:rsidR="008A4147">
              <w:rPr>
                <w:rFonts w:ascii="Times New Roman" w:eastAsia="Calibri" w:hAnsi="Times New Roman" w:cs="Times New Roman"/>
                <w:bCs/>
              </w:rPr>
              <w:t> </w:t>
            </w:r>
            <w:r w:rsidRPr="005A22ED">
              <w:rPr>
                <w:rFonts w:ascii="Times New Roman" w:eastAsia="Calibri" w:hAnsi="Times New Roman" w:cs="Times New Roman"/>
                <w:bCs/>
              </w:rPr>
              <w:t>201</w:t>
            </w:r>
            <w:r>
              <w:rPr>
                <w:rFonts w:ascii="Times New Roman" w:eastAsia="Calibri" w:hAnsi="Times New Roman" w:cs="Times New Roman"/>
                <w:bCs/>
              </w:rPr>
              <w:t>9</w:t>
            </w:r>
            <w:r w:rsidRPr="005A22ED">
              <w:rPr>
                <w:rFonts w:ascii="Times New Roman" w:eastAsia="Calibri" w:hAnsi="Times New Roman" w:cs="Times New Roman"/>
                <w:bCs/>
              </w:rPr>
              <w:t>/</w:t>
            </w:r>
            <w:r>
              <w:rPr>
                <w:rFonts w:ascii="Times New Roman" w:eastAsia="Calibri" w:hAnsi="Times New Roman" w:cs="Times New Roman"/>
                <w:bCs/>
              </w:rPr>
              <w:t>2034</w:t>
            </w:r>
            <w:r w:rsidRPr="005A22ED">
              <w:rPr>
                <w:rFonts w:ascii="Times New Roman" w:eastAsia="Calibri" w:hAnsi="Times New Roman" w:cs="Times New Roman"/>
                <w:bCs/>
              </w:rPr>
              <w:t>/ES</w:t>
            </w:r>
            <w:r w:rsidRPr="005A22ED">
              <w:rPr>
                <w:rFonts w:ascii="Times New Roman" w:eastAsia="Calibri" w:hAnsi="Times New Roman" w:cs="Times New Roman"/>
              </w:rPr>
              <w:t xml:space="preserve"> </w:t>
            </w:r>
            <w:r>
              <w:rPr>
                <w:rFonts w:ascii="Times New Roman" w:eastAsia="Calibri" w:hAnsi="Times New Roman" w:cs="Times New Roman"/>
              </w:rPr>
              <w:t>33</w:t>
            </w:r>
            <w:r w:rsidRPr="005A22ED">
              <w:rPr>
                <w:rFonts w:ascii="Times New Roman" w:eastAsia="Calibri" w:hAnsi="Times New Roman" w:cs="Times New Roman"/>
              </w:rPr>
              <w:t>. pant</w:t>
            </w:r>
            <w:r>
              <w:rPr>
                <w:rFonts w:ascii="Times New Roman" w:eastAsia="Calibri" w:hAnsi="Times New Roman" w:cs="Times New Roman"/>
              </w:rPr>
              <w:t>s</w:t>
            </w:r>
          </w:p>
        </w:tc>
        <w:tc>
          <w:tcPr>
            <w:tcW w:w="3403" w:type="dxa"/>
          </w:tcPr>
          <w:p w14:paraId="5769CC81" w14:textId="6F37DA56" w:rsidR="00A1769D" w:rsidRPr="005A22ED" w:rsidRDefault="00A1769D" w:rsidP="006C2720">
            <w:pPr>
              <w:spacing w:after="120"/>
              <w:rPr>
                <w:rFonts w:ascii="Times New Roman" w:eastAsia="Calibri" w:hAnsi="Times New Roman" w:cs="Times New Roman"/>
              </w:rPr>
            </w:pPr>
            <w:r w:rsidRPr="005A22ED">
              <w:rPr>
                <w:rFonts w:ascii="Times New Roman" w:eastAsia="Calibri" w:hAnsi="Times New Roman" w:cs="Times New Roman"/>
              </w:rPr>
              <w:t xml:space="preserve">Noteikumu projekta </w:t>
            </w:r>
            <w:r>
              <w:rPr>
                <w:rFonts w:ascii="Times New Roman" w:eastAsia="Calibri" w:hAnsi="Times New Roman" w:cs="Times New Roman"/>
              </w:rPr>
              <w:t>7</w:t>
            </w:r>
            <w:r w:rsidR="003D4C96">
              <w:rPr>
                <w:rFonts w:ascii="Times New Roman" w:eastAsia="Calibri" w:hAnsi="Times New Roman" w:cs="Times New Roman"/>
              </w:rPr>
              <w:t>3</w:t>
            </w:r>
            <w:r>
              <w:rPr>
                <w:rFonts w:ascii="Times New Roman" w:eastAsia="Calibri" w:hAnsi="Times New Roman" w:cs="Times New Roman"/>
              </w:rPr>
              <w:t>. punkts un 1</w:t>
            </w:r>
            <w:r w:rsidR="003D4C96">
              <w:rPr>
                <w:rFonts w:ascii="Times New Roman" w:eastAsia="Calibri" w:hAnsi="Times New Roman" w:cs="Times New Roman"/>
              </w:rPr>
              <w:t>0</w:t>
            </w:r>
            <w:r>
              <w:rPr>
                <w:rFonts w:ascii="Times New Roman" w:eastAsia="Calibri" w:hAnsi="Times New Roman" w:cs="Times New Roman"/>
              </w:rPr>
              <w:t>.2. apakšnodaļa</w:t>
            </w:r>
          </w:p>
        </w:tc>
        <w:tc>
          <w:tcPr>
            <w:tcW w:w="2122" w:type="dxa"/>
          </w:tcPr>
          <w:p w14:paraId="10D76588" w14:textId="77CAC784" w:rsidR="00A1769D" w:rsidRPr="005A22ED" w:rsidRDefault="00A1769D" w:rsidP="006C2720">
            <w:pPr>
              <w:spacing w:after="120"/>
              <w:rPr>
                <w:rFonts w:ascii="Times New Roman" w:eastAsia="Calibri" w:hAnsi="Times New Roman" w:cs="Times New Roman"/>
              </w:rPr>
            </w:pPr>
            <w:r w:rsidRPr="005A22ED">
              <w:rPr>
                <w:rFonts w:ascii="Times New Roman" w:eastAsia="Calibri" w:hAnsi="Times New Roman" w:cs="Times New Roman"/>
              </w:rPr>
              <w:t>Izpilda pilnībā</w:t>
            </w:r>
          </w:p>
        </w:tc>
        <w:tc>
          <w:tcPr>
            <w:tcW w:w="2228" w:type="dxa"/>
          </w:tcPr>
          <w:p w14:paraId="325EBEC4" w14:textId="39550DFC" w:rsidR="00A1769D" w:rsidRPr="005A22ED" w:rsidRDefault="00A1769D" w:rsidP="006C2720">
            <w:pPr>
              <w:spacing w:after="120"/>
              <w:rPr>
                <w:rFonts w:ascii="Times New Roman" w:eastAsia="Calibri" w:hAnsi="Times New Roman" w:cs="Times New Roman"/>
              </w:rPr>
            </w:pPr>
            <w:r w:rsidRPr="005A22ED">
              <w:rPr>
                <w:rFonts w:ascii="Times New Roman" w:eastAsia="Calibri" w:hAnsi="Times New Roman" w:cs="Times New Roman"/>
              </w:rPr>
              <w:t>Nē</w:t>
            </w:r>
          </w:p>
        </w:tc>
        <w:tc>
          <w:tcPr>
            <w:tcW w:w="2011" w:type="dxa"/>
          </w:tcPr>
          <w:p w14:paraId="77C92D0E" w14:textId="0F066048" w:rsidR="00A1769D" w:rsidRPr="005A22ED" w:rsidRDefault="00A1769D" w:rsidP="006C2720">
            <w:pPr>
              <w:spacing w:after="120"/>
              <w:rPr>
                <w:rFonts w:ascii="Times New Roman" w:eastAsia="Calibri" w:hAnsi="Times New Roman" w:cs="Times New Roman"/>
              </w:rPr>
            </w:pPr>
            <w:r w:rsidRPr="005A22ED">
              <w:rPr>
                <w:rFonts w:ascii="Times New Roman" w:eastAsia="Calibri" w:hAnsi="Times New Roman" w:cs="Times New Roman"/>
              </w:rPr>
              <w:t>Jā</w:t>
            </w:r>
          </w:p>
        </w:tc>
        <w:tc>
          <w:tcPr>
            <w:tcW w:w="2157" w:type="dxa"/>
            <w:vMerge/>
          </w:tcPr>
          <w:p w14:paraId="7BD279B4" w14:textId="77777777" w:rsidR="00A1769D" w:rsidRPr="005A22ED" w:rsidRDefault="00A1769D" w:rsidP="006C2720">
            <w:pPr>
              <w:spacing w:after="120"/>
              <w:rPr>
                <w:rFonts w:ascii="Times New Roman" w:eastAsia="Calibri" w:hAnsi="Times New Roman" w:cs="Times New Roman"/>
              </w:rPr>
            </w:pPr>
          </w:p>
        </w:tc>
      </w:tr>
    </w:tbl>
    <w:p w14:paraId="3AE230D3" w14:textId="77777777" w:rsidR="009B27BE" w:rsidRDefault="009B27BE" w:rsidP="00025C42">
      <w:pPr>
        <w:spacing w:after="120" w:line="240" w:lineRule="auto"/>
        <w:rPr>
          <w:rFonts w:ascii="Times New Roman" w:hAnsi="Times New Roman" w:cs="Times New Roman"/>
          <w:sz w:val="24"/>
          <w:szCs w:val="24"/>
        </w:rPr>
      </w:pPr>
    </w:p>
    <w:p w14:paraId="06195D01" w14:textId="77777777" w:rsidR="00C56232" w:rsidRDefault="00C56232" w:rsidP="00025C42">
      <w:pPr>
        <w:spacing w:after="120" w:line="240" w:lineRule="auto"/>
        <w:rPr>
          <w:rFonts w:ascii="Times New Roman" w:hAnsi="Times New Roman" w:cs="Times New Roman"/>
          <w:sz w:val="24"/>
          <w:szCs w:val="24"/>
        </w:rPr>
      </w:pPr>
    </w:p>
    <w:p w14:paraId="3B761CBD" w14:textId="77777777" w:rsidR="00C56232" w:rsidRDefault="00C56232" w:rsidP="00025C42">
      <w:pPr>
        <w:spacing w:after="120" w:line="240" w:lineRule="auto"/>
        <w:rPr>
          <w:rFonts w:ascii="Times New Roman" w:hAnsi="Times New Roman" w:cs="Times New Roman"/>
          <w:sz w:val="24"/>
          <w:szCs w:val="24"/>
        </w:rPr>
      </w:pPr>
    </w:p>
    <w:p w14:paraId="5A69EAAA" w14:textId="77777777" w:rsidR="00C56232" w:rsidRDefault="00C56232" w:rsidP="00025C42">
      <w:pPr>
        <w:spacing w:after="120" w:line="240" w:lineRule="auto"/>
        <w:rPr>
          <w:rFonts w:ascii="Times New Roman" w:hAnsi="Times New Roman" w:cs="Times New Roman"/>
          <w:sz w:val="24"/>
          <w:szCs w:val="24"/>
        </w:rPr>
      </w:pPr>
    </w:p>
    <w:p w14:paraId="6F4F291A" w14:textId="77777777" w:rsidR="00C56232" w:rsidRDefault="00C56232" w:rsidP="00025C42">
      <w:pPr>
        <w:spacing w:after="120" w:line="240" w:lineRule="auto"/>
        <w:rPr>
          <w:rFonts w:ascii="Times New Roman" w:hAnsi="Times New Roman" w:cs="Times New Roman"/>
          <w:sz w:val="24"/>
          <w:szCs w:val="24"/>
        </w:rPr>
      </w:pPr>
    </w:p>
    <w:p w14:paraId="5E5183E2" w14:textId="77777777" w:rsidR="00C56232" w:rsidRDefault="00C56232" w:rsidP="00025C42">
      <w:pPr>
        <w:spacing w:after="120" w:line="240" w:lineRule="auto"/>
        <w:rPr>
          <w:rFonts w:ascii="Times New Roman" w:hAnsi="Times New Roman" w:cs="Times New Roman"/>
          <w:sz w:val="24"/>
          <w:szCs w:val="24"/>
        </w:rPr>
      </w:pPr>
    </w:p>
    <w:p w14:paraId="5D3B90A3" w14:textId="77777777" w:rsidR="00844CD7" w:rsidRDefault="00844CD7" w:rsidP="0056522A">
      <w:pPr>
        <w:spacing w:after="0"/>
        <w:jc w:val="right"/>
        <w:rPr>
          <w:rFonts w:ascii="Times New Roman" w:eastAsia="Calibri" w:hAnsi="Times New Roman" w:cs="Times New Roman"/>
          <w:sz w:val="24"/>
          <w:szCs w:val="24"/>
          <w14:ligatures w14:val="standardContextual"/>
        </w:rPr>
      </w:pPr>
      <w:r>
        <w:rPr>
          <w:rFonts w:ascii="Times New Roman" w:eastAsia="Calibri" w:hAnsi="Times New Roman" w:cs="Times New Roman"/>
          <w:sz w:val="24"/>
          <w:szCs w:val="24"/>
          <w14:ligatures w14:val="standardContextual"/>
        </w:rPr>
        <w:br w:type="page"/>
      </w:r>
    </w:p>
    <w:p w14:paraId="0C95C3CE" w14:textId="6813DE14" w:rsidR="0056522A" w:rsidRPr="0056522A" w:rsidRDefault="00D14223" w:rsidP="0056522A">
      <w:pPr>
        <w:spacing w:after="0"/>
        <w:jc w:val="right"/>
        <w:rPr>
          <w:rFonts w:ascii="Times New Roman" w:eastAsia="Calibri" w:hAnsi="Times New Roman" w:cs="Times New Roman"/>
          <w:sz w:val="24"/>
          <w:szCs w:val="24"/>
          <w14:ligatures w14:val="standardContextual"/>
        </w:rPr>
      </w:pPr>
      <w:r>
        <w:rPr>
          <w:rFonts w:ascii="Times New Roman" w:eastAsia="Calibri" w:hAnsi="Times New Roman" w:cs="Times New Roman"/>
          <w:sz w:val="24"/>
          <w:szCs w:val="24"/>
          <w14:ligatures w14:val="standardContextual"/>
        </w:rPr>
        <w:lastRenderedPageBreak/>
        <w:t>2. p</w:t>
      </w:r>
      <w:r w:rsidR="0056522A" w:rsidRPr="0056522A">
        <w:rPr>
          <w:rFonts w:ascii="Times New Roman" w:eastAsia="Calibri" w:hAnsi="Times New Roman" w:cs="Times New Roman"/>
          <w:sz w:val="24"/>
          <w:szCs w:val="24"/>
          <w14:ligatures w14:val="standardContextual"/>
        </w:rPr>
        <w:t>ielikums</w:t>
      </w:r>
    </w:p>
    <w:p w14:paraId="63733938" w14:textId="22AC60AC" w:rsidR="0056522A" w:rsidRDefault="0056522A" w:rsidP="0056522A">
      <w:pPr>
        <w:spacing w:after="0"/>
        <w:jc w:val="right"/>
        <w:rPr>
          <w:rFonts w:ascii="Times New Roman" w:eastAsia="Calibri" w:hAnsi="Times New Roman" w:cs="Times New Roman"/>
          <w:sz w:val="24"/>
          <w:szCs w:val="24"/>
          <w14:ligatures w14:val="standardContextual"/>
        </w:rPr>
      </w:pPr>
      <w:r w:rsidRPr="0056522A">
        <w:rPr>
          <w:rFonts w:ascii="Times New Roman" w:eastAsia="Calibri" w:hAnsi="Times New Roman" w:cs="Times New Roman"/>
          <w:sz w:val="24"/>
          <w:szCs w:val="24"/>
          <w14:ligatures w14:val="standardContextual"/>
        </w:rPr>
        <w:t>Latvijas Bankas noteikumu projekta</w:t>
      </w:r>
      <w:r>
        <w:rPr>
          <w:rFonts w:ascii="Times New Roman" w:eastAsia="Calibri" w:hAnsi="Times New Roman" w:cs="Times New Roman"/>
          <w:sz w:val="24"/>
          <w:szCs w:val="24"/>
          <w14:ligatures w14:val="standardContextual"/>
        </w:rPr>
        <w:t xml:space="preserve"> </w:t>
      </w:r>
      <w:r w:rsidRPr="0056522A">
        <w:rPr>
          <w:rFonts w:ascii="Times New Roman" w:eastAsia="Calibri" w:hAnsi="Times New Roman" w:cs="Times New Roman"/>
          <w:sz w:val="24"/>
          <w:szCs w:val="24"/>
          <w14:ligatures w14:val="standardContextual"/>
        </w:rPr>
        <w:t>anotācijai</w:t>
      </w:r>
    </w:p>
    <w:p w14:paraId="4BB1F485" w14:textId="77777777" w:rsidR="0056522A" w:rsidRPr="0056522A" w:rsidRDefault="0056522A" w:rsidP="0056522A">
      <w:pPr>
        <w:spacing w:after="0"/>
        <w:jc w:val="right"/>
        <w:rPr>
          <w:rFonts w:ascii="Times New Roman" w:eastAsia="Calibri" w:hAnsi="Times New Roman" w:cs="Times New Roman"/>
          <w:sz w:val="24"/>
          <w:szCs w:val="24"/>
          <w14:ligatures w14:val="standardContextual"/>
        </w:rPr>
      </w:pPr>
    </w:p>
    <w:sdt>
      <w:sdtPr>
        <w:rPr>
          <w:rFonts w:ascii="Times New Roman" w:hAnsi="Times New Roman" w:cs="Times New Roman"/>
          <w:b/>
          <w:sz w:val="24"/>
          <w:szCs w:val="24"/>
        </w:rPr>
        <w:id w:val="-1871525274"/>
        <w:placeholder>
          <w:docPart w:val="93F25621BB3C4CC991CEDEF8D68A53C0"/>
        </w:placeholder>
      </w:sdtPr>
      <w:sdtEndPr/>
      <w:sdtContent>
        <w:sdt>
          <w:sdtPr>
            <w:rPr>
              <w:rFonts w:ascii="Times New Roman" w:hAnsi="Times New Roman" w:cs="Times New Roman"/>
              <w:b/>
              <w:sz w:val="24"/>
              <w:szCs w:val="24"/>
            </w:rPr>
            <w:id w:val="293333744"/>
            <w:placeholder>
              <w:docPart w:val="01E9C0F4F01F47F6928E844355EC8D5C"/>
            </w:placeholder>
          </w:sdtPr>
          <w:sdtEndPr/>
          <w:sdtContent>
            <w:sdt>
              <w:sdtPr>
                <w:rPr>
                  <w:rFonts w:ascii="Times New Roman" w:hAnsi="Times New Roman" w:cs="Times New Roman"/>
                  <w:b/>
                  <w:sz w:val="24"/>
                  <w:szCs w:val="24"/>
                </w:rPr>
                <w:id w:val="1472949152"/>
                <w:placeholder>
                  <w:docPart w:val="8E9ACD89DAB74DEFBA9D86A8BC3E1A21"/>
                </w:placeholder>
              </w:sdtPr>
              <w:sdtEndPr/>
              <w:sdtContent>
                <w:p w14:paraId="56671845" w14:textId="3E34E1F3" w:rsidR="0056522A" w:rsidRPr="0056522A" w:rsidRDefault="0056522A" w:rsidP="00292F88">
                  <w:pPr>
                    <w:spacing w:after="120" w:line="240" w:lineRule="auto"/>
                    <w:ind w:left="720"/>
                    <w:jc w:val="center"/>
                    <w:rPr>
                      <w:rFonts w:ascii="Times New Roman" w:hAnsi="Times New Roman" w:cs="Times New Roman"/>
                      <w:b/>
                      <w:sz w:val="24"/>
                      <w:szCs w:val="24"/>
                    </w:rPr>
                  </w:pPr>
                  <w:r w:rsidRPr="0056522A">
                    <w:rPr>
                      <w:rFonts w:ascii="Times New Roman" w:hAnsi="Times New Roman" w:cs="Times New Roman"/>
                      <w:b/>
                      <w:sz w:val="24"/>
                      <w:szCs w:val="24"/>
                    </w:rPr>
                    <w:t xml:space="preserve">Sabiedrības līdzdalības laikā </w:t>
                  </w:r>
                  <w:bookmarkStart w:id="2" w:name="_Hlk158042709"/>
                  <w:r w:rsidRPr="0056522A">
                    <w:rPr>
                      <w:rFonts w:ascii="Times New Roman" w:hAnsi="Times New Roman" w:cs="Times New Roman"/>
                      <w:b/>
                      <w:sz w:val="24"/>
                      <w:szCs w:val="24"/>
                    </w:rPr>
                    <w:t>saņemto priekšlikumu par Latvijas Bankas noteikumu projektu</w:t>
                  </w:r>
                  <w:r w:rsidRPr="0056522A">
                    <w:rPr>
                      <w:rFonts w:ascii="Times New Roman" w:hAnsi="Times New Roman" w:cs="Times New Roman"/>
                      <w:sz w:val="24"/>
                      <w:szCs w:val="24"/>
                    </w:rPr>
                    <w:t xml:space="preserve"> </w:t>
                  </w:r>
                  <w:r w:rsidR="005541EE">
                    <w:rPr>
                      <w:rFonts w:ascii="Times New Roman" w:hAnsi="Times New Roman" w:cs="Times New Roman"/>
                      <w:b/>
                      <w:sz w:val="24"/>
                      <w:szCs w:val="24"/>
                    </w:rPr>
                    <w:t>"</w:t>
                  </w:r>
                  <w:r w:rsidR="004C0B4B">
                    <w:rPr>
                      <w:rFonts w:ascii="Times New Roman" w:hAnsi="Times New Roman" w:cs="Times New Roman"/>
                      <w:b/>
                      <w:sz w:val="24"/>
                      <w:szCs w:val="24"/>
                    </w:rPr>
                    <w:t xml:space="preserve">Ieguldījumu brokeru sabiedrību pārvaldības </w:t>
                  </w:r>
                  <w:r w:rsidR="00D14223" w:rsidRPr="00496244">
                    <w:rPr>
                      <w:rFonts w:ascii="Times New Roman" w:hAnsi="Times New Roman" w:cs="Times New Roman"/>
                      <w:b/>
                      <w:bCs/>
                      <w:sz w:val="24"/>
                      <w:szCs w:val="24"/>
                    </w:rPr>
                    <w:t>sistēmas</w:t>
                  </w:r>
                  <w:r w:rsidR="00D14223">
                    <w:rPr>
                      <w:rFonts w:ascii="Times New Roman" w:hAnsi="Times New Roman" w:cs="Times New Roman"/>
                      <w:b/>
                      <w:sz w:val="24"/>
                      <w:szCs w:val="24"/>
                    </w:rPr>
                    <w:t xml:space="preserve"> </w:t>
                  </w:r>
                  <w:r w:rsidR="004C0B4B">
                    <w:rPr>
                      <w:rFonts w:ascii="Times New Roman" w:hAnsi="Times New Roman" w:cs="Times New Roman"/>
                      <w:b/>
                      <w:sz w:val="24"/>
                      <w:szCs w:val="24"/>
                    </w:rPr>
                    <w:t>noteikumi</w:t>
                  </w:r>
                  <w:bookmarkEnd w:id="2"/>
                  <w:r w:rsidR="005541EE">
                    <w:rPr>
                      <w:rFonts w:ascii="Times New Roman" w:hAnsi="Times New Roman" w:cs="Times New Roman"/>
                      <w:b/>
                      <w:sz w:val="24"/>
                      <w:szCs w:val="24"/>
                    </w:rPr>
                    <w:t>"</w:t>
                  </w:r>
                  <w:r w:rsidRPr="0056522A">
                    <w:rPr>
                      <w:rFonts w:ascii="Times New Roman" w:hAnsi="Times New Roman" w:cs="Times New Roman"/>
                      <w:b/>
                      <w:sz w:val="24"/>
                      <w:szCs w:val="24"/>
                    </w:rPr>
                    <w:t> apkopojums</w:t>
                  </w:r>
                </w:p>
              </w:sdtContent>
            </w:sdt>
          </w:sdtContent>
        </w:sdt>
      </w:sdtContent>
    </w:sdt>
    <w:p w14:paraId="436AEFA8" w14:textId="77777777" w:rsidR="0056522A" w:rsidRPr="0056522A" w:rsidRDefault="0056522A" w:rsidP="00916DB8">
      <w:pPr>
        <w:spacing w:after="120" w:line="240" w:lineRule="auto"/>
        <w:rPr>
          <w:rFonts w:ascii="Times New Roman" w:hAnsi="Times New Roman" w:cs="Times New Roman"/>
          <w:bCs/>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3779"/>
        <w:gridCol w:w="4192"/>
        <w:gridCol w:w="5389"/>
      </w:tblGrid>
      <w:tr w:rsidR="0056522A" w:rsidRPr="0056522A" w14:paraId="53C9D1FA" w14:textId="77777777" w:rsidTr="00935455">
        <w:tc>
          <w:tcPr>
            <w:tcW w:w="0" w:type="auto"/>
            <w:tcBorders>
              <w:top w:val="single" w:sz="4" w:space="0" w:color="auto"/>
              <w:left w:val="single" w:sz="4" w:space="0" w:color="auto"/>
              <w:bottom w:val="single" w:sz="4" w:space="0" w:color="auto"/>
              <w:right w:val="single" w:sz="4" w:space="0" w:color="auto"/>
            </w:tcBorders>
          </w:tcPr>
          <w:p w14:paraId="7878C7E2" w14:textId="77777777" w:rsidR="0056522A" w:rsidRPr="0056522A" w:rsidRDefault="0056522A" w:rsidP="00292F88">
            <w:pPr>
              <w:spacing w:after="120" w:line="240" w:lineRule="auto"/>
              <w:jc w:val="center"/>
              <w:rPr>
                <w:rFonts w:ascii="Times New Roman" w:hAnsi="Times New Roman" w:cs="Times New Roman"/>
                <w:b/>
                <w:sz w:val="24"/>
                <w:szCs w:val="24"/>
              </w:rPr>
            </w:pPr>
            <w:r w:rsidRPr="0056522A">
              <w:rPr>
                <w:rFonts w:ascii="Times New Roman" w:hAnsi="Times New Roman" w:cs="Times New Roman"/>
                <w:b/>
                <w:sz w:val="24"/>
                <w:szCs w:val="24"/>
              </w:rPr>
              <w:t>Nr.</w:t>
            </w:r>
            <w:r w:rsidRPr="0056522A">
              <w:rPr>
                <w:rFonts w:ascii="Times New Roman" w:hAnsi="Times New Roman" w:cs="Times New Roman"/>
                <w:b/>
                <w:sz w:val="24"/>
                <w:szCs w:val="24"/>
              </w:rPr>
              <w:br/>
              <w:t>p. k.</w:t>
            </w:r>
          </w:p>
        </w:tc>
        <w:tc>
          <w:tcPr>
            <w:tcW w:w="3779" w:type="dxa"/>
            <w:tcBorders>
              <w:top w:val="single" w:sz="4" w:space="0" w:color="auto"/>
              <w:left w:val="single" w:sz="4" w:space="0" w:color="auto"/>
              <w:bottom w:val="single" w:sz="4" w:space="0" w:color="auto"/>
              <w:right w:val="single" w:sz="4" w:space="0" w:color="auto"/>
            </w:tcBorders>
            <w:shd w:val="clear" w:color="auto" w:fill="auto"/>
            <w:hideMark/>
          </w:tcPr>
          <w:p w14:paraId="4C9930B9" w14:textId="77777777" w:rsidR="0056522A" w:rsidRPr="0056522A" w:rsidRDefault="0056522A" w:rsidP="00292F88">
            <w:pPr>
              <w:spacing w:after="120" w:line="240" w:lineRule="auto"/>
              <w:jc w:val="center"/>
              <w:rPr>
                <w:rFonts w:ascii="Times New Roman" w:hAnsi="Times New Roman" w:cs="Times New Roman"/>
                <w:b/>
                <w:sz w:val="24"/>
                <w:szCs w:val="24"/>
              </w:rPr>
            </w:pPr>
            <w:r w:rsidRPr="0056522A">
              <w:rPr>
                <w:rFonts w:ascii="Times New Roman" w:hAnsi="Times New Roman" w:cs="Times New Roman"/>
                <w:b/>
                <w:sz w:val="24"/>
                <w:szCs w:val="24"/>
              </w:rPr>
              <w:t xml:space="preserve">Sabiedrības līdzdalībai nodotā projekta redakcija </w:t>
            </w:r>
            <w:r w:rsidRPr="0056522A">
              <w:rPr>
                <w:rFonts w:ascii="Times New Roman" w:hAnsi="Times New Roman" w:cs="Times New Roman"/>
                <w:b/>
                <w:iCs/>
                <w:sz w:val="24"/>
                <w:szCs w:val="24"/>
              </w:rPr>
              <w:t>(konkrēta punkta redakcija)</w:t>
            </w:r>
          </w:p>
        </w:tc>
        <w:tc>
          <w:tcPr>
            <w:tcW w:w="4192" w:type="dxa"/>
            <w:tcBorders>
              <w:top w:val="single" w:sz="4" w:space="0" w:color="auto"/>
              <w:left w:val="single" w:sz="4" w:space="0" w:color="auto"/>
              <w:bottom w:val="single" w:sz="4" w:space="0" w:color="auto"/>
              <w:right w:val="single" w:sz="4" w:space="0" w:color="auto"/>
            </w:tcBorders>
            <w:shd w:val="clear" w:color="auto" w:fill="auto"/>
            <w:hideMark/>
          </w:tcPr>
          <w:p w14:paraId="2BEEFA5B" w14:textId="77777777" w:rsidR="0056522A" w:rsidRPr="0056522A" w:rsidRDefault="0056522A" w:rsidP="00292F88">
            <w:pPr>
              <w:spacing w:after="120" w:line="240" w:lineRule="auto"/>
              <w:jc w:val="center"/>
              <w:rPr>
                <w:rFonts w:ascii="Times New Roman" w:hAnsi="Times New Roman" w:cs="Times New Roman"/>
                <w:b/>
                <w:sz w:val="24"/>
                <w:szCs w:val="24"/>
              </w:rPr>
            </w:pPr>
            <w:r w:rsidRPr="0056522A">
              <w:rPr>
                <w:rFonts w:ascii="Times New Roman" w:hAnsi="Times New Roman" w:cs="Times New Roman"/>
                <w:b/>
                <w:sz w:val="24"/>
                <w:szCs w:val="24"/>
              </w:rPr>
              <w:t>Izteiktais iebildums (priekšlikums)</w:t>
            </w:r>
            <w:r w:rsidRPr="0056522A">
              <w:rPr>
                <w:rFonts w:ascii="Times New Roman" w:hAnsi="Times New Roman" w:cs="Times New Roman"/>
                <w:b/>
                <w:iCs/>
                <w:sz w:val="24"/>
                <w:szCs w:val="24"/>
              </w:rPr>
              <w:t xml:space="preserve"> par projekta konkrēto punktu, norādot sabiedrības pārstāvi</w:t>
            </w:r>
          </w:p>
        </w:tc>
        <w:tc>
          <w:tcPr>
            <w:tcW w:w="5389" w:type="dxa"/>
            <w:tcBorders>
              <w:top w:val="single" w:sz="4" w:space="0" w:color="auto"/>
              <w:left w:val="single" w:sz="4" w:space="0" w:color="auto"/>
              <w:bottom w:val="single" w:sz="4" w:space="0" w:color="auto"/>
              <w:right w:val="single" w:sz="4" w:space="0" w:color="auto"/>
            </w:tcBorders>
            <w:shd w:val="clear" w:color="auto" w:fill="auto"/>
            <w:hideMark/>
          </w:tcPr>
          <w:p w14:paraId="0A074409" w14:textId="77777777" w:rsidR="0056522A" w:rsidRPr="0056522A" w:rsidRDefault="0056522A" w:rsidP="00292F88">
            <w:pPr>
              <w:spacing w:after="120" w:line="240" w:lineRule="auto"/>
              <w:jc w:val="center"/>
              <w:rPr>
                <w:rFonts w:ascii="Times New Roman" w:hAnsi="Times New Roman" w:cs="Times New Roman"/>
                <w:b/>
                <w:sz w:val="24"/>
                <w:szCs w:val="24"/>
              </w:rPr>
            </w:pPr>
            <w:r w:rsidRPr="0056522A">
              <w:rPr>
                <w:rFonts w:ascii="Times New Roman" w:hAnsi="Times New Roman" w:cs="Times New Roman"/>
                <w:b/>
                <w:iCs/>
                <w:sz w:val="24"/>
                <w:szCs w:val="24"/>
              </w:rPr>
              <w:t xml:space="preserve">Latvijas Bankas </w:t>
            </w:r>
            <w:r w:rsidRPr="0056522A">
              <w:rPr>
                <w:rFonts w:ascii="Times New Roman" w:hAnsi="Times New Roman" w:cs="Times New Roman"/>
                <w:b/>
                <w:sz w:val="24"/>
                <w:szCs w:val="24"/>
              </w:rPr>
              <w:t xml:space="preserve">viedoklis par izteikto iebildumu (priekšlikumu) un </w:t>
            </w:r>
            <w:r w:rsidRPr="0056522A">
              <w:rPr>
                <w:rFonts w:ascii="Times New Roman" w:hAnsi="Times New Roman" w:cs="Times New Roman"/>
                <w:b/>
                <w:iCs/>
                <w:sz w:val="24"/>
                <w:szCs w:val="24"/>
              </w:rPr>
              <w:t>norāde, vai tas ņemts vērā</w:t>
            </w:r>
          </w:p>
        </w:tc>
      </w:tr>
      <w:tr w:rsidR="0056522A" w:rsidRPr="0056522A" w14:paraId="53F29675" w14:textId="77777777" w:rsidTr="00935455">
        <w:tc>
          <w:tcPr>
            <w:tcW w:w="0" w:type="auto"/>
            <w:tcBorders>
              <w:top w:val="single" w:sz="4" w:space="0" w:color="auto"/>
              <w:left w:val="single" w:sz="4" w:space="0" w:color="auto"/>
              <w:bottom w:val="single" w:sz="4" w:space="0" w:color="auto"/>
              <w:right w:val="single" w:sz="4" w:space="0" w:color="auto"/>
            </w:tcBorders>
          </w:tcPr>
          <w:p w14:paraId="00895351" w14:textId="77777777" w:rsidR="0056522A" w:rsidRPr="0056522A" w:rsidRDefault="0056522A" w:rsidP="0056522A">
            <w:pPr>
              <w:spacing w:after="120" w:line="240" w:lineRule="auto"/>
              <w:ind w:left="720"/>
              <w:rPr>
                <w:rFonts w:ascii="Times New Roman" w:hAnsi="Times New Roman" w:cs="Times New Roman"/>
                <w:bCs/>
                <w:sz w:val="24"/>
                <w:szCs w:val="24"/>
              </w:rPr>
            </w:pPr>
            <w:r w:rsidRPr="0056522A">
              <w:rPr>
                <w:rFonts w:ascii="Times New Roman" w:hAnsi="Times New Roman" w:cs="Times New Roman"/>
                <w:bCs/>
                <w:sz w:val="24"/>
                <w:szCs w:val="24"/>
              </w:rPr>
              <w:t>1.</w:t>
            </w:r>
          </w:p>
        </w:tc>
        <w:tc>
          <w:tcPr>
            <w:tcW w:w="3779" w:type="dxa"/>
            <w:tcBorders>
              <w:top w:val="single" w:sz="4" w:space="0" w:color="auto"/>
              <w:left w:val="single" w:sz="4" w:space="0" w:color="auto"/>
              <w:bottom w:val="single" w:sz="4" w:space="0" w:color="auto"/>
              <w:right w:val="single" w:sz="4" w:space="0" w:color="auto"/>
            </w:tcBorders>
            <w:shd w:val="clear" w:color="auto" w:fill="auto"/>
          </w:tcPr>
          <w:p w14:paraId="2F4E08B1" w14:textId="77777777" w:rsidR="0056522A" w:rsidRPr="0056522A" w:rsidRDefault="0056522A" w:rsidP="00E06104">
            <w:pPr>
              <w:spacing w:after="120" w:line="240" w:lineRule="auto"/>
              <w:ind w:left="720"/>
              <w:rPr>
                <w:rFonts w:ascii="Times New Roman" w:hAnsi="Times New Roman" w:cs="Times New Roman"/>
                <w:b/>
                <w:sz w:val="24"/>
                <w:szCs w:val="24"/>
              </w:rPr>
            </w:pPr>
          </w:p>
        </w:tc>
        <w:tc>
          <w:tcPr>
            <w:tcW w:w="4192" w:type="dxa"/>
            <w:tcBorders>
              <w:top w:val="single" w:sz="4" w:space="0" w:color="auto"/>
              <w:left w:val="single" w:sz="4" w:space="0" w:color="auto"/>
              <w:bottom w:val="single" w:sz="4" w:space="0" w:color="auto"/>
              <w:right w:val="single" w:sz="4" w:space="0" w:color="auto"/>
            </w:tcBorders>
            <w:shd w:val="clear" w:color="auto" w:fill="auto"/>
          </w:tcPr>
          <w:p w14:paraId="4EA9DA63" w14:textId="42B21EB2" w:rsidR="004C0B4B" w:rsidRDefault="0067587D" w:rsidP="00E06104">
            <w:pPr>
              <w:spacing w:after="120" w:line="240" w:lineRule="auto"/>
              <w:rPr>
                <w:rFonts w:ascii="Times New Roman" w:hAnsi="Times New Roman" w:cs="Times New Roman"/>
                <w:b/>
                <w:bCs/>
                <w:sz w:val="24"/>
                <w:szCs w:val="24"/>
              </w:rPr>
            </w:pPr>
            <w:r>
              <w:rPr>
                <w:rFonts w:ascii="Times New Roman" w:hAnsi="Times New Roman" w:cs="Times New Roman"/>
                <w:b/>
                <w:bCs/>
                <w:sz w:val="24"/>
                <w:szCs w:val="24"/>
              </w:rPr>
              <w:t>AS </w:t>
            </w:r>
            <w:proofErr w:type="spellStart"/>
            <w:r w:rsidR="004C0B4B" w:rsidRPr="004C0B4B">
              <w:rPr>
                <w:rFonts w:ascii="Times New Roman" w:hAnsi="Times New Roman" w:cs="Times New Roman"/>
                <w:b/>
                <w:bCs/>
                <w:sz w:val="24"/>
                <w:szCs w:val="24"/>
              </w:rPr>
              <w:t>Mintos</w:t>
            </w:r>
            <w:proofErr w:type="spellEnd"/>
            <w:r w:rsidR="004C0B4B" w:rsidRPr="004C0B4B">
              <w:rPr>
                <w:rFonts w:ascii="Times New Roman" w:hAnsi="Times New Roman" w:cs="Times New Roman"/>
                <w:b/>
                <w:bCs/>
                <w:sz w:val="24"/>
                <w:szCs w:val="24"/>
              </w:rPr>
              <w:t xml:space="preserve"> Marketplace</w:t>
            </w:r>
          </w:p>
          <w:p w14:paraId="72F5A221" w14:textId="77777777" w:rsidR="004C0B4B" w:rsidRDefault="004C0B4B" w:rsidP="00E06104">
            <w:pPr>
              <w:tabs>
                <w:tab w:val="left" w:pos="344"/>
              </w:tabs>
              <w:spacing w:after="120" w:line="240" w:lineRule="auto"/>
              <w:rPr>
                <w:rFonts w:ascii="Times New Roman" w:hAnsi="Times New Roman" w:cs="Times New Roman"/>
                <w:sz w:val="24"/>
                <w:szCs w:val="24"/>
              </w:rPr>
            </w:pPr>
            <w:r w:rsidRPr="004C0B4B">
              <w:rPr>
                <w:rFonts w:ascii="Times New Roman" w:hAnsi="Times New Roman" w:cs="Times New Roman"/>
                <w:sz w:val="24"/>
                <w:szCs w:val="24"/>
              </w:rPr>
              <w:t>1.</w:t>
            </w:r>
            <w:r w:rsidRPr="004C0B4B">
              <w:rPr>
                <w:rFonts w:ascii="Times New Roman" w:hAnsi="Times New Roman" w:cs="Times New Roman"/>
                <w:sz w:val="24"/>
                <w:szCs w:val="24"/>
              </w:rPr>
              <w:tab/>
              <w:t>Vispārīgi komentāri:</w:t>
            </w:r>
          </w:p>
          <w:p w14:paraId="5D94D925" w14:textId="402BF748" w:rsidR="004C0B4B" w:rsidRPr="004C0B4B" w:rsidRDefault="004C0B4B" w:rsidP="00E06104">
            <w:pPr>
              <w:tabs>
                <w:tab w:val="left" w:pos="344"/>
              </w:tabs>
              <w:spacing w:after="120" w:line="240" w:lineRule="auto"/>
              <w:jc w:val="both"/>
              <w:rPr>
                <w:rFonts w:ascii="Times New Roman" w:hAnsi="Times New Roman" w:cs="Times New Roman"/>
                <w:sz w:val="24"/>
                <w:szCs w:val="24"/>
              </w:rPr>
            </w:pPr>
            <w:r w:rsidRPr="004C0B4B">
              <w:rPr>
                <w:rFonts w:ascii="Times New Roman" w:hAnsi="Times New Roman" w:cs="Times New Roman"/>
                <w:sz w:val="24"/>
                <w:szCs w:val="24"/>
              </w:rPr>
              <w:t>a.</w:t>
            </w:r>
            <w:r w:rsidRPr="004C0B4B">
              <w:rPr>
                <w:rFonts w:ascii="Times New Roman" w:hAnsi="Times New Roman" w:cs="Times New Roman"/>
                <w:sz w:val="24"/>
                <w:szCs w:val="24"/>
              </w:rPr>
              <w:tab/>
              <w:t>Esošajā FKTK noteikumu Nr.212 (Esošie Noteikumi) redakcijā savādāk formulēts subjektu loks, uz ko attiecas prasības. Vai Latvijas Bankas ieskatā šīs ir vien redakcionālas izmaiņas, kas pēc būtības nerada izmaiņas ieguldījumu brokeru sabiedrībām? Vai arī šīs nav vien redakcionālas izmaiņas un tām ir ietekme pēc būtības?;</w:t>
            </w:r>
          </w:p>
          <w:p w14:paraId="325B3A82" w14:textId="273C0CDC" w:rsidR="004C0B4B" w:rsidRPr="004C0B4B" w:rsidRDefault="004C0B4B" w:rsidP="00E06104">
            <w:pPr>
              <w:tabs>
                <w:tab w:val="left" w:pos="344"/>
              </w:tabs>
              <w:spacing w:after="120" w:line="240" w:lineRule="auto"/>
              <w:jc w:val="both"/>
              <w:rPr>
                <w:rFonts w:ascii="Times New Roman" w:hAnsi="Times New Roman" w:cs="Times New Roman"/>
                <w:sz w:val="24"/>
                <w:szCs w:val="24"/>
              </w:rPr>
            </w:pPr>
            <w:r>
              <w:rPr>
                <w:rFonts w:ascii="Times New Roman" w:hAnsi="Times New Roman" w:cs="Times New Roman"/>
                <w:sz w:val="24"/>
                <w:szCs w:val="24"/>
              </w:rPr>
              <w:t>b.</w:t>
            </w:r>
            <w:r w:rsidRPr="004C0B4B">
              <w:rPr>
                <w:rFonts w:ascii="Times New Roman" w:hAnsi="Times New Roman" w:cs="Times New Roman"/>
                <w:sz w:val="24"/>
                <w:szCs w:val="24"/>
              </w:rPr>
              <w:tab/>
              <w:t>Noteikumi daļēji dublē vai savādākā griezumā pasniedz prasības, kas jau noteiktas citviet, piemēram, Komisijas Deleģētajā regulā (ES) 2017/565 un/vai FKTK noteikumos Nr.227 (turpmāk - noteikumi Nr.227). Paļaujamies, ka pirms apstiprināšanas tiks novērsta prasību dublēšanās;</w:t>
            </w:r>
          </w:p>
          <w:p w14:paraId="5E24324E" w14:textId="77777777" w:rsidR="00612AFC" w:rsidRDefault="00612AFC" w:rsidP="00E06104">
            <w:pPr>
              <w:spacing w:after="120" w:line="240" w:lineRule="auto"/>
              <w:jc w:val="both"/>
              <w:rPr>
                <w:rFonts w:ascii="Times New Roman" w:hAnsi="Times New Roman" w:cs="Times New Roman"/>
                <w:sz w:val="24"/>
                <w:szCs w:val="24"/>
              </w:rPr>
            </w:pPr>
          </w:p>
          <w:p w14:paraId="096D0CE9" w14:textId="77777777" w:rsidR="00612AFC" w:rsidRDefault="00612AFC" w:rsidP="00E06104">
            <w:pPr>
              <w:spacing w:after="120" w:line="240" w:lineRule="auto"/>
              <w:jc w:val="both"/>
              <w:rPr>
                <w:rFonts w:ascii="Times New Roman" w:hAnsi="Times New Roman" w:cs="Times New Roman"/>
                <w:sz w:val="24"/>
                <w:szCs w:val="24"/>
              </w:rPr>
            </w:pPr>
          </w:p>
          <w:p w14:paraId="3D52558B" w14:textId="77777777" w:rsidR="00612AFC" w:rsidRDefault="00612AFC" w:rsidP="00E06104">
            <w:pPr>
              <w:spacing w:after="120" w:line="240" w:lineRule="auto"/>
              <w:jc w:val="both"/>
              <w:rPr>
                <w:rFonts w:ascii="Times New Roman" w:hAnsi="Times New Roman" w:cs="Times New Roman"/>
                <w:sz w:val="24"/>
                <w:szCs w:val="24"/>
              </w:rPr>
            </w:pPr>
          </w:p>
          <w:p w14:paraId="4D57F16B" w14:textId="77777777" w:rsidR="00612AFC" w:rsidRDefault="00612AFC" w:rsidP="00E06104">
            <w:pPr>
              <w:spacing w:after="120" w:line="240" w:lineRule="auto"/>
              <w:jc w:val="both"/>
              <w:rPr>
                <w:rFonts w:ascii="Times New Roman" w:hAnsi="Times New Roman" w:cs="Times New Roman"/>
                <w:sz w:val="24"/>
                <w:szCs w:val="24"/>
              </w:rPr>
            </w:pPr>
          </w:p>
          <w:p w14:paraId="34D2234A" w14:textId="77777777" w:rsidR="00612AFC" w:rsidRDefault="00612AFC" w:rsidP="00E06104">
            <w:pPr>
              <w:spacing w:after="120" w:line="240" w:lineRule="auto"/>
              <w:jc w:val="both"/>
              <w:rPr>
                <w:rFonts w:ascii="Times New Roman" w:hAnsi="Times New Roman" w:cs="Times New Roman"/>
                <w:sz w:val="24"/>
                <w:szCs w:val="24"/>
              </w:rPr>
            </w:pPr>
          </w:p>
          <w:p w14:paraId="18E2F0D0" w14:textId="77777777" w:rsidR="00612AFC" w:rsidRDefault="00612AFC" w:rsidP="00E06104">
            <w:pPr>
              <w:spacing w:after="120" w:line="240" w:lineRule="auto"/>
              <w:jc w:val="both"/>
              <w:rPr>
                <w:rFonts w:ascii="Times New Roman" w:hAnsi="Times New Roman" w:cs="Times New Roman"/>
                <w:sz w:val="24"/>
                <w:szCs w:val="24"/>
              </w:rPr>
            </w:pPr>
          </w:p>
          <w:p w14:paraId="5A2CC094" w14:textId="77777777" w:rsidR="00E5326A" w:rsidRDefault="00E5326A" w:rsidP="00E06104">
            <w:pPr>
              <w:spacing w:after="120" w:line="240" w:lineRule="auto"/>
              <w:jc w:val="both"/>
              <w:rPr>
                <w:rFonts w:ascii="Times New Roman" w:hAnsi="Times New Roman" w:cs="Times New Roman"/>
                <w:sz w:val="24"/>
                <w:szCs w:val="24"/>
              </w:rPr>
            </w:pPr>
          </w:p>
          <w:p w14:paraId="1216F3EF" w14:textId="77777777" w:rsidR="00E5326A" w:rsidRDefault="00E5326A" w:rsidP="00E06104">
            <w:pPr>
              <w:spacing w:after="120" w:line="240" w:lineRule="auto"/>
              <w:jc w:val="both"/>
              <w:rPr>
                <w:rFonts w:ascii="Times New Roman" w:hAnsi="Times New Roman" w:cs="Times New Roman"/>
                <w:sz w:val="24"/>
                <w:szCs w:val="24"/>
              </w:rPr>
            </w:pPr>
          </w:p>
          <w:p w14:paraId="16857AE8" w14:textId="77777777" w:rsidR="00392A99" w:rsidRDefault="00392A99" w:rsidP="00E06104">
            <w:pPr>
              <w:spacing w:after="120" w:line="240" w:lineRule="auto"/>
              <w:jc w:val="both"/>
              <w:rPr>
                <w:rFonts w:ascii="Times New Roman" w:hAnsi="Times New Roman" w:cs="Times New Roman"/>
                <w:sz w:val="24"/>
                <w:szCs w:val="24"/>
              </w:rPr>
            </w:pPr>
          </w:p>
          <w:p w14:paraId="30B99E40" w14:textId="77777777" w:rsidR="00392A99" w:rsidRDefault="00392A99" w:rsidP="00E06104">
            <w:pPr>
              <w:spacing w:after="120" w:line="240" w:lineRule="auto"/>
              <w:jc w:val="both"/>
              <w:rPr>
                <w:rFonts w:ascii="Times New Roman" w:hAnsi="Times New Roman" w:cs="Times New Roman"/>
                <w:sz w:val="24"/>
                <w:szCs w:val="24"/>
              </w:rPr>
            </w:pPr>
          </w:p>
          <w:p w14:paraId="6C78EBDD" w14:textId="77777777" w:rsidR="00392A99" w:rsidRDefault="00392A99" w:rsidP="00E06104">
            <w:pPr>
              <w:spacing w:after="120" w:line="240" w:lineRule="auto"/>
              <w:jc w:val="both"/>
              <w:rPr>
                <w:rFonts w:ascii="Times New Roman" w:hAnsi="Times New Roman" w:cs="Times New Roman"/>
                <w:sz w:val="24"/>
                <w:szCs w:val="24"/>
              </w:rPr>
            </w:pPr>
          </w:p>
          <w:p w14:paraId="08790E01" w14:textId="61D3740A" w:rsidR="0056522A" w:rsidRPr="0056522A" w:rsidRDefault="004C0B4B" w:rsidP="00935455">
            <w:pPr>
              <w:tabs>
                <w:tab w:val="left" w:pos="390"/>
              </w:tabs>
              <w:spacing w:after="120" w:line="240" w:lineRule="auto"/>
              <w:jc w:val="both"/>
              <w:rPr>
                <w:rFonts w:ascii="Times New Roman" w:hAnsi="Times New Roman" w:cs="Times New Roman"/>
                <w:sz w:val="24"/>
                <w:szCs w:val="24"/>
              </w:rPr>
            </w:pPr>
            <w:r>
              <w:rPr>
                <w:rFonts w:ascii="Times New Roman" w:hAnsi="Times New Roman" w:cs="Times New Roman"/>
                <w:sz w:val="24"/>
                <w:szCs w:val="24"/>
              </w:rPr>
              <w:t>c.</w:t>
            </w:r>
            <w:r w:rsidRPr="004C0B4B">
              <w:rPr>
                <w:rFonts w:ascii="Times New Roman" w:hAnsi="Times New Roman" w:cs="Times New Roman"/>
                <w:sz w:val="24"/>
                <w:szCs w:val="24"/>
              </w:rPr>
              <w:tab/>
              <w:t xml:space="preserve">Vēlamies aicināt regulējošajās prasībās jēdzienu </w:t>
            </w:r>
            <w:r w:rsidR="005541EE">
              <w:rPr>
                <w:rFonts w:ascii="Times New Roman" w:hAnsi="Times New Roman" w:cs="Times New Roman"/>
                <w:sz w:val="24"/>
                <w:szCs w:val="24"/>
              </w:rPr>
              <w:t>"</w:t>
            </w:r>
            <w:r w:rsidRPr="004C0B4B">
              <w:rPr>
                <w:rFonts w:ascii="Times New Roman" w:hAnsi="Times New Roman" w:cs="Times New Roman"/>
                <w:sz w:val="24"/>
                <w:szCs w:val="24"/>
              </w:rPr>
              <w:t>efektīvi</w:t>
            </w:r>
            <w:r w:rsidR="005541EE">
              <w:rPr>
                <w:rFonts w:ascii="Times New Roman" w:hAnsi="Times New Roman" w:cs="Times New Roman"/>
                <w:sz w:val="24"/>
                <w:szCs w:val="24"/>
              </w:rPr>
              <w:t>"</w:t>
            </w:r>
            <w:r w:rsidRPr="004C0B4B">
              <w:rPr>
                <w:rFonts w:ascii="Times New Roman" w:hAnsi="Times New Roman" w:cs="Times New Roman"/>
                <w:sz w:val="24"/>
                <w:szCs w:val="24"/>
              </w:rPr>
              <w:t xml:space="preserve"> lietot samērīgi un ciktāl tas ir pamatots ar regulās un likumos noteiktajām regulējošajām prasībām, lai neradītu nesamērīgu slogu nebūtiskos aspektos ieguldījumu brokeru sabiedrībām pašām ieviest tādus efektivitātes rādītāju mērījumus un procesus, lai to izpildei sekotu, kuru ievērošana pati par sevi nesniegs pienesumu nedz ieguldītāju interešu aizsardzībai, nedz citu ieguldījumu jomas regulācijas griezumā svarīgu interešu aizsardzībai.</w:t>
            </w:r>
          </w:p>
        </w:tc>
        <w:tc>
          <w:tcPr>
            <w:tcW w:w="5389" w:type="dxa"/>
            <w:tcBorders>
              <w:top w:val="single" w:sz="4" w:space="0" w:color="auto"/>
              <w:left w:val="single" w:sz="4" w:space="0" w:color="auto"/>
              <w:bottom w:val="single" w:sz="4" w:space="0" w:color="auto"/>
              <w:right w:val="single" w:sz="4" w:space="0" w:color="auto"/>
            </w:tcBorders>
            <w:shd w:val="clear" w:color="auto" w:fill="auto"/>
          </w:tcPr>
          <w:p w14:paraId="4A4C73FB" w14:textId="77777777" w:rsidR="00916DB8" w:rsidRDefault="00916DB8" w:rsidP="00E06104">
            <w:pPr>
              <w:spacing w:after="120" w:line="240" w:lineRule="auto"/>
              <w:rPr>
                <w:rFonts w:ascii="Times New Roman" w:hAnsi="Times New Roman" w:cs="Times New Roman"/>
                <w:b/>
                <w:iCs/>
                <w:sz w:val="24"/>
                <w:szCs w:val="24"/>
              </w:rPr>
            </w:pPr>
            <w:r>
              <w:rPr>
                <w:rFonts w:ascii="Times New Roman" w:hAnsi="Times New Roman" w:cs="Times New Roman"/>
                <w:b/>
                <w:iCs/>
                <w:sz w:val="24"/>
                <w:szCs w:val="24"/>
              </w:rPr>
              <w:lastRenderedPageBreak/>
              <w:t>Ņemts vērā.</w:t>
            </w:r>
          </w:p>
          <w:p w14:paraId="2D862E33" w14:textId="77777777" w:rsidR="003529DA" w:rsidRDefault="003529DA" w:rsidP="00E06104">
            <w:pPr>
              <w:spacing w:after="120" w:line="240" w:lineRule="auto"/>
              <w:jc w:val="both"/>
              <w:rPr>
                <w:rFonts w:ascii="Times New Roman" w:hAnsi="Times New Roman" w:cs="Times New Roman"/>
                <w:bCs/>
                <w:iCs/>
                <w:sz w:val="24"/>
                <w:szCs w:val="24"/>
              </w:rPr>
            </w:pPr>
          </w:p>
          <w:p w14:paraId="1E9CD713" w14:textId="361EA067" w:rsidR="00E53657" w:rsidRDefault="003529DA" w:rsidP="00E06104">
            <w:pPr>
              <w:spacing w:after="120" w:line="240" w:lineRule="auto"/>
              <w:jc w:val="both"/>
              <w:rPr>
                <w:rFonts w:ascii="Times New Roman" w:hAnsi="Times New Roman" w:cs="Times New Roman"/>
                <w:bCs/>
                <w:iCs/>
                <w:sz w:val="24"/>
                <w:szCs w:val="24"/>
              </w:rPr>
            </w:pPr>
            <w:r w:rsidRPr="003529DA">
              <w:rPr>
                <w:rFonts w:ascii="Times New Roman" w:hAnsi="Times New Roman" w:cs="Times New Roman"/>
                <w:bCs/>
                <w:iCs/>
                <w:sz w:val="24"/>
                <w:szCs w:val="24"/>
              </w:rPr>
              <w:t>Paskaidrojam, ka n</w:t>
            </w:r>
            <w:r w:rsidR="00E53657" w:rsidRPr="003529DA">
              <w:rPr>
                <w:rFonts w:ascii="Times New Roman" w:hAnsi="Times New Roman" w:cs="Times New Roman"/>
                <w:bCs/>
                <w:iCs/>
                <w:sz w:val="24"/>
                <w:szCs w:val="24"/>
              </w:rPr>
              <w:t>oteikumu</w:t>
            </w:r>
            <w:r w:rsidR="00916DB8" w:rsidRPr="003529DA">
              <w:rPr>
                <w:rFonts w:ascii="Times New Roman" w:hAnsi="Times New Roman" w:cs="Times New Roman"/>
                <w:bCs/>
                <w:iCs/>
                <w:sz w:val="24"/>
                <w:szCs w:val="24"/>
              </w:rPr>
              <w:t xml:space="preserve"> projekta </w:t>
            </w:r>
            <w:r w:rsidR="00E53657" w:rsidRPr="003529DA">
              <w:rPr>
                <w:rFonts w:ascii="Times New Roman" w:hAnsi="Times New Roman" w:cs="Times New Roman"/>
                <w:bCs/>
                <w:iCs/>
                <w:sz w:val="24"/>
                <w:szCs w:val="24"/>
              </w:rPr>
              <w:t>tvērum</w:t>
            </w:r>
            <w:r w:rsidR="00292F88">
              <w:rPr>
                <w:rFonts w:ascii="Times New Roman" w:hAnsi="Times New Roman" w:cs="Times New Roman"/>
                <w:bCs/>
                <w:iCs/>
                <w:sz w:val="24"/>
                <w:szCs w:val="24"/>
              </w:rPr>
              <w:t>ā ietilpstošo</w:t>
            </w:r>
            <w:r w:rsidR="00E53657" w:rsidRPr="003529DA">
              <w:rPr>
                <w:rFonts w:ascii="Times New Roman" w:hAnsi="Times New Roman" w:cs="Times New Roman"/>
                <w:bCs/>
                <w:iCs/>
                <w:sz w:val="24"/>
                <w:szCs w:val="24"/>
              </w:rPr>
              <w:t xml:space="preserve"> subjektu loks nav paplašināts,</w:t>
            </w:r>
            <w:r w:rsidR="00E53657" w:rsidRPr="00E53657">
              <w:rPr>
                <w:rFonts w:ascii="Times New Roman" w:hAnsi="Times New Roman" w:cs="Times New Roman"/>
                <w:bCs/>
                <w:iCs/>
                <w:sz w:val="24"/>
                <w:szCs w:val="24"/>
              </w:rPr>
              <w:t xml:space="preserve"> ir veikt</w:t>
            </w:r>
            <w:r w:rsidR="00E53657">
              <w:rPr>
                <w:rFonts w:ascii="Times New Roman" w:hAnsi="Times New Roman" w:cs="Times New Roman"/>
                <w:bCs/>
                <w:iCs/>
                <w:sz w:val="24"/>
                <w:szCs w:val="24"/>
              </w:rPr>
              <w:t>as</w:t>
            </w:r>
            <w:r w:rsidR="00E53657" w:rsidRPr="00E53657">
              <w:rPr>
                <w:rFonts w:ascii="Times New Roman" w:hAnsi="Times New Roman" w:cs="Times New Roman"/>
                <w:bCs/>
                <w:iCs/>
                <w:sz w:val="24"/>
                <w:szCs w:val="24"/>
              </w:rPr>
              <w:t xml:space="preserve"> redakcionālas izmaiņas</w:t>
            </w:r>
            <w:r w:rsidR="00AB1B43">
              <w:rPr>
                <w:rFonts w:ascii="Times New Roman" w:hAnsi="Times New Roman" w:cs="Times New Roman"/>
                <w:bCs/>
                <w:iCs/>
                <w:sz w:val="24"/>
                <w:szCs w:val="24"/>
              </w:rPr>
              <w:t>. Noteikumu projekta 2. un 3. punkts ir apvienots, un attiecīgi precizēta numerācija visā noteikumu projektā.</w:t>
            </w:r>
          </w:p>
          <w:p w14:paraId="7D1272C4" w14:textId="77777777" w:rsidR="00E53657" w:rsidRDefault="00E53657" w:rsidP="00E06104">
            <w:pPr>
              <w:spacing w:after="120" w:line="240" w:lineRule="auto"/>
              <w:jc w:val="both"/>
              <w:rPr>
                <w:rFonts w:ascii="Times New Roman" w:hAnsi="Times New Roman" w:cs="Times New Roman"/>
                <w:bCs/>
                <w:iCs/>
                <w:sz w:val="24"/>
                <w:szCs w:val="24"/>
              </w:rPr>
            </w:pPr>
          </w:p>
          <w:p w14:paraId="23C4BD82" w14:textId="77777777" w:rsidR="00E53657" w:rsidRDefault="00E53657" w:rsidP="00E06104">
            <w:pPr>
              <w:spacing w:after="120" w:line="240" w:lineRule="auto"/>
              <w:jc w:val="both"/>
              <w:rPr>
                <w:rFonts w:ascii="Times New Roman" w:hAnsi="Times New Roman" w:cs="Times New Roman"/>
                <w:bCs/>
                <w:iCs/>
                <w:sz w:val="24"/>
                <w:szCs w:val="24"/>
              </w:rPr>
            </w:pPr>
          </w:p>
          <w:p w14:paraId="1F64F169" w14:textId="77777777" w:rsidR="00AB1B43" w:rsidRDefault="00AB1B43" w:rsidP="00AB1B43">
            <w:pPr>
              <w:spacing w:after="0" w:line="240" w:lineRule="auto"/>
              <w:jc w:val="both"/>
              <w:rPr>
                <w:rFonts w:ascii="Times New Roman" w:hAnsi="Times New Roman" w:cs="Times New Roman"/>
                <w:bCs/>
                <w:iCs/>
                <w:sz w:val="24"/>
                <w:szCs w:val="24"/>
              </w:rPr>
            </w:pPr>
          </w:p>
          <w:p w14:paraId="27114F48" w14:textId="4FFC5C12" w:rsidR="00E53657" w:rsidRDefault="00E5326A" w:rsidP="00E06104">
            <w:pPr>
              <w:spacing w:after="120" w:line="240" w:lineRule="auto"/>
              <w:jc w:val="both"/>
              <w:rPr>
                <w:rFonts w:ascii="Times New Roman" w:hAnsi="Times New Roman" w:cs="Times New Roman"/>
                <w:bCs/>
                <w:iCs/>
                <w:sz w:val="24"/>
                <w:szCs w:val="24"/>
              </w:rPr>
            </w:pPr>
            <w:r w:rsidRPr="00292F88">
              <w:rPr>
                <w:rFonts w:ascii="Times New Roman" w:hAnsi="Times New Roman" w:cs="Times New Roman"/>
                <w:bCs/>
                <w:iCs/>
                <w:sz w:val="24"/>
                <w:szCs w:val="24"/>
              </w:rPr>
              <w:t>N</w:t>
            </w:r>
            <w:r w:rsidR="00E53657" w:rsidRPr="00292F88">
              <w:rPr>
                <w:rFonts w:ascii="Times New Roman" w:hAnsi="Times New Roman" w:cs="Times New Roman"/>
                <w:bCs/>
                <w:iCs/>
                <w:sz w:val="24"/>
                <w:szCs w:val="24"/>
              </w:rPr>
              <w:t xml:space="preserve">oteikumu projektā </w:t>
            </w:r>
            <w:r w:rsidR="0093126E" w:rsidRPr="00292F88">
              <w:rPr>
                <w:rFonts w:ascii="Times New Roman" w:hAnsi="Times New Roman" w:cs="Times New Roman"/>
                <w:bCs/>
                <w:iCs/>
                <w:sz w:val="24"/>
                <w:szCs w:val="24"/>
              </w:rPr>
              <w:t xml:space="preserve">un anotācijā </w:t>
            </w:r>
            <w:r w:rsidR="00E53657" w:rsidRPr="00292F88">
              <w:rPr>
                <w:rFonts w:ascii="Times New Roman" w:hAnsi="Times New Roman" w:cs="Times New Roman"/>
                <w:bCs/>
                <w:iCs/>
                <w:sz w:val="24"/>
                <w:szCs w:val="24"/>
              </w:rPr>
              <w:t xml:space="preserve">ir iekļautas atsauces uz </w:t>
            </w:r>
            <w:r w:rsidR="00292F88" w:rsidRPr="00935455">
              <w:rPr>
                <w:rFonts w:ascii="Times New Roman" w:hAnsi="Times New Roman" w:cs="Times New Roman"/>
                <w:iCs/>
                <w:color w:val="000000" w:themeColor="text1"/>
                <w:sz w:val="24"/>
                <w:szCs w:val="24"/>
              </w:rPr>
              <w:t>Komisijas 2016. gada 25. aprīļa deleģēt</w:t>
            </w:r>
            <w:r w:rsidR="00292F88" w:rsidRPr="00292F88">
              <w:rPr>
                <w:rFonts w:ascii="Times New Roman" w:hAnsi="Times New Roman" w:cs="Times New Roman"/>
                <w:iCs/>
                <w:color w:val="000000" w:themeColor="text1"/>
                <w:sz w:val="24"/>
                <w:szCs w:val="24"/>
              </w:rPr>
              <w:t>o</w:t>
            </w:r>
            <w:r w:rsidR="00292F88" w:rsidRPr="00935455">
              <w:rPr>
                <w:rFonts w:ascii="Times New Roman" w:hAnsi="Times New Roman" w:cs="Times New Roman"/>
                <w:iCs/>
                <w:color w:val="000000" w:themeColor="text1"/>
                <w:sz w:val="24"/>
                <w:szCs w:val="24"/>
              </w:rPr>
              <w:t xml:space="preserve"> regul</w:t>
            </w:r>
            <w:r w:rsidR="00292F88" w:rsidRPr="00292F88">
              <w:rPr>
                <w:rFonts w:ascii="Times New Roman" w:hAnsi="Times New Roman" w:cs="Times New Roman"/>
                <w:iCs/>
                <w:color w:val="000000" w:themeColor="text1"/>
                <w:sz w:val="24"/>
                <w:szCs w:val="24"/>
              </w:rPr>
              <w:t>u</w:t>
            </w:r>
            <w:r w:rsidR="00292F88" w:rsidRPr="00935455">
              <w:rPr>
                <w:rFonts w:ascii="Times New Roman" w:hAnsi="Times New Roman" w:cs="Times New Roman"/>
                <w:iCs/>
                <w:color w:val="000000" w:themeColor="text1"/>
                <w:sz w:val="24"/>
                <w:szCs w:val="24"/>
              </w:rPr>
              <w:t xml:space="preserve"> (ES) Nr. 2017/565, ar ko papildina Eiropas Parlamenta un Padomes direktīvu 2014/65/ES attiecībā uz ieguldījumu brokeru sabiedrību organizatoriskām prasībām un darbības nosacījumiem un jēdzienu definīcijām minētās direktīvas mērķiem</w:t>
            </w:r>
            <w:r w:rsidR="00292F88" w:rsidRPr="00292F88">
              <w:rPr>
                <w:rFonts w:ascii="Times New Roman" w:hAnsi="Times New Roman" w:cs="Times New Roman"/>
                <w:bCs/>
                <w:iCs/>
                <w:sz w:val="24"/>
                <w:szCs w:val="24"/>
              </w:rPr>
              <w:t>,</w:t>
            </w:r>
            <w:r w:rsidR="00E53657" w:rsidRPr="00292F88">
              <w:rPr>
                <w:rFonts w:ascii="Times New Roman" w:hAnsi="Times New Roman" w:cs="Times New Roman"/>
                <w:bCs/>
                <w:iCs/>
                <w:sz w:val="24"/>
                <w:szCs w:val="24"/>
              </w:rPr>
              <w:t xml:space="preserve"> attiecībā uz </w:t>
            </w:r>
            <w:r w:rsidR="003529DA" w:rsidRPr="00292F88">
              <w:rPr>
                <w:rFonts w:ascii="Times New Roman" w:hAnsi="Times New Roman" w:cs="Times New Roman"/>
                <w:bCs/>
                <w:iCs/>
                <w:sz w:val="24"/>
                <w:szCs w:val="24"/>
              </w:rPr>
              <w:t xml:space="preserve">tām </w:t>
            </w:r>
            <w:r w:rsidR="00E53657" w:rsidRPr="00292F88">
              <w:rPr>
                <w:rFonts w:ascii="Times New Roman" w:hAnsi="Times New Roman" w:cs="Times New Roman"/>
                <w:bCs/>
                <w:iCs/>
                <w:sz w:val="24"/>
                <w:szCs w:val="24"/>
              </w:rPr>
              <w:t>prasībām, k</w:t>
            </w:r>
            <w:r w:rsidR="003529DA" w:rsidRPr="00292F88">
              <w:rPr>
                <w:rFonts w:ascii="Times New Roman" w:hAnsi="Times New Roman" w:cs="Times New Roman"/>
                <w:bCs/>
                <w:iCs/>
                <w:sz w:val="24"/>
                <w:szCs w:val="24"/>
              </w:rPr>
              <w:t>uras</w:t>
            </w:r>
            <w:r w:rsidR="003529DA">
              <w:rPr>
                <w:rFonts w:ascii="Times New Roman" w:hAnsi="Times New Roman" w:cs="Times New Roman"/>
                <w:bCs/>
                <w:iCs/>
                <w:sz w:val="24"/>
                <w:szCs w:val="24"/>
              </w:rPr>
              <w:t xml:space="preserve"> </w:t>
            </w:r>
            <w:r w:rsidR="00E53657">
              <w:rPr>
                <w:rFonts w:ascii="Times New Roman" w:hAnsi="Times New Roman" w:cs="Times New Roman"/>
                <w:bCs/>
                <w:iCs/>
                <w:sz w:val="24"/>
                <w:szCs w:val="24"/>
              </w:rPr>
              <w:t xml:space="preserve">paralēli </w:t>
            </w:r>
            <w:r w:rsidR="007E7119">
              <w:rPr>
                <w:rFonts w:ascii="Times New Roman" w:hAnsi="Times New Roman" w:cs="Times New Roman"/>
                <w:bCs/>
                <w:iCs/>
                <w:sz w:val="24"/>
                <w:szCs w:val="24"/>
              </w:rPr>
              <w:t xml:space="preserve">noteikumu projektā ietvertajām </w:t>
            </w:r>
            <w:r w:rsidR="00E53657">
              <w:rPr>
                <w:rFonts w:ascii="Times New Roman" w:hAnsi="Times New Roman" w:cs="Times New Roman"/>
                <w:bCs/>
                <w:iCs/>
                <w:sz w:val="24"/>
                <w:szCs w:val="24"/>
              </w:rPr>
              <w:t xml:space="preserve">nosaka arī iepriekšminētā regula. Paskaidrojam, ka </w:t>
            </w:r>
            <w:r w:rsidR="007E7119" w:rsidRPr="007E7119">
              <w:rPr>
                <w:rFonts w:ascii="Times New Roman" w:hAnsi="Times New Roman" w:cs="Times New Roman"/>
                <w:bCs/>
                <w:iCs/>
                <w:sz w:val="24"/>
                <w:szCs w:val="24"/>
              </w:rPr>
              <w:t xml:space="preserve">Finanšu un kapitāla tirgus komisijas </w:t>
            </w:r>
            <w:r w:rsidR="007E7119" w:rsidRPr="007E7119">
              <w:rPr>
                <w:rFonts w:ascii="Times New Roman" w:hAnsi="Times New Roman" w:cs="Times New Roman"/>
                <w:bCs/>
                <w:iCs/>
                <w:sz w:val="24"/>
                <w:szCs w:val="24"/>
              </w:rPr>
              <w:lastRenderedPageBreak/>
              <w:t>2020.</w:t>
            </w:r>
            <w:r w:rsidR="003529DA">
              <w:rPr>
                <w:rFonts w:ascii="Times New Roman" w:hAnsi="Times New Roman" w:cs="Times New Roman"/>
                <w:bCs/>
                <w:iCs/>
                <w:sz w:val="24"/>
                <w:szCs w:val="24"/>
              </w:rPr>
              <w:t> </w:t>
            </w:r>
            <w:r w:rsidR="007E7119" w:rsidRPr="007E7119">
              <w:rPr>
                <w:rFonts w:ascii="Times New Roman" w:hAnsi="Times New Roman" w:cs="Times New Roman"/>
                <w:bCs/>
                <w:iCs/>
                <w:sz w:val="24"/>
                <w:szCs w:val="24"/>
              </w:rPr>
              <w:t>gada 1.</w:t>
            </w:r>
            <w:r w:rsidR="003529DA">
              <w:rPr>
                <w:rFonts w:ascii="Times New Roman" w:hAnsi="Times New Roman" w:cs="Times New Roman"/>
                <w:bCs/>
                <w:iCs/>
                <w:sz w:val="24"/>
                <w:szCs w:val="24"/>
              </w:rPr>
              <w:t> </w:t>
            </w:r>
            <w:r w:rsidR="007E7119" w:rsidRPr="007E7119">
              <w:rPr>
                <w:rFonts w:ascii="Times New Roman" w:hAnsi="Times New Roman" w:cs="Times New Roman"/>
                <w:bCs/>
                <w:iCs/>
                <w:sz w:val="24"/>
                <w:szCs w:val="24"/>
              </w:rPr>
              <w:t>decembra normatīv</w:t>
            </w:r>
            <w:r w:rsidR="007E7119">
              <w:rPr>
                <w:rFonts w:ascii="Times New Roman" w:hAnsi="Times New Roman" w:cs="Times New Roman"/>
                <w:bCs/>
                <w:iCs/>
                <w:sz w:val="24"/>
                <w:szCs w:val="24"/>
              </w:rPr>
              <w:t xml:space="preserve">ie </w:t>
            </w:r>
            <w:r w:rsidR="007E7119" w:rsidRPr="007E7119">
              <w:rPr>
                <w:rFonts w:ascii="Times New Roman" w:hAnsi="Times New Roman" w:cs="Times New Roman"/>
                <w:bCs/>
                <w:iCs/>
                <w:sz w:val="24"/>
                <w:szCs w:val="24"/>
              </w:rPr>
              <w:t>noteikum</w:t>
            </w:r>
            <w:r w:rsidR="007E7119">
              <w:rPr>
                <w:rFonts w:ascii="Times New Roman" w:hAnsi="Times New Roman" w:cs="Times New Roman"/>
                <w:bCs/>
                <w:iCs/>
                <w:sz w:val="24"/>
                <w:szCs w:val="24"/>
              </w:rPr>
              <w:t xml:space="preserve">i </w:t>
            </w:r>
            <w:r w:rsidR="007E7119" w:rsidRPr="007E7119">
              <w:rPr>
                <w:rFonts w:ascii="Times New Roman" w:hAnsi="Times New Roman" w:cs="Times New Roman"/>
                <w:bCs/>
                <w:iCs/>
                <w:sz w:val="24"/>
                <w:szCs w:val="24"/>
              </w:rPr>
              <w:t>Nr.</w:t>
            </w:r>
            <w:r w:rsidR="003529DA">
              <w:rPr>
                <w:rFonts w:ascii="Times New Roman" w:hAnsi="Times New Roman" w:cs="Times New Roman"/>
                <w:bCs/>
                <w:iCs/>
                <w:sz w:val="24"/>
                <w:szCs w:val="24"/>
              </w:rPr>
              <w:t> </w:t>
            </w:r>
            <w:r w:rsidR="007E7119" w:rsidRPr="007E7119">
              <w:rPr>
                <w:rFonts w:ascii="Times New Roman" w:hAnsi="Times New Roman" w:cs="Times New Roman"/>
                <w:bCs/>
                <w:iCs/>
                <w:sz w:val="24"/>
                <w:szCs w:val="24"/>
              </w:rPr>
              <w:t xml:space="preserve">227 </w:t>
            </w:r>
            <w:r w:rsidR="005541EE">
              <w:rPr>
                <w:rFonts w:ascii="Times New Roman" w:hAnsi="Times New Roman" w:cs="Times New Roman"/>
                <w:bCs/>
                <w:iCs/>
                <w:sz w:val="24"/>
                <w:szCs w:val="24"/>
              </w:rPr>
              <w:t>"</w:t>
            </w:r>
            <w:r w:rsidR="007E7119" w:rsidRPr="007E7119">
              <w:rPr>
                <w:rFonts w:ascii="Times New Roman" w:hAnsi="Times New Roman" w:cs="Times New Roman"/>
                <w:bCs/>
                <w:iCs/>
                <w:sz w:val="24"/>
                <w:szCs w:val="24"/>
              </w:rPr>
              <w:t>Iekšējās kontroles sistēmas izveides normatīvie noteikumi</w:t>
            </w:r>
            <w:r w:rsidR="005541EE">
              <w:rPr>
                <w:rFonts w:ascii="Times New Roman" w:hAnsi="Times New Roman" w:cs="Times New Roman"/>
                <w:bCs/>
                <w:iCs/>
                <w:sz w:val="24"/>
                <w:szCs w:val="24"/>
              </w:rPr>
              <w:t>"</w:t>
            </w:r>
            <w:r w:rsidR="007E7119" w:rsidRPr="007E7119">
              <w:rPr>
                <w:rFonts w:ascii="Times New Roman" w:hAnsi="Times New Roman" w:cs="Times New Roman"/>
                <w:bCs/>
                <w:iCs/>
                <w:sz w:val="24"/>
                <w:szCs w:val="24"/>
              </w:rPr>
              <w:t xml:space="preserve"> (turpmāk – Noteikumi Nr.</w:t>
            </w:r>
            <w:r w:rsidR="003529DA">
              <w:rPr>
                <w:rFonts w:ascii="Times New Roman" w:hAnsi="Times New Roman" w:cs="Times New Roman"/>
                <w:bCs/>
                <w:iCs/>
                <w:sz w:val="24"/>
                <w:szCs w:val="24"/>
              </w:rPr>
              <w:t> </w:t>
            </w:r>
            <w:r w:rsidR="007E7119" w:rsidRPr="007E7119">
              <w:rPr>
                <w:rFonts w:ascii="Times New Roman" w:hAnsi="Times New Roman" w:cs="Times New Roman"/>
                <w:bCs/>
                <w:iCs/>
                <w:sz w:val="24"/>
                <w:szCs w:val="24"/>
              </w:rPr>
              <w:t>227)</w:t>
            </w:r>
            <w:r w:rsidR="007E7119">
              <w:rPr>
                <w:rFonts w:ascii="Times New Roman" w:hAnsi="Times New Roman" w:cs="Times New Roman"/>
                <w:bCs/>
                <w:iCs/>
                <w:sz w:val="24"/>
                <w:szCs w:val="24"/>
              </w:rPr>
              <w:t xml:space="preserve"> </w:t>
            </w:r>
            <w:r w:rsidR="00E53657">
              <w:rPr>
                <w:rFonts w:ascii="Times New Roman" w:hAnsi="Times New Roman" w:cs="Times New Roman"/>
                <w:bCs/>
                <w:iCs/>
                <w:sz w:val="24"/>
                <w:szCs w:val="24"/>
              </w:rPr>
              <w:t>ir sai</w:t>
            </w:r>
            <w:r w:rsidR="00392A99">
              <w:rPr>
                <w:rFonts w:ascii="Times New Roman" w:hAnsi="Times New Roman" w:cs="Times New Roman"/>
                <w:bCs/>
                <w:iCs/>
                <w:sz w:val="24"/>
                <w:szCs w:val="24"/>
              </w:rPr>
              <w:t>s</w:t>
            </w:r>
            <w:r w:rsidR="00E53657">
              <w:rPr>
                <w:rFonts w:ascii="Times New Roman" w:hAnsi="Times New Roman" w:cs="Times New Roman"/>
                <w:bCs/>
                <w:iCs/>
                <w:sz w:val="24"/>
                <w:szCs w:val="24"/>
              </w:rPr>
              <w:t>toši kredītiestādēm un deleģējums to izdošana</w:t>
            </w:r>
            <w:r w:rsidR="002C2EB1">
              <w:rPr>
                <w:rFonts w:ascii="Times New Roman" w:hAnsi="Times New Roman" w:cs="Times New Roman"/>
                <w:bCs/>
                <w:iCs/>
                <w:sz w:val="24"/>
                <w:szCs w:val="24"/>
              </w:rPr>
              <w:t>i</w:t>
            </w:r>
            <w:r w:rsidR="00E53657">
              <w:rPr>
                <w:rFonts w:ascii="Times New Roman" w:hAnsi="Times New Roman" w:cs="Times New Roman"/>
                <w:bCs/>
                <w:iCs/>
                <w:sz w:val="24"/>
                <w:szCs w:val="24"/>
              </w:rPr>
              <w:t xml:space="preserve"> ir ietverts Kredītiestāžu likum</w:t>
            </w:r>
            <w:r w:rsidR="007E7119">
              <w:rPr>
                <w:rFonts w:ascii="Times New Roman" w:hAnsi="Times New Roman" w:cs="Times New Roman"/>
                <w:bCs/>
                <w:iCs/>
                <w:sz w:val="24"/>
                <w:szCs w:val="24"/>
              </w:rPr>
              <w:t xml:space="preserve">a </w:t>
            </w:r>
            <w:r w:rsidR="007E7119" w:rsidRPr="007E7119">
              <w:rPr>
                <w:rFonts w:ascii="Times New Roman" w:hAnsi="Times New Roman" w:cs="Times New Roman"/>
                <w:bCs/>
                <w:iCs/>
                <w:sz w:val="24"/>
                <w:szCs w:val="24"/>
              </w:rPr>
              <w:t>34.</w:t>
            </w:r>
            <w:r w:rsidR="007E7119" w:rsidRPr="003529DA">
              <w:rPr>
                <w:rFonts w:ascii="Times New Roman" w:hAnsi="Times New Roman" w:cs="Times New Roman"/>
                <w:bCs/>
                <w:iCs/>
                <w:sz w:val="24"/>
                <w:szCs w:val="24"/>
                <w:vertAlign w:val="superscript"/>
              </w:rPr>
              <w:t>1</w:t>
            </w:r>
            <w:r w:rsidR="003529DA">
              <w:rPr>
                <w:rFonts w:ascii="Times New Roman" w:hAnsi="Times New Roman" w:cs="Times New Roman"/>
                <w:bCs/>
                <w:iCs/>
                <w:sz w:val="24"/>
                <w:szCs w:val="24"/>
                <w:vertAlign w:val="superscript"/>
              </w:rPr>
              <w:t> </w:t>
            </w:r>
            <w:r w:rsidR="007E7119" w:rsidRPr="007E7119">
              <w:rPr>
                <w:rFonts w:ascii="Times New Roman" w:hAnsi="Times New Roman" w:cs="Times New Roman"/>
                <w:bCs/>
                <w:iCs/>
                <w:sz w:val="24"/>
                <w:szCs w:val="24"/>
              </w:rPr>
              <w:t>panta otr</w:t>
            </w:r>
            <w:r w:rsidR="007E7119">
              <w:rPr>
                <w:rFonts w:ascii="Times New Roman" w:hAnsi="Times New Roman" w:cs="Times New Roman"/>
                <w:bCs/>
                <w:iCs/>
                <w:sz w:val="24"/>
                <w:szCs w:val="24"/>
              </w:rPr>
              <w:t xml:space="preserve">ajā </w:t>
            </w:r>
            <w:r w:rsidR="007E7119" w:rsidRPr="007E7119">
              <w:rPr>
                <w:rFonts w:ascii="Times New Roman" w:hAnsi="Times New Roman" w:cs="Times New Roman"/>
                <w:bCs/>
                <w:iCs/>
                <w:sz w:val="24"/>
                <w:szCs w:val="24"/>
              </w:rPr>
              <w:t>daļ</w:t>
            </w:r>
            <w:r w:rsidR="00E53657">
              <w:rPr>
                <w:rFonts w:ascii="Times New Roman" w:hAnsi="Times New Roman" w:cs="Times New Roman"/>
                <w:bCs/>
                <w:iCs/>
                <w:sz w:val="24"/>
                <w:szCs w:val="24"/>
              </w:rPr>
              <w:t>ā. Savukārt ieguldījumu brokeru sabiedrībām saistošu pārvaldības sistēmas noteikumu</w:t>
            </w:r>
            <w:r w:rsidR="00612AFC">
              <w:rPr>
                <w:rFonts w:ascii="Times New Roman" w:hAnsi="Times New Roman" w:cs="Times New Roman"/>
                <w:bCs/>
                <w:iCs/>
                <w:sz w:val="24"/>
                <w:szCs w:val="24"/>
              </w:rPr>
              <w:t xml:space="preserve"> izdošanu nosaka Ieguldījumu brokeru sabiedrību likumā ietvertais deleģējums. Papildus tam noteikumu projektā ietvertas prasības, kas izriet no </w:t>
            </w:r>
            <w:r w:rsidR="00612AFC" w:rsidRPr="00612AFC">
              <w:rPr>
                <w:rFonts w:ascii="Times New Roman" w:hAnsi="Times New Roman" w:cs="Times New Roman"/>
                <w:bCs/>
                <w:iCs/>
                <w:sz w:val="24"/>
                <w:szCs w:val="24"/>
              </w:rPr>
              <w:t>Eiropas Banku iestādes 2021.</w:t>
            </w:r>
            <w:r w:rsidR="00292F88">
              <w:rPr>
                <w:rFonts w:ascii="Times New Roman" w:hAnsi="Times New Roman" w:cs="Times New Roman"/>
                <w:bCs/>
                <w:iCs/>
                <w:sz w:val="24"/>
                <w:szCs w:val="24"/>
              </w:rPr>
              <w:t> </w:t>
            </w:r>
            <w:r w:rsidR="00612AFC" w:rsidRPr="00612AFC">
              <w:rPr>
                <w:rFonts w:ascii="Times New Roman" w:hAnsi="Times New Roman" w:cs="Times New Roman"/>
                <w:bCs/>
                <w:iCs/>
                <w:sz w:val="24"/>
                <w:szCs w:val="24"/>
              </w:rPr>
              <w:t>gada 22.</w:t>
            </w:r>
            <w:r w:rsidR="00292F88">
              <w:rPr>
                <w:rFonts w:ascii="Times New Roman" w:hAnsi="Times New Roman" w:cs="Times New Roman"/>
                <w:bCs/>
                <w:iCs/>
                <w:sz w:val="24"/>
                <w:szCs w:val="24"/>
              </w:rPr>
              <w:t> </w:t>
            </w:r>
            <w:r w:rsidR="00612AFC" w:rsidRPr="00612AFC">
              <w:rPr>
                <w:rFonts w:ascii="Times New Roman" w:hAnsi="Times New Roman" w:cs="Times New Roman"/>
                <w:bCs/>
                <w:iCs/>
                <w:sz w:val="24"/>
                <w:szCs w:val="24"/>
              </w:rPr>
              <w:t>novembra pamatnostādn</w:t>
            </w:r>
            <w:r w:rsidR="00916DB8">
              <w:rPr>
                <w:rFonts w:ascii="Times New Roman" w:hAnsi="Times New Roman" w:cs="Times New Roman"/>
                <w:bCs/>
                <w:iCs/>
                <w:sz w:val="24"/>
                <w:szCs w:val="24"/>
              </w:rPr>
              <w:t>ēm</w:t>
            </w:r>
            <w:r>
              <w:rPr>
                <w:rFonts w:ascii="Times New Roman" w:hAnsi="Times New Roman" w:cs="Times New Roman"/>
                <w:bCs/>
                <w:iCs/>
                <w:sz w:val="24"/>
                <w:szCs w:val="24"/>
              </w:rPr>
              <w:t> </w:t>
            </w:r>
            <w:r w:rsidR="00612AFC" w:rsidRPr="00612AFC">
              <w:rPr>
                <w:rFonts w:ascii="Times New Roman" w:hAnsi="Times New Roman" w:cs="Times New Roman"/>
                <w:bCs/>
                <w:iCs/>
                <w:sz w:val="24"/>
                <w:szCs w:val="24"/>
              </w:rPr>
              <w:t>Nr.</w:t>
            </w:r>
            <w:r>
              <w:rPr>
                <w:rFonts w:ascii="Times New Roman" w:hAnsi="Times New Roman" w:cs="Times New Roman"/>
                <w:bCs/>
                <w:iCs/>
                <w:sz w:val="24"/>
                <w:szCs w:val="24"/>
              </w:rPr>
              <w:t> </w:t>
            </w:r>
            <w:r w:rsidR="00612AFC" w:rsidRPr="00612AFC">
              <w:rPr>
                <w:rFonts w:ascii="Times New Roman" w:hAnsi="Times New Roman" w:cs="Times New Roman"/>
                <w:bCs/>
                <w:iCs/>
                <w:sz w:val="24"/>
                <w:szCs w:val="24"/>
              </w:rPr>
              <w:t xml:space="preserve">EBA/GL/2021/14 </w:t>
            </w:r>
            <w:r w:rsidR="005541EE">
              <w:rPr>
                <w:rFonts w:ascii="Times New Roman" w:hAnsi="Times New Roman" w:cs="Times New Roman"/>
                <w:bCs/>
                <w:iCs/>
                <w:sz w:val="24"/>
                <w:szCs w:val="24"/>
              </w:rPr>
              <w:t>"</w:t>
            </w:r>
            <w:r w:rsidR="00612AFC" w:rsidRPr="00612AFC">
              <w:rPr>
                <w:rFonts w:ascii="Times New Roman" w:hAnsi="Times New Roman" w:cs="Times New Roman"/>
                <w:bCs/>
                <w:iCs/>
                <w:sz w:val="24"/>
                <w:szCs w:val="24"/>
              </w:rPr>
              <w:t>Pamatnostādnes par iekšējo pārvaldību saskaņā ar Direktīvu (ES)</w:t>
            </w:r>
            <w:r w:rsidR="0067587D">
              <w:rPr>
                <w:rFonts w:ascii="Times New Roman" w:hAnsi="Times New Roman" w:cs="Times New Roman"/>
                <w:bCs/>
                <w:iCs/>
                <w:sz w:val="24"/>
                <w:szCs w:val="24"/>
              </w:rPr>
              <w:t> </w:t>
            </w:r>
            <w:r w:rsidR="00612AFC" w:rsidRPr="00612AFC">
              <w:rPr>
                <w:rFonts w:ascii="Times New Roman" w:hAnsi="Times New Roman" w:cs="Times New Roman"/>
                <w:bCs/>
                <w:iCs/>
                <w:sz w:val="24"/>
                <w:szCs w:val="24"/>
              </w:rPr>
              <w:t>2019/2034</w:t>
            </w:r>
            <w:r w:rsidR="005541EE">
              <w:rPr>
                <w:rFonts w:ascii="Times New Roman" w:hAnsi="Times New Roman" w:cs="Times New Roman"/>
                <w:bCs/>
                <w:iCs/>
                <w:sz w:val="24"/>
                <w:szCs w:val="24"/>
              </w:rPr>
              <w:t>"</w:t>
            </w:r>
            <w:r>
              <w:rPr>
                <w:rFonts w:ascii="Times New Roman" w:hAnsi="Times New Roman" w:cs="Times New Roman"/>
                <w:bCs/>
                <w:iCs/>
                <w:sz w:val="24"/>
                <w:szCs w:val="24"/>
              </w:rPr>
              <w:t xml:space="preserve"> (turpmāk – EBA</w:t>
            </w:r>
            <w:r w:rsidR="0067587D">
              <w:rPr>
                <w:rFonts w:ascii="Times New Roman" w:hAnsi="Times New Roman" w:cs="Times New Roman"/>
                <w:bCs/>
                <w:iCs/>
                <w:sz w:val="24"/>
                <w:szCs w:val="24"/>
              </w:rPr>
              <w:t xml:space="preserve"> </w:t>
            </w:r>
            <w:r>
              <w:rPr>
                <w:rFonts w:ascii="Times New Roman" w:hAnsi="Times New Roman" w:cs="Times New Roman"/>
                <w:bCs/>
                <w:iCs/>
                <w:sz w:val="24"/>
                <w:szCs w:val="24"/>
              </w:rPr>
              <w:t>pamatnostādnes </w:t>
            </w:r>
            <w:r w:rsidRPr="000008A7">
              <w:rPr>
                <w:rFonts w:ascii="Times New Roman" w:hAnsi="Times New Roman" w:cs="Times New Roman"/>
                <w:bCs/>
                <w:iCs/>
                <w:sz w:val="24"/>
                <w:szCs w:val="24"/>
              </w:rPr>
              <w:t>EBA/GL/2021/14</w:t>
            </w:r>
            <w:r>
              <w:rPr>
                <w:rFonts w:ascii="Times New Roman" w:hAnsi="Times New Roman" w:cs="Times New Roman"/>
                <w:bCs/>
                <w:iCs/>
                <w:sz w:val="24"/>
                <w:szCs w:val="24"/>
              </w:rPr>
              <w:t>).</w:t>
            </w:r>
          </w:p>
          <w:p w14:paraId="523B9C93" w14:textId="063A932B" w:rsidR="00612AFC" w:rsidRPr="00E53657" w:rsidRDefault="000008A7" w:rsidP="00E06104">
            <w:pPr>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Paskaidrojam, ka </w:t>
            </w:r>
            <w:r w:rsidR="00916DB8">
              <w:rPr>
                <w:rFonts w:ascii="Times New Roman" w:hAnsi="Times New Roman" w:cs="Times New Roman"/>
                <w:bCs/>
                <w:iCs/>
                <w:sz w:val="24"/>
                <w:szCs w:val="24"/>
              </w:rPr>
              <w:t xml:space="preserve">jēdziens </w:t>
            </w:r>
            <w:r w:rsidR="005541EE">
              <w:rPr>
                <w:rFonts w:ascii="Times New Roman" w:hAnsi="Times New Roman" w:cs="Times New Roman"/>
                <w:bCs/>
                <w:iCs/>
                <w:sz w:val="24"/>
                <w:szCs w:val="24"/>
              </w:rPr>
              <w:t>"</w:t>
            </w:r>
            <w:r w:rsidR="00612AFC">
              <w:rPr>
                <w:rFonts w:ascii="Times New Roman" w:hAnsi="Times New Roman" w:cs="Times New Roman"/>
                <w:bCs/>
                <w:iCs/>
                <w:sz w:val="24"/>
                <w:szCs w:val="24"/>
              </w:rPr>
              <w:t>efektīvi</w:t>
            </w:r>
            <w:r w:rsidR="005541EE">
              <w:rPr>
                <w:rFonts w:ascii="Times New Roman" w:hAnsi="Times New Roman" w:cs="Times New Roman"/>
                <w:bCs/>
                <w:iCs/>
                <w:sz w:val="24"/>
                <w:szCs w:val="24"/>
              </w:rPr>
              <w:t>"</w:t>
            </w:r>
            <w:r w:rsidR="00916DB8">
              <w:rPr>
                <w:rFonts w:ascii="Times New Roman" w:hAnsi="Times New Roman" w:cs="Times New Roman"/>
                <w:bCs/>
                <w:iCs/>
                <w:sz w:val="24"/>
                <w:szCs w:val="24"/>
              </w:rPr>
              <w:t xml:space="preserve"> ir plaši lietots</w:t>
            </w:r>
            <w:r>
              <w:rPr>
                <w:rFonts w:ascii="Times New Roman" w:hAnsi="Times New Roman" w:cs="Times New Roman"/>
                <w:bCs/>
                <w:iCs/>
                <w:sz w:val="24"/>
                <w:szCs w:val="24"/>
              </w:rPr>
              <w:t xml:space="preserve"> EBA pamatnostādnēs </w:t>
            </w:r>
            <w:r w:rsidRPr="000008A7">
              <w:rPr>
                <w:rFonts w:ascii="Times New Roman" w:hAnsi="Times New Roman" w:cs="Times New Roman"/>
                <w:bCs/>
                <w:iCs/>
                <w:sz w:val="24"/>
                <w:szCs w:val="24"/>
              </w:rPr>
              <w:t>EBA/GL/2021/14</w:t>
            </w:r>
            <w:r>
              <w:rPr>
                <w:rFonts w:ascii="Times New Roman" w:hAnsi="Times New Roman" w:cs="Times New Roman"/>
                <w:bCs/>
                <w:iCs/>
                <w:sz w:val="24"/>
                <w:szCs w:val="24"/>
              </w:rPr>
              <w:t xml:space="preserve">. Ņemot vērā to, ka </w:t>
            </w:r>
            <w:r w:rsidR="002C06A6">
              <w:rPr>
                <w:rFonts w:ascii="Times New Roman" w:hAnsi="Times New Roman" w:cs="Times New Roman"/>
                <w:bCs/>
                <w:iCs/>
                <w:sz w:val="24"/>
                <w:szCs w:val="24"/>
              </w:rPr>
              <w:t>noteikumu projektā tiek pārņemtas šajās pamatnostādnēs ietvertās prasības</w:t>
            </w:r>
            <w:r w:rsidR="00870327">
              <w:rPr>
                <w:rFonts w:ascii="Times New Roman" w:hAnsi="Times New Roman" w:cs="Times New Roman"/>
                <w:bCs/>
                <w:iCs/>
                <w:sz w:val="24"/>
                <w:szCs w:val="24"/>
              </w:rPr>
              <w:t xml:space="preserve">, </w:t>
            </w:r>
            <w:r w:rsidR="002C06A6">
              <w:rPr>
                <w:rFonts w:ascii="Times New Roman" w:hAnsi="Times New Roman" w:cs="Times New Roman"/>
                <w:bCs/>
                <w:iCs/>
                <w:sz w:val="24"/>
                <w:szCs w:val="24"/>
              </w:rPr>
              <w:t xml:space="preserve">arī noteikumu projektā lietots jēdziens </w:t>
            </w:r>
            <w:r w:rsidR="005541EE">
              <w:rPr>
                <w:rFonts w:ascii="Times New Roman" w:hAnsi="Times New Roman" w:cs="Times New Roman"/>
                <w:bCs/>
                <w:iCs/>
                <w:sz w:val="24"/>
                <w:szCs w:val="24"/>
              </w:rPr>
              <w:t>"</w:t>
            </w:r>
            <w:r w:rsidR="002C06A6">
              <w:rPr>
                <w:rFonts w:ascii="Times New Roman" w:hAnsi="Times New Roman" w:cs="Times New Roman"/>
                <w:bCs/>
                <w:iCs/>
                <w:sz w:val="24"/>
                <w:szCs w:val="24"/>
              </w:rPr>
              <w:t>efektīvi</w:t>
            </w:r>
            <w:r w:rsidR="005541EE">
              <w:rPr>
                <w:rFonts w:ascii="Times New Roman" w:hAnsi="Times New Roman" w:cs="Times New Roman"/>
                <w:bCs/>
                <w:iCs/>
                <w:sz w:val="24"/>
                <w:szCs w:val="24"/>
              </w:rPr>
              <w:t>"</w:t>
            </w:r>
            <w:r w:rsidR="002C06A6">
              <w:rPr>
                <w:rFonts w:ascii="Times New Roman" w:hAnsi="Times New Roman" w:cs="Times New Roman"/>
                <w:bCs/>
                <w:iCs/>
                <w:sz w:val="24"/>
                <w:szCs w:val="24"/>
              </w:rPr>
              <w:t xml:space="preserve">, </w:t>
            </w:r>
            <w:r w:rsidR="00E5326A">
              <w:rPr>
                <w:rFonts w:ascii="Times New Roman" w:hAnsi="Times New Roman" w:cs="Times New Roman"/>
                <w:bCs/>
                <w:iCs/>
                <w:sz w:val="24"/>
                <w:szCs w:val="24"/>
              </w:rPr>
              <w:t xml:space="preserve">kas </w:t>
            </w:r>
            <w:r w:rsidR="002C06A6" w:rsidRPr="002C06A6">
              <w:rPr>
                <w:rFonts w:ascii="Times New Roman" w:hAnsi="Times New Roman" w:cs="Times New Roman"/>
                <w:bCs/>
                <w:iCs/>
                <w:sz w:val="24"/>
                <w:szCs w:val="24"/>
              </w:rPr>
              <w:t>raksturo</w:t>
            </w:r>
            <w:r w:rsidR="002C06A6">
              <w:rPr>
                <w:rFonts w:ascii="Times New Roman" w:hAnsi="Times New Roman" w:cs="Times New Roman"/>
                <w:bCs/>
                <w:iCs/>
                <w:sz w:val="24"/>
                <w:szCs w:val="24"/>
              </w:rPr>
              <w:t xml:space="preserve"> sabiedrības </w:t>
            </w:r>
            <w:r w:rsidR="002C06A6" w:rsidRPr="002C06A6">
              <w:rPr>
                <w:rFonts w:ascii="Times New Roman" w:hAnsi="Times New Roman" w:cs="Times New Roman"/>
                <w:bCs/>
                <w:iCs/>
                <w:sz w:val="24"/>
                <w:szCs w:val="24"/>
              </w:rPr>
              <w:t>labu pārvaldību</w:t>
            </w:r>
            <w:r w:rsidR="002C06A6">
              <w:rPr>
                <w:rFonts w:ascii="Times New Roman" w:hAnsi="Times New Roman" w:cs="Times New Roman"/>
                <w:bCs/>
                <w:iCs/>
                <w:sz w:val="24"/>
                <w:szCs w:val="24"/>
              </w:rPr>
              <w:t xml:space="preserve"> un </w:t>
            </w:r>
            <w:r w:rsidR="002C06A6" w:rsidRPr="002C06A6">
              <w:rPr>
                <w:rFonts w:ascii="Times New Roman" w:hAnsi="Times New Roman" w:cs="Times New Roman"/>
                <w:bCs/>
                <w:iCs/>
                <w:sz w:val="24"/>
                <w:szCs w:val="24"/>
              </w:rPr>
              <w:t xml:space="preserve">spēju </w:t>
            </w:r>
            <w:r w:rsidR="002C06A6">
              <w:rPr>
                <w:rFonts w:ascii="Times New Roman" w:hAnsi="Times New Roman" w:cs="Times New Roman"/>
                <w:bCs/>
                <w:iCs/>
                <w:sz w:val="24"/>
                <w:szCs w:val="24"/>
              </w:rPr>
              <w:t>nodrošināt atbilstošu rezultātu sasniegšanu</w:t>
            </w:r>
            <w:r w:rsidR="00E5326A">
              <w:rPr>
                <w:rFonts w:ascii="Times New Roman" w:hAnsi="Times New Roman" w:cs="Times New Roman"/>
                <w:bCs/>
                <w:iCs/>
                <w:sz w:val="24"/>
                <w:szCs w:val="24"/>
              </w:rPr>
              <w:t>.</w:t>
            </w:r>
          </w:p>
        </w:tc>
      </w:tr>
    </w:tbl>
    <w:p w14:paraId="54A07BC7" w14:textId="77777777" w:rsidR="00392A99" w:rsidRDefault="00392A99">
      <w:r>
        <w:lastRenderedPageBreak/>
        <w:br w:type="page"/>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3779"/>
        <w:gridCol w:w="4192"/>
        <w:gridCol w:w="5389"/>
      </w:tblGrid>
      <w:tr w:rsidR="004C0B4B" w:rsidRPr="0056522A" w14:paraId="3F1161E9" w14:textId="77777777" w:rsidTr="00935455">
        <w:tc>
          <w:tcPr>
            <w:tcW w:w="0" w:type="auto"/>
            <w:tcBorders>
              <w:top w:val="single" w:sz="4" w:space="0" w:color="auto"/>
              <w:left w:val="single" w:sz="4" w:space="0" w:color="auto"/>
              <w:bottom w:val="single" w:sz="4" w:space="0" w:color="auto"/>
              <w:right w:val="single" w:sz="4" w:space="0" w:color="auto"/>
            </w:tcBorders>
          </w:tcPr>
          <w:p w14:paraId="49B85891" w14:textId="26FD0B1F" w:rsidR="004C0B4B" w:rsidRPr="0056522A" w:rsidRDefault="00E4143F" w:rsidP="0056522A">
            <w:pPr>
              <w:spacing w:after="120" w:line="240" w:lineRule="auto"/>
              <w:ind w:left="720"/>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3779" w:type="dxa"/>
            <w:tcBorders>
              <w:top w:val="single" w:sz="4" w:space="0" w:color="auto"/>
              <w:left w:val="single" w:sz="4" w:space="0" w:color="auto"/>
              <w:bottom w:val="single" w:sz="4" w:space="0" w:color="auto"/>
              <w:right w:val="single" w:sz="4" w:space="0" w:color="auto"/>
            </w:tcBorders>
            <w:shd w:val="clear" w:color="auto" w:fill="auto"/>
          </w:tcPr>
          <w:p w14:paraId="402A7EF5" w14:textId="2918F9DA" w:rsidR="004C0B4B" w:rsidRPr="00E53657" w:rsidRDefault="00E53657" w:rsidP="00935455">
            <w:pPr>
              <w:tabs>
                <w:tab w:val="left" w:pos="310"/>
                <w:tab w:val="left" w:pos="471"/>
              </w:tabs>
              <w:spacing w:after="120" w:line="240" w:lineRule="auto"/>
              <w:jc w:val="both"/>
              <w:rPr>
                <w:rFonts w:ascii="Times New Roman" w:hAnsi="Times New Roman" w:cs="Times New Roman"/>
                <w:bCs/>
                <w:sz w:val="24"/>
                <w:szCs w:val="24"/>
              </w:rPr>
            </w:pPr>
            <w:r w:rsidRPr="00E53657">
              <w:rPr>
                <w:rFonts w:ascii="Times New Roman" w:hAnsi="Times New Roman" w:cs="Times New Roman"/>
                <w:bCs/>
                <w:sz w:val="24"/>
                <w:szCs w:val="24"/>
              </w:rPr>
              <w:t>6.</w:t>
            </w:r>
            <w:r w:rsidRPr="00E53657">
              <w:rPr>
                <w:rFonts w:ascii="Times New Roman" w:hAnsi="Times New Roman" w:cs="Times New Roman"/>
                <w:bCs/>
                <w:sz w:val="24"/>
                <w:szCs w:val="24"/>
              </w:rPr>
              <w:tab/>
              <w:t xml:space="preserve">Sabiedrība pārvaldības sistēmu organizē tā, lai sabiedrības vadībai būtu pamatota pārliecība, ka sabiedrības aktīvi ir nodrošināti pret zaudējumiem un nesankcionētu valdīšanu un lietošanu, sabiedrības darbības riski tiek pastāvīgi identificēti, novērtēti, analizēti un pārraudzīti, sabiedrības kapitāls apmēra, elementu un to īpatsvara ziņā ir pietiekams sabiedrības darbībai piemītošo un varbūtējo risku segšanai, darījumi notiek saskaņā ar sabiedrībā noteikto kārtību, sabiedrība darbojas </w:t>
            </w:r>
            <w:r w:rsidRPr="00870327">
              <w:rPr>
                <w:rFonts w:ascii="Times New Roman" w:hAnsi="Times New Roman" w:cs="Times New Roman"/>
                <w:bCs/>
                <w:sz w:val="24"/>
                <w:szCs w:val="24"/>
              </w:rPr>
              <w:t>saprātīgi, piesardzīgi un efektīvi,</w:t>
            </w:r>
            <w:r w:rsidRPr="0073454A">
              <w:rPr>
                <w:rFonts w:ascii="Times New Roman" w:hAnsi="Times New Roman" w:cs="Times New Roman"/>
                <w:bCs/>
                <w:sz w:val="24"/>
                <w:szCs w:val="24"/>
              </w:rPr>
              <w:t xml:space="preserve"> pilnībā</w:t>
            </w:r>
            <w:r w:rsidRPr="00E53657">
              <w:rPr>
                <w:rFonts w:ascii="Times New Roman" w:hAnsi="Times New Roman" w:cs="Times New Roman"/>
                <w:bCs/>
                <w:sz w:val="24"/>
                <w:szCs w:val="24"/>
              </w:rPr>
              <w:t xml:space="preserve"> ievērojot likumu un citu tiesību aktu prasības.</w:t>
            </w:r>
          </w:p>
        </w:tc>
        <w:tc>
          <w:tcPr>
            <w:tcW w:w="4192" w:type="dxa"/>
            <w:tcBorders>
              <w:top w:val="single" w:sz="4" w:space="0" w:color="auto"/>
              <w:left w:val="single" w:sz="4" w:space="0" w:color="auto"/>
              <w:bottom w:val="single" w:sz="4" w:space="0" w:color="auto"/>
              <w:right w:val="single" w:sz="4" w:space="0" w:color="auto"/>
            </w:tcBorders>
            <w:shd w:val="clear" w:color="auto" w:fill="auto"/>
          </w:tcPr>
          <w:p w14:paraId="15AA24F3" w14:textId="4722654C" w:rsidR="004C0B4B" w:rsidRDefault="0067587D" w:rsidP="00E06104">
            <w:pPr>
              <w:spacing w:after="120" w:line="240" w:lineRule="auto"/>
              <w:rPr>
                <w:rFonts w:ascii="Times New Roman" w:hAnsi="Times New Roman" w:cs="Times New Roman"/>
                <w:b/>
                <w:bCs/>
                <w:sz w:val="24"/>
                <w:szCs w:val="24"/>
              </w:rPr>
            </w:pPr>
            <w:r>
              <w:rPr>
                <w:rFonts w:ascii="Times New Roman" w:hAnsi="Times New Roman" w:cs="Times New Roman"/>
                <w:b/>
                <w:bCs/>
                <w:sz w:val="24"/>
                <w:szCs w:val="24"/>
              </w:rPr>
              <w:t>AS </w:t>
            </w:r>
            <w:proofErr w:type="spellStart"/>
            <w:r w:rsidR="00E4143F" w:rsidRPr="00E4143F">
              <w:rPr>
                <w:rFonts w:ascii="Times New Roman" w:hAnsi="Times New Roman" w:cs="Times New Roman"/>
                <w:b/>
                <w:bCs/>
                <w:sz w:val="24"/>
                <w:szCs w:val="24"/>
              </w:rPr>
              <w:t>Mintos</w:t>
            </w:r>
            <w:proofErr w:type="spellEnd"/>
            <w:r w:rsidR="00E4143F" w:rsidRPr="00E4143F">
              <w:rPr>
                <w:rFonts w:ascii="Times New Roman" w:hAnsi="Times New Roman" w:cs="Times New Roman"/>
                <w:b/>
                <w:bCs/>
                <w:sz w:val="24"/>
                <w:szCs w:val="24"/>
              </w:rPr>
              <w:t xml:space="preserve"> Marketplace</w:t>
            </w:r>
          </w:p>
          <w:p w14:paraId="405A17B8" w14:textId="533AB9C5" w:rsidR="00E4143F" w:rsidRPr="00E4143F" w:rsidRDefault="00E4143F" w:rsidP="00935455">
            <w:pPr>
              <w:numPr>
                <w:ilvl w:val="0"/>
                <w:numId w:val="21"/>
              </w:numPr>
              <w:tabs>
                <w:tab w:val="left" w:pos="310"/>
              </w:tabs>
              <w:spacing w:after="120" w:line="240" w:lineRule="auto"/>
              <w:ind w:left="0"/>
              <w:rPr>
                <w:rFonts w:ascii="Times New Roman" w:hAnsi="Times New Roman" w:cs="Times New Roman"/>
                <w:sz w:val="24"/>
                <w:szCs w:val="24"/>
              </w:rPr>
            </w:pPr>
            <w:r w:rsidRPr="00C56232">
              <w:rPr>
                <w:rFonts w:ascii="Times New Roman" w:hAnsi="Times New Roman" w:cs="Times New Roman"/>
                <w:sz w:val="24"/>
                <w:szCs w:val="24"/>
              </w:rPr>
              <w:t>Noteikumu 6.punkts: </w:t>
            </w:r>
          </w:p>
          <w:p w14:paraId="39554409" w14:textId="08EA747C" w:rsidR="00E4143F" w:rsidRPr="00E4143F" w:rsidRDefault="00E4143F" w:rsidP="00E06104">
            <w:pPr>
              <w:spacing w:after="120" w:line="240" w:lineRule="auto"/>
              <w:jc w:val="both"/>
              <w:rPr>
                <w:rFonts w:ascii="Times New Roman" w:hAnsi="Times New Roman" w:cs="Times New Roman"/>
                <w:sz w:val="24"/>
                <w:szCs w:val="24"/>
              </w:rPr>
            </w:pPr>
            <w:r w:rsidRPr="00C56232">
              <w:rPr>
                <w:rFonts w:ascii="Times New Roman" w:hAnsi="Times New Roman" w:cs="Times New Roman"/>
                <w:sz w:val="24"/>
                <w:szCs w:val="24"/>
              </w:rPr>
              <w:t xml:space="preserve">Aicinām kritiski izvērtēt nepieciešamību lietot frāzi </w:t>
            </w:r>
            <w:r w:rsidR="005541EE">
              <w:rPr>
                <w:rFonts w:ascii="Times New Roman" w:hAnsi="Times New Roman" w:cs="Times New Roman"/>
                <w:sz w:val="24"/>
                <w:szCs w:val="24"/>
              </w:rPr>
              <w:t>"</w:t>
            </w:r>
            <w:r w:rsidRPr="00C56232">
              <w:rPr>
                <w:rFonts w:ascii="Times New Roman" w:hAnsi="Times New Roman" w:cs="Times New Roman"/>
                <w:sz w:val="24"/>
                <w:szCs w:val="24"/>
              </w:rPr>
              <w:t>saprātīgi, piesardzīgi un efektīvi</w:t>
            </w:r>
            <w:r w:rsidR="005541EE">
              <w:rPr>
                <w:rFonts w:ascii="Times New Roman" w:hAnsi="Times New Roman" w:cs="Times New Roman"/>
                <w:sz w:val="24"/>
                <w:szCs w:val="24"/>
              </w:rPr>
              <w:t>"</w:t>
            </w:r>
            <w:r w:rsidRPr="00C56232">
              <w:rPr>
                <w:rFonts w:ascii="Times New Roman" w:hAnsi="Times New Roman" w:cs="Times New Roman"/>
                <w:sz w:val="24"/>
                <w:szCs w:val="24"/>
              </w:rPr>
              <w:t xml:space="preserve"> Noteikumu 6.punktā. Rodas jautājums, kā tieši šie jēdzieni regulējošo prasību kontekstā būtu piepildāmi ar saturu un vai tiešām tiem ir nepieciešams būt iekš šiem Noteikumiem, ņemot vērā jau tā ļoti detalizēto kopējo regulējošo prasību tvērumu, kas jāievēro ieguldījumu brokeru sabiedrībām, kā arī ņemot vērā Komerclikuma prasības, kas izvirza prasības tam, kā valdei ir jārīkojas</w:t>
            </w:r>
            <w:r w:rsidR="009D53BE">
              <w:rPr>
                <w:rFonts w:ascii="Times New Roman" w:hAnsi="Times New Roman" w:cs="Times New Roman"/>
                <w:sz w:val="24"/>
                <w:szCs w:val="24"/>
              </w:rPr>
              <w:t> </w:t>
            </w:r>
            <w:r w:rsidRPr="00C56232">
              <w:rPr>
                <w:rFonts w:ascii="Times New Roman" w:hAnsi="Times New Roman" w:cs="Times New Roman"/>
                <w:sz w:val="24"/>
                <w:szCs w:val="24"/>
              </w:rPr>
              <w:t>- kā krietnam un rūpīgam saimniekam.</w:t>
            </w:r>
          </w:p>
        </w:tc>
        <w:tc>
          <w:tcPr>
            <w:tcW w:w="5389" w:type="dxa"/>
            <w:tcBorders>
              <w:top w:val="single" w:sz="4" w:space="0" w:color="auto"/>
              <w:left w:val="single" w:sz="4" w:space="0" w:color="auto"/>
              <w:bottom w:val="single" w:sz="4" w:space="0" w:color="auto"/>
              <w:right w:val="single" w:sz="4" w:space="0" w:color="auto"/>
            </w:tcBorders>
            <w:shd w:val="clear" w:color="auto" w:fill="auto"/>
          </w:tcPr>
          <w:p w14:paraId="0E74C00C" w14:textId="77777777" w:rsidR="00F432FC" w:rsidRDefault="00F432FC" w:rsidP="00392A99">
            <w:pPr>
              <w:spacing w:after="120" w:line="240" w:lineRule="auto"/>
              <w:rPr>
                <w:rFonts w:ascii="Times New Roman" w:hAnsi="Times New Roman" w:cs="Times New Roman"/>
                <w:b/>
                <w:iCs/>
                <w:sz w:val="24"/>
                <w:szCs w:val="24"/>
              </w:rPr>
            </w:pPr>
            <w:r w:rsidRPr="00F432FC">
              <w:rPr>
                <w:rFonts w:ascii="Times New Roman" w:hAnsi="Times New Roman" w:cs="Times New Roman"/>
                <w:b/>
                <w:iCs/>
                <w:sz w:val="24"/>
                <w:szCs w:val="24"/>
              </w:rPr>
              <w:t>Ņemts vērā.</w:t>
            </w:r>
          </w:p>
          <w:p w14:paraId="03164051" w14:textId="3A593AA6" w:rsidR="00392A99" w:rsidRPr="00935455" w:rsidRDefault="00A21BBF" w:rsidP="00392A99">
            <w:pPr>
              <w:spacing w:before="120" w:after="120" w:line="240" w:lineRule="auto"/>
              <w:jc w:val="both"/>
              <w:rPr>
                <w:rFonts w:ascii="Times New Roman" w:hAnsi="Times New Roman" w:cs="Times New Roman"/>
                <w:bCs/>
                <w:iCs/>
                <w:sz w:val="4"/>
                <w:szCs w:val="4"/>
              </w:rPr>
            </w:pPr>
            <w:r w:rsidRPr="00870327">
              <w:rPr>
                <w:rFonts w:ascii="Times New Roman" w:hAnsi="Times New Roman" w:cs="Times New Roman"/>
                <w:bCs/>
                <w:iCs/>
                <w:sz w:val="24"/>
                <w:szCs w:val="24"/>
              </w:rPr>
              <w:t>P</w:t>
            </w:r>
            <w:r w:rsidR="00F432FC">
              <w:rPr>
                <w:rFonts w:ascii="Times New Roman" w:hAnsi="Times New Roman" w:cs="Times New Roman"/>
                <w:bCs/>
                <w:iCs/>
                <w:sz w:val="24"/>
                <w:szCs w:val="24"/>
              </w:rPr>
              <w:t xml:space="preserve">askaidrojam, ka noteikumu projektā ietvertās </w:t>
            </w:r>
            <w:r w:rsidR="00F432FC" w:rsidRPr="00392A99">
              <w:rPr>
                <w:rFonts w:ascii="Times New Roman" w:hAnsi="Times New Roman" w:cs="Times New Roman"/>
                <w:bCs/>
                <w:iCs/>
                <w:sz w:val="24"/>
                <w:szCs w:val="24"/>
              </w:rPr>
              <w:t>prasības izriet no EBA pamatnostādnēs EBA/GL/2021/14 noteiktās principos balstītās pieejas, kas paredz</w:t>
            </w:r>
            <w:r w:rsidR="000E41C3" w:rsidRPr="00392A99">
              <w:rPr>
                <w:rFonts w:ascii="Times New Roman" w:hAnsi="Times New Roman" w:cs="Times New Roman"/>
                <w:bCs/>
                <w:iCs/>
                <w:sz w:val="24"/>
                <w:szCs w:val="24"/>
              </w:rPr>
              <w:t xml:space="preserve"> sabiedrībām nodrošināt efektīvu un </w:t>
            </w:r>
            <w:proofErr w:type="spellStart"/>
            <w:r w:rsidR="000E41C3" w:rsidRPr="00392A99">
              <w:rPr>
                <w:rFonts w:ascii="Times New Roman" w:hAnsi="Times New Roman" w:cs="Times New Roman"/>
                <w:bCs/>
                <w:iCs/>
                <w:sz w:val="24"/>
                <w:szCs w:val="24"/>
              </w:rPr>
              <w:t>prudenciālu</w:t>
            </w:r>
            <w:proofErr w:type="spellEnd"/>
            <w:r w:rsidR="000E41C3" w:rsidRPr="00392A99">
              <w:rPr>
                <w:rFonts w:ascii="Times New Roman" w:hAnsi="Times New Roman" w:cs="Times New Roman"/>
                <w:bCs/>
                <w:iCs/>
                <w:sz w:val="24"/>
                <w:szCs w:val="24"/>
              </w:rPr>
              <w:t xml:space="preserve"> pārvaldību</w:t>
            </w:r>
            <w:r w:rsidR="00292F88" w:rsidRPr="00392A99">
              <w:rPr>
                <w:rFonts w:ascii="Times New Roman" w:hAnsi="Times New Roman" w:cs="Times New Roman"/>
                <w:bCs/>
                <w:iCs/>
                <w:sz w:val="24"/>
                <w:szCs w:val="24"/>
              </w:rPr>
              <w:t>, proti,</w:t>
            </w:r>
            <w:r w:rsidR="000E41C3" w:rsidRPr="00392A99">
              <w:rPr>
                <w:rFonts w:ascii="Times New Roman" w:hAnsi="Times New Roman" w:cs="Times New Roman"/>
                <w:bCs/>
                <w:iCs/>
                <w:sz w:val="24"/>
                <w:szCs w:val="24"/>
              </w:rPr>
              <w:t xml:space="preserve"> </w:t>
            </w:r>
            <w:r w:rsidR="005541EE" w:rsidRPr="00392A99">
              <w:rPr>
                <w:rFonts w:ascii="Times New Roman" w:hAnsi="Times New Roman" w:cs="Times New Roman"/>
                <w:bCs/>
                <w:iCs/>
                <w:sz w:val="24"/>
                <w:szCs w:val="24"/>
              </w:rPr>
              <w:t>"</w:t>
            </w:r>
            <w:r w:rsidR="000E41C3" w:rsidRPr="00392A99">
              <w:rPr>
                <w:rFonts w:ascii="Times New Roman" w:hAnsi="Times New Roman" w:cs="Times New Roman"/>
                <w:bCs/>
                <w:i/>
                <w:sz w:val="24"/>
                <w:szCs w:val="24"/>
              </w:rPr>
              <w:t xml:space="preserve">to </w:t>
            </w:r>
            <w:proofErr w:type="spellStart"/>
            <w:r w:rsidR="000E41C3" w:rsidRPr="00392A99">
              <w:rPr>
                <w:rFonts w:ascii="Times New Roman" w:hAnsi="Times New Roman" w:cs="Times New Roman"/>
                <w:bCs/>
                <w:i/>
                <w:sz w:val="24"/>
                <w:szCs w:val="24"/>
              </w:rPr>
              <w:t>ensure</w:t>
            </w:r>
            <w:proofErr w:type="spellEnd"/>
            <w:r w:rsidR="000E41C3" w:rsidRPr="00392A99">
              <w:rPr>
                <w:rFonts w:ascii="Times New Roman" w:hAnsi="Times New Roman" w:cs="Times New Roman"/>
                <w:bCs/>
                <w:i/>
                <w:sz w:val="24"/>
                <w:szCs w:val="24"/>
              </w:rPr>
              <w:t xml:space="preserve"> </w:t>
            </w:r>
            <w:proofErr w:type="spellStart"/>
            <w:r w:rsidR="000E41C3" w:rsidRPr="00392A99">
              <w:rPr>
                <w:rFonts w:ascii="Times New Roman" w:hAnsi="Times New Roman" w:cs="Times New Roman"/>
                <w:bCs/>
                <w:i/>
                <w:sz w:val="24"/>
                <w:szCs w:val="24"/>
              </w:rPr>
              <w:t>their</w:t>
            </w:r>
            <w:proofErr w:type="spellEnd"/>
            <w:r w:rsidR="000E41C3" w:rsidRPr="00392A99">
              <w:rPr>
                <w:rFonts w:ascii="Times New Roman" w:hAnsi="Times New Roman" w:cs="Times New Roman"/>
                <w:bCs/>
                <w:i/>
                <w:sz w:val="24"/>
                <w:szCs w:val="24"/>
              </w:rPr>
              <w:t xml:space="preserve"> </w:t>
            </w:r>
            <w:proofErr w:type="spellStart"/>
            <w:r w:rsidR="000E41C3" w:rsidRPr="00392A99">
              <w:rPr>
                <w:rFonts w:ascii="Times New Roman" w:hAnsi="Times New Roman" w:cs="Times New Roman"/>
                <w:bCs/>
                <w:i/>
                <w:sz w:val="24"/>
                <w:szCs w:val="24"/>
              </w:rPr>
              <w:t>effective</w:t>
            </w:r>
            <w:proofErr w:type="spellEnd"/>
            <w:r w:rsidR="000E41C3" w:rsidRPr="00392A99">
              <w:rPr>
                <w:rFonts w:ascii="Times New Roman" w:hAnsi="Times New Roman" w:cs="Times New Roman"/>
                <w:bCs/>
                <w:i/>
                <w:sz w:val="24"/>
                <w:szCs w:val="24"/>
              </w:rPr>
              <w:t xml:space="preserve"> </w:t>
            </w:r>
            <w:proofErr w:type="spellStart"/>
            <w:r w:rsidR="000E41C3" w:rsidRPr="00392A99">
              <w:rPr>
                <w:rFonts w:ascii="Times New Roman" w:hAnsi="Times New Roman" w:cs="Times New Roman"/>
                <w:bCs/>
                <w:i/>
                <w:sz w:val="24"/>
                <w:szCs w:val="24"/>
              </w:rPr>
              <w:t>and</w:t>
            </w:r>
            <w:proofErr w:type="spellEnd"/>
            <w:r w:rsidR="000E41C3" w:rsidRPr="00392A99">
              <w:rPr>
                <w:rFonts w:ascii="Times New Roman" w:hAnsi="Times New Roman" w:cs="Times New Roman"/>
                <w:bCs/>
                <w:i/>
                <w:sz w:val="24"/>
                <w:szCs w:val="24"/>
              </w:rPr>
              <w:t xml:space="preserve"> </w:t>
            </w:r>
            <w:proofErr w:type="spellStart"/>
            <w:r w:rsidR="000E41C3" w:rsidRPr="00392A99">
              <w:rPr>
                <w:rFonts w:ascii="Times New Roman" w:hAnsi="Times New Roman" w:cs="Times New Roman"/>
                <w:bCs/>
                <w:i/>
                <w:sz w:val="24"/>
                <w:szCs w:val="24"/>
              </w:rPr>
              <w:t>prudent</w:t>
            </w:r>
            <w:proofErr w:type="spellEnd"/>
            <w:r w:rsidR="000E41C3" w:rsidRPr="00392A99">
              <w:rPr>
                <w:rFonts w:ascii="Times New Roman" w:hAnsi="Times New Roman" w:cs="Times New Roman"/>
                <w:bCs/>
                <w:i/>
                <w:sz w:val="24"/>
                <w:szCs w:val="24"/>
              </w:rPr>
              <w:t xml:space="preserve"> </w:t>
            </w:r>
            <w:proofErr w:type="spellStart"/>
            <w:r w:rsidR="000E41C3" w:rsidRPr="00392A99">
              <w:rPr>
                <w:rFonts w:ascii="Times New Roman" w:hAnsi="Times New Roman" w:cs="Times New Roman"/>
                <w:bCs/>
                <w:i/>
                <w:sz w:val="24"/>
                <w:szCs w:val="24"/>
              </w:rPr>
              <w:t>management</w:t>
            </w:r>
            <w:proofErr w:type="spellEnd"/>
            <w:r w:rsidR="005541EE" w:rsidRPr="00392A99">
              <w:rPr>
                <w:rFonts w:ascii="Times New Roman" w:hAnsi="Times New Roman" w:cs="Times New Roman"/>
                <w:bCs/>
                <w:iCs/>
                <w:sz w:val="24"/>
                <w:szCs w:val="24"/>
              </w:rPr>
              <w:t>"</w:t>
            </w:r>
            <w:r w:rsidR="000E41C3" w:rsidRPr="00392A99">
              <w:rPr>
                <w:rFonts w:ascii="Times New Roman" w:hAnsi="Times New Roman" w:cs="Times New Roman"/>
                <w:bCs/>
                <w:iCs/>
                <w:sz w:val="24"/>
                <w:szCs w:val="24"/>
              </w:rPr>
              <w:t>.</w:t>
            </w:r>
            <w:r w:rsidR="000E41C3" w:rsidRPr="00392A99">
              <w:rPr>
                <w:rFonts w:ascii="Times New Roman" w:hAnsi="Times New Roman" w:cs="Times New Roman"/>
                <w:bCs/>
                <w:iCs/>
                <w:sz w:val="24"/>
                <w:szCs w:val="24"/>
              </w:rPr>
              <w:cr/>
            </w:r>
          </w:p>
          <w:p w14:paraId="418549BB" w14:textId="6D3E1E1D" w:rsidR="00F432FC" w:rsidRPr="00F432FC" w:rsidRDefault="000E41C3" w:rsidP="00935455">
            <w:pPr>
              <w:spacing w:before="120" w:after="120" w:line="240" w:lineRule="auto"/>
              <w:jc w:val="both"/>
              <w:rPr>
                <w:rFonts w:ascii="Times New Roman" w:hAnsi="Times New Roman" w:cs="Times New Roman"/>
                <w:bCs/>
                <w:iCs/>
                <w:sz w:val="24"/>
                <w:szCs w:val="24"/>
              </w:rPr>
            </w:pPr>
            <w:r w:rsidRPr="00392A99">
              <w:rPr>
                <w:rFonts w:ascii="Times New Roman" w:hAnsi="Times New Roman" w:cs="Times New Roman"/>
                <w:bCs/>
                <w:iCs/>
                <w:sz w:val="24"/>
                <w:szCs w:val="24"/>
              </w:rPr>
              <w:t xml:space="preserve">Šāds princips ietver </w:t>
            </w:r>
            <w:r w:rsidR="00F432FC" w:rsidRPr="00392A99">
              <w:rPr>
                <w:rFonts w:ascii="Times New Roman" w:hAnsi="Times New Roman" w:cs="Times New Roman"/>
                <w:bCs/>
                <w:iCs/>
                <w:sz w:val="24"/>
                <w:szCs w:val="24"/>
              </w:rPr>
              <w:t xml:space="preserve">saprātīgu un apdomīgu resursu pārvaldību, rūpīgu plānošanu, risku novērtēšanu un lēmumu pieņemšanu, ņemot vērā ilgtermiņa sekas. Tas nozīmē, ka </w:t>
            </w:r>
            <w:r w:rsidRPr="00392A99">
              <w:rPr>
                <w:rFonts w:ascii="Times New Roman" w:hAnsi="Times New Roman" w:cs="Times New Roman"/>
                <w:bCs/>
                <w:iCs/>
                <w:sz w:val="24"/>
                <w:szCs w:val="24"/>
              </w:rPr>
              <w:t xml:space="preserve">sabiedrības vadība </w:t>
            </w:r>
            <w:r w:rsidR="00F432FC" w:rsidRPr="00392A99">
              <w:rPr>
                <w:rFonts w:ascii="Times New Roman" w:hAnsi="Times New Roman" w:cs="Times New Roman"/>
                <w:bCs/>
                <w:iCs/>
                <w:sz w:val="24"/>
                <w:szCs w:val="24"/>
              </w:rPr>
              <w:t xml:space="preserve">pieņem </w:t>
            </w:r>
            <w:r w:rsidRPr="00392A99">
              <w:rPr>
                <w:rFonts w:ascii="Times New Roman" w:hAnsi="Times New Roman" w:cs="Times New Roman"/>
                <w:bCs/>
                <w:iCs/>
                <w:sz w:val="24"/>
                <w:szCs w:val="24"/>
              </w:rPr>
              <w:t>pamatotus un uz pieejamiem datiem</w:t>
            </w:r>
            <w:r>
              <w:rPr>
                <w:rFonts w:ascii="Times New Roman" w:hAnsi="Times New Roman" w:cs="Times New Roman"/>
                <w:bCs/>
                <w:iCs/>
                <w:sz w:val="24"/>
                <w:szCs w:val="24"/>
              </w:rPr>
              <w:t xml:space="preserve"> balstītus </w:t>
            </w:r>
            <w:r w:rsidR="00F432FC" w:rsidRPr="00F432FC">
              <w:rPr>
                <w:rFonts w:ascii="Times New Roman" w:hAnsi="Times New Roman" w:cs="Times New Roman"/>
                <w:bCs/>
                <w:iCs/>
                <w:sz w:val="24"/>
                <w:szCs w:val="24"/>
              </w:rPr>
              <w:t xml:space="preserve">lēmumus, lai nodrošinātu </w:t>
            </w:r>
            <w:r>
              <w:rPr>
                <w:rFonts w:ascii="Times New Roman" w:hAnsi="Times New Roman" w:cs="Times New Roman"/>
                <w:bCs/>
                <w:iCs/>
                <w:sz w:val="24"/>
                <w:szCs w:val="24"/>
              </w:rPr>
              <w:t xml:space="preserve">sabiedrības </w:t>
            </w:r>
            <w:r w:rsidR="00F432FC" w:rsidRPr="00F432FC">
              <w:rPr>
                <w:rFonts w:ascii="Times New Roman" w:hAnsi="Times New Roman" w:cs="Times New Roman"/>
                <w:bCs/>
                <w:iCs/>
                <w:sz w:val="24"/>
                <w:szCs w:val="24"/>
              </w:rPr>
              <w:t>stabilitāti un izaugsmi.</w:t>
            </w:r>
          </w:p>
          <w:p w14:paraId="526B59E3" w14:textId="33C6D24C" w:rsidR="006A0DFB" w:rsidRDefault="006A0DFB" w:rsidP="006A0DFB">
            <w:pPr>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5. punkts izteikts jaunā redakcijā:</w:t>
            </w:r>
          </w:p>
          <w:p w14:paraId="171FEE9B" w14:textId="77F2E6D6" w:rsidR="00A21BBF" w:rsidRPr="00870327" w:rsidRDefault="006A0DFB" w:rsidP="00D266CC">
            <w:pPr>
              <w:tabs>
                <w:tab w:val="left" w:pos="251"/>
              </w:tabs>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"5</w:t>
            </w:r>
            <w:r w:rsidRPr="006A0DFB">
              <w:rPr>
                <w:rFonts w:ascii="Times New Roman" w:hAnsi="Times New Roman" w:cs="Times New Roman"/>
                <w:bCs/>
                <w:iCs/>
                <w:sz w:val="24"/>
                <w:szCs w:val="24"/>
              </w:rPr>
              <w:t>.</w:t>
            </w:r>
            <w:r w:rsidR="00844CD7">
              <w:rPr>
                <w:rFonts w:ascii="Times New Roman" w:hAnsi="Times New Roman" w:cs="Times New Roman"/>
                <w:bCs/>
                <w:iCs/>
                <w:sz w:val="24"/>
                <w:szCs w:val="24"/>
              </w:rPr>
              <w:t xml:space="preserve"> </w:t>
            </w:r>
            <w:r w:rsidRPr="006A0DFB">
              <w:rPr>
                <w:rFonts w:ascii="Times New Roman" w:hAnsi="Times New Roman" w:cs="Times New Roman"/>
                <w:bCs/>
                <w:iCs/>
                <w:sz w:val="24"/>
                <w:szCs w:val="24"/>
              </w:rPr>
              <w:t>Sabiedrība pārvaldības sistēmu organizē tā, lai sabiedrības vadībai būtu pamatota pārliecība, ka sabiedrības aktīvi ir nodrošināti pret zaudējumiem un nesankcionētu valdīšanu un lietošanu, sabiedrības darbības riski tiek pastāvīgi identificēti, novērtēti, analizēti un pārraudzīti, sabiedrības kapitāls apmēra, elementu un to īpatsvara ziņā ir pietiekams sabiedrības darbībai piemītošo un varbūtējo risku segšanai, darījumi notiek saskaņā ar sabiedrībā noteikto kārtību, sabiedrība darbojas saprātīgi un efektīvi, pilnībā ievērojot likumu un citu tiesību aktu prasības.</w:t>
            </w:r>
            <w:r>
              <w:rPr>
                <w:rFonts w:ascii="Times New Roman" w:hAnsi="Times New Roman" w:cs="Times New Roman"/>
                <w:bCs/>
                <w:iCs/>
                <w:sz w:val="24"/>
                <w:szCs w:val="24"/>
              </w:rPr>
              <w:t>"</w:t>
            </w:r>
          </w:p>
        </w:tc>
      </w:tr>
      <w:tr w:rsidR="00E4143F" w:rsidRPr="0056522A" w14:paraId="08BDEEDE" w14:textId="77777777" w:rsidTr="00935455">
        <w:tc>
          <w:tcPr>
            <w:tcW w:w="0" w:type="auto"/>
            <w:tcBorders>
              <w:top w:val="single" w:sz="4" w:space="0" w:color="auto"/>
              <w:left w:val="single" w:sz="4" w:space="0" w:color="auto"/>
              <w:bottom w:val="single" w:sz="4" w:space="0" w:color="auto"/>
              <w:right w:val="single" w:sz="4" w:space="0" w:color="auto"/>
            </w:tcBorders>
          </w:tcPr>
          <w:p w14:paraId="0E739548" w14:textId="1E4B3C1B" w:rsidR="00E4143F" w:rsidRPr="0056522A" w:rsidRDefault="00E4143F" w:rsidP="0056522A">
            <w:pPr>
              <w:spacing w:after="120" w:line="240" w:lineRule="auto"/>
              <w:ind w:left="720"/>
              <w:rPr>
                <w:rFonts w:ascii="Times New Roman" w:hAnsi="Times New Roman" w:cs="Times New Roman"/>
                <w:bCs/>
                <w:sz w:val="24"/>
                <w:szCs w:val="24"/>
              </w:rPr>
            </w:pPr>
            <w:r>
              <w:rPr>
                <w:rFonts w:ascii="Times New Roman" w:hAnsi="Times New Roman" w:cs="Times New Roman"/>
                <w:bCs/>
                <w:sz w:val="24"/>
                <w:szCs w:val="24"/>
              </w:rPr>
              <w:t>3.</w:t>
            </w:r>
          </w:p>
        </w:tc>
        <w:tc>
          <w:tcPr>
            <w:tcW w:w="3779" w:type="dxa"/>
            <w:tcBorders>
              <w:top w:val="single" w:sz="4" w:space="0" w:color="auto"/>
              <w:left w:val="single" w:sz="4" w:space="0" w:color="auto"/>
              <w:bottom w:val="single" w:sz="4" w:space="0" w:color="auto"/>
              <w:right w:val="single" w:sz="4" w:space="0" w:color="auto"/>
            </w:tcBorders>
            <w:shd w:val="clear" w:color="auto" w:fill="auto"/>
          </w:tcPr>
          <w:p w14:paraId="0E59CB43" w14:textId="77777777" w:rsidR="00E60BEF" w:rsidRPr="00E60BEF" w:rsidRDefault="00E60BEF" w:rsidP="00935455">
            <w:pPr>
              <w:tabs>
                <w:tab w:val="left" w:pos="356"/>
              </w:tabs>
              <w:spacing w:after="120" w:line="240" w:lineRule="auto"/>
              <w:jc w:val="both"/>
              <w:rPr>
                <w:rFonts w:ascii="Times New Roman" w:hAnsi="Times New Roman" w:cs="Times New Roman"/>
                <w:bCs/>
                <w:sz w:val="24"/>
                <w:szCs w:val="24"/>
              </w:rPr>
            </w:pPr>
            <w:r w:rsidRPr="00E60BEF">
              <w:rPr>
                <w:rFonts w:ascii="Times New Roman" w:hAnsi="Times New Roman" w:cs="Times New Roman"/>
                <w:bCs/>
                <w:sz w:val="24"/>
                <w:szCs w:val="24"/>
              </w:rPr>
              <w:t>10.</w:t>
            </w:r>
            <w:r w:rsidRPr="00E60BEF">
              <w:rPr>
                <w:rFonts w:ascii="Times New Roman" w:hAnsi="Times New Roman" w:cs="Times New Roman"/>
                <w:bCs/>
                <w:sz w:val="24"/>
                <w:szCs w:val="24"/>
              </w:rPr>
              <w:tab/>
              <w:t>Sabiedrība izstrādā un dokumentē tās stratēģiju vismaz triju gadu periodam, kurā nosaka:</w:t>
            </w:r>
          </w:p>
          <w:p w14:paraId="4EDDA4F7" w14:textId="77777777" w:rsidR="009D53BE" w:rsidRDefault="009D53BE" w:rsidP="00E06104">
            <w:pPr>
              <w:spacing w:after="120" w:line="240" w:lineRule="auto"/>
              <w:jc w:val="both"/>
              <w:rPr>
                <w:rFonts w:ascii="Times New Roman" w:hAnsi="Times New Roman" w:cs="Times New Roman"/>
                <w:bCs/>
                <w:sz w:val="24"/>
                <w:szCs w:val="24"/>
              </w:rPr>
            </w:pPr>
          </w:p>
          <w:p w14:paraId="11FB8850" w14:textId="77777777" w:rsidR="009D53BE" w:rsidRDefault="009D53BE" w:rsidP="00E06104">
            <w:pPr>
              <w:spacing w:after="120" w:line="240" w:lineRule="auto"/>
              <w:jc w:val="both"/>
              <w:rPr>
                <w:rFonts w:ascii="Times New Roman" w:hAnsi="Times New Roman" w:cs="Times New Roman"/>
                <w:bCs/>
                <w:sz w:val="24"/>
                <w:szCs w:val="24"/>
              </w:rPr>
            </w:pPr>
          </w:p>
          <w:p w14:paraId="61DFA04D" w14:textId="77777777" w:rsidR="009D53BE" w:rsidRDefault="009D53BE" w:rsidP="00E06104">
            <w:pPr>
              <w:spacing w:after="120" w:line="240" w:lineRule="auto"/>
              <w:jc w:val="both"/>
              <w:rPr>
                <w:rFonts w:ascii="Times New Roman" w:hAnsi="Times New Roman" w:cs="Times New Roman"/>
                <w:bCs/>
                <w:sz w:val="24"/>
                <w:szCs w:val="24"/>
              </w:rPr>
            </w:pPr>
          </w:p>
          <w:p w14:paraId="7CB00782" w14:textId="77777777" w:rsidR="009D53BE" w:rsidRDefault="009D53BE" w:rsidP="00E06104">
            <w:pPr>
              <w:spacing w:after="120" w:line="240" w:lineRule="auto"/>
              <w:jc w:val="both"/>
              <w:rPr>
                <w:rFonts w:ascii="Times New Roman" w:hAnsi="Times New Roman" w:cs="Times New Roman"/>
                <w:bCs/>
                <w:sz w:val="24"/>
                <w:szCs w:val="24"/>
              </w:rPr>
            </w:pPr>
          </w:p>
          <w:p w14:paraId="746B7C9D" w14:textId="77777777" w:rsidR="009D53BE" w:rsidRDefault="009D53BE" w:rsidP="00E06104">
            <w:pPr>
              <w:spacing w:after="120" w:line="240" w:lineRule="auto"/>
              <w:jc w:val="both"/>
              <w:rPr>
                <w:rFonts w:ascii="Times New Roman" w:hAnsi="Times New Roman" w:cs="Times New Roman"/>
                <w:bCs/>
                <w:sz w:val="24"/>
                <w:szCs w:val="24"/>
              </w:rPr>
            </w:pPr>
          </w:p>
          <w:p w14:paraId="1F0A026D" w14:textId="77777777" w:rsidR="009D53BE" w:rsidRDefault="009D53BE" w:rsidP="00E06104">
            <w:pPr>
              <w:spacing w:after="120" w:line="240" w:lineRule="auto"/>
              <w:jc w:val="both"/>
              <w:rPr>
                <w:rFonts w:ascii="Times New Roman" w:hAnsi="Times New Roman" w:cs="Times New Roman"/>
                <w:bCs/>
                <w:sz w:val="24"/>
                <w:szCs w:val="24"/>
              </w:rPr>
            </w:pPr>
          </w:p>
          <w:p w14:paraId="0714EC15" w14:textId="77777777" w:rsidR="009D53BE" w:rsidRDefault="009D53BE" w:rsidP="00E06104">
            <w:pPr>
              <w:spacing w:after="120" w:line="240" w:lineRule="auto"/>
              <w:jc w:val="both"/>
              <w:rPr>
                <w:rFonts w:ascii="Times New Roman" w:hAnsi="Times New Roman" w:cs="Times New Roman"/>
                <w:bCs/>
                <w:sz w:val="24"/>
                <w:szCs w:val="24"/>
              </w:rPr>
            </w:pPr>
          </w:p>
          <w:p w14:paraId="695665B1" w14:textId="77777777" w:rsidR="009D53BE" w:rsidRDefault="009D53BE" w:rsidP="00E06104">
            <w:pPr>
              <w:spacing w:after="120" w:line="240" w:lineRule="auto"/>
              <w:jc w:val="both"/>
              <w:rPr>
                <w:rFonts w:ascii="Times New Roman" w:hAnsi="Times New Roman" w:cs="Times New Roman"/>
                <w:bCs/>
                <w:sz w:val="24"/>
                <w:szCs w:val="24"/>
              </w:rPr>
            </w:pPr>
          </w:p>
          <w:p w14:paraId="538C0A7F" w14:textId="77777777" w:rsidR="009D53BE" w:rsidRDefault="009D53BE" w:rsidP="00E06104">
            <w:pPr>
              <w:spacing w:after="120" w:line="240" w:lineRule="auto"/>
              <w:jc w:val="both"/>
              <w:rPr>
                <w:rFonts w:ascii="Times New Roman" w:hAnsi="Times New Roman" w:cs="Times New Roman"/>
                <w:bCs/>
                <w:sz w:val="24"/>
                <w:szCs w:val="24"/>
              </w:rPr>
            </w:pPr>
          </w:p>
          <w:p w14:paraId="43D21A4B" w14:textId="77777777" w:rsidR="009D53BE" w:rsidRDefault="009D53BE" w:rsidP="00E06104">
            <w:pPr>
              <w:spacing w:after="120" w:line="240" w:lineRule="auto"/>
              <w:jc w:val="both"/>
              <w:rPr>
                <w:rFonts w:ascii="Times New Roman" w:hAnsi="Times New Roman" w:cs="Times New Roman"/>
                <w:bCs/>
                <w:sz w:val="24"/>
                <w:szCs w:val="24"/>
              </w:rPr>
            </w:pPr>
          </w:p>
          <w:p w14:paraId="274689FB" w14:textId="77777777" w:rsidR="009D53BE" w:rsidRDefault="009D53BE" w:rsidP="00E06104">
            <w:pPr>
              <w:spacing w:after="120" w:line="240" w:lineRule="auto"/>
              <w:jc w:val="both"/>
              <w:rPr>
                <w:rFonts w:ascii="Times New Roman" w:hAnsi="Times New Roman" w:cs="Times New Roman"/>
                <w:bCs/>
                <w:sz w:val="24"/>
                <w:szCs w:val="24"/>
              </w:rPr>
            </w:pPr>
          </w:p>
          <w:p w14:paraId="2E456B41" w14:textId="77777777" w:rsidR="002B0F1C" w:rsidRDefault="002B0F1C" w:rsidP="00E06104">
            <w:pPr>
              <w:spacing w:after="120" w:line="240" w:lineRule="auto"/>
              <w:jc w:val="both"/>
              <w:rPr>
                <w:rFonts w:ascii="Times New Roman" w:hAnsi="Times New Roman" w:cs="Times New Roman"/>
                <w:bCs/>
                <w:sz w:val="24"/>
                <w:szCs w:val="24"/>
              </w:rPr>
            </w:pPr>
          </w:p>
          <w:p w14:paraId="25D79252" w14:textId="1A53BE2D" w:rsidR="00E60BEF" w:rsidRPr="00E60BEF" w:rsidRDefault="00E60BEF" w:rsidP="00935455">
            <w:pPr>
              <w:tabs>
                <w:tab w:val="left" w:pos="575"/>
              </w:tabs>
              <w:spacing w:after="120" w:line="240" w:lineRule="auto"/>
              <w:jc w:val="both"/>
              <w:rPr>
                <w:rFonts w:ascii="Times New Roman" w:hAnsi="Times New Roman" w:cs="Times New Roman"/>
                <w:bCs/>
                <w:sz w:val="24"/>
                <w:szCs w:val="24"/>
              </w:rPr>
            </w:pPr>
            <w:r w:rsidRPr="00E60BEF">
              <w:rPr>
                <w:rFonts w:ascii="Times New Roman" w:hAnsi="Times New Roman" w:cs="Times New Roman"/>
                <w:bCs/>
                <w:sz w:val="24"/>
                <w:szCs w:val="24"/>
              </w:rPr>
              <w:t>10.1.</w:t>
            </w:r>
            <w:r w:rsidRPr="00E60BEF">
              <w:rPr>
                <w:rFonts w:ascii="Times New Roman" w:hAnsi="Times New Roman" w:cs="Times New Roman"/>
                <w:bCs/>
                <w:sz w:val="24"/>
                <w:szCs w:val="24"/>
              </w:rPr>
              <w:tab/>
              <w:t>darbības mērķus, tai skaitā plānoto finansiālo stāvokli, darbības veidus, mērķa tirgus, mērķa klientus, ilgtermiņa finanšu intereses un maksātspēju;</w:t>
            </w:r>
          </w:p>
          <w:p w14:paraId="56EBD40C" w14:textId="77777777" w:rsidR="00612AFC" w:rsidRDefault="00612AFC" w:rsidP="00E06104">
            <w:pPr>
              <w:spacing w:after="120" w:line="240" w:lineRule="auto"/>
              <w:jc w:val="both"/>
              <w:rPr>
                <w:rFonts w:ascii="Times New Roman" w:hAnsi="Times New Roman" w:cs="Times New Roman"/>
                <w:bCs/>
                <w:sz w:val="24"/>
                <w:szCs w:val="24"/>
              </w:rPr>
            </w:pPr>
          </w:p>
          <w:p w14:paraId="4CBA2B95" w14:textId="77777777" w:rsidR="009D53BE" w:rsidRDefault="009D53BE" w:rsidP="00E06104">
            <w:pPr>
              <w:spacing w:after="120" w:line="240" w:lineRule="auto"/>
              <w:jc w:val="both"/>
              <w:rPr>
                <w:rFonts w:ascii="Times New Roman" w:hAnsi="Times New Roman" w:cs="Times New Roman"/>
                <w:bCs/>
                <w:sz w:val="24"/>
                <w:szCs w:val="24"/>
              </w:rPr>
            </w:pPr>
          </w:p>
          <w:p w14:paraId="09B11D9E" w14:textId="77777777" w:rsidR="00400F08" w:rsidRDefault="00400F08" w:rsidP="00935455">
            <w:pPr>
              <w:tabs>
                <w:tab w:val="left" w:pos="575"/>
              </w:tabs>
              <w:spacing w:after="120" w:line="240" w:lineRule="auto"/>
              <w:jc w:val="both"/>
              <w:rPr>
                <w:rFonts w:ascii="Times New Roman" w:hAnsi="Times New Roman" w:cs="Times New Roman"/>
                <w:bCs/>
                <w:sz w:val="24"/>
                <w:szCs w:val="24"/>
              </w:rPr>
            </w:pPr>
          </w:p>
          <w:p w14:paraId="790B9097" w14:textId="1C26705B" w:rsidR="00E60BEF" w:rsidRPr="00E60BEF" w:rsidRDefault="00E60BEF" w:rsidP="00935455">
            <w:pPr>
              <w:tabs>
                <w:tab w:val="left" w:pos="575"/>
              </w:tabs>
              <w:spacing w:after="120" w:line="240" w:lineRule="auto"/>
              <w:jc w:val="both"/>
              <w:rPr>
                <w:rFonts w:ascii="Times New Roman" w:hAnsi="Times New Roman" w:cs="Times New Roman"/>
                <w:bCs/>
                <w:sz w:val="24"/>
                <w:szCs w:val="24"/>
              </w:rPr>
            </w:pPr>
            <w:r w:rsidRPr="00E60BEF">
              <w:rPr>
                <w:rFonts w:ascii="Times New Roman" w:hAnsi="Times New Roman" w:cs="Times New Roman"/>
                <w:bCs/>
                <w:sz w:val="24"/>
                <w:szCs w:val="24"/>
              </w:rPr>
              <w:t>10.3.</w:t>
            </w:r>
            <w:r w:rsidRPr="00E60BEF">
              <w:rPr>
                <w:rFonts w:ascii="Times New Roman" w:hAnsi="Times New Roman" w:cs="Times New Roman"/>
                <w:bCs/>
                <w:sz w:val="24"/>
                <w:szCs w:val="24"/>
              </w:rPr>
              <w:tab/>
              <w:t xml:space="preserve">kapitāla pietiekamības uzturēšanas stratēģiju, tai skaitā ar sabiedrības plānoto darbību saistīto risku segšanai nepieciešamā kapitāla apmēru, vēlamo kapitāla līmeni (kapitāla pietiekamības mērķus) un tā sasniegšanas plānu, kapitāla </w:t>
            </w:r>
            <w:r w:rsidRPr="00E60BEF">
              <w:rPr>
                <w:rFonts w:ascii="Times New Roman" w:hAnsi="Times New Roman" w:cs="Times New Roman"/>
                <w:bCs/>
                <w:sz w:val="24"/>
                <w:szCs w:val="24"/>
              </w:rPr>
              <w:lastRenderedPageBreak/>
              <w:t>palielināšanas avotus, paredzamos izdevumus papildu kapitāla piesaistīšanai, kapitāla pietiekamību regulējošo prasību ievērošanas nodrošināšanas plānu, kapitāla pietiekamības uzturēšanas plānu ārkārtas gadījumos;</w:t>
            </w:r>
          </w:p>
          <w:p w14:paraId="0332B185" w14:textId="0C55F7B5" w:rsidR="00E4143F" w:rsidRPr="00E60BEF" w:rsidRDefault="00582DC0" w:rsidP="00E06104">
            <w:pPr>
              <w:spacing w:after="120" w:line="240" w:lineRule="auto"/>
              <w:jc w:val="both"/>
              <w:rPr>
                <w:rFonts w:ascii="Times New Roman" w:hAnsi="Times New Roman" w:cs="Times New Roman"/>
                <w:bCs/>
                <w:sz w:val="24"/>
                <w:szCs w:val="24"/>
              </w:rPr>
            </w:pPr>
            <w:r w:rsidRPr="00582DC0">
              <w:rPr>
                <w:rFonts w:ascii="Times New Roman" w:hAnsi="Times New Roman" w:cs="Times New Roman"/>
                <w:bCs/>
                <w:sz w:val="24"/>
                <w:szCs w:val="24"/>
              </w:rPr>
              <w:t>10.4.</w:t>
            </w:r>
            <w:r w:rsidRPr="00582DC0">
              <w:rPr>
                <w:rFonts w:ascii="Times New Roman" w:hAnsi="Times New Roman" w:cs="Times New Roman"/>
                <w:bCs/>
                <w:sz w:val="24"/>
                <w:szCs w:val="24"/>
              </w:rPr>
              <w:tab/>
              <w:t>mērķus likviditātes pārvaldības jomā, ņemot vērā sabiedrības darbību raksturojošos rādītājus un finansiālo stāvokli, kā arī sabiedrības darbību regulējošo normatīvo aktu prasības.</w:t>
            </w:r>
          </w:p>
        </w:tc>
        <w:tc>
          <w:tcPr>
            <w:tcW w:w="4192" w:type="dxa"/>
            <w:tcBorders>
              <w:top w:val="single" w:sz="4" w:space="0" w:color="auto"/>
              <w:left w:val="single" w:sz="4" w:space="0" w:color="auto"/>
              <w:bottom w:val="single" w:sz="4" w:space="0" w:color="auto"/>
              <w:right w:val="single" w:sz="4" w:space="0" w:color="auto"/>
            </w:tcBorders>
            <w:shd w:val="clear" w:color="auto" w:fill="auto"/>
          </w:tcPr>
          <w:p w14:paraId="62155ECF" w14:textId="7E7C84A7" w:rsidR="00E559BF" w:rsidRPr="00E559BF" w:rsidRDefault="0067587D" w:rsidP="00E06104">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AS </w:t>
            </w:r>
            <w:proofErr w:type="spellStart"/>
            <w:r w:rsidR="00E559BF" w:rsidRPr="00E559BF">
              <w:rPr>
                <w:rFonts w:ascii="Times New Roman" w:hAnsi="Times New Roman" w:cs="Times New Roman"/>
                <w:b/>
                <w:bCs/>
                <w:sz w:val="24"/>
                <w:szCs w:val="24"/>
              </w:rPr>
              <w:t>Mintos</w:t>
            </w:r>
            <w:proofErr w:type="spellEnd"/>
            <w:r w:rsidR="00E559BF" w:rsidRPr="00E559BF">
              <w:rPr>
                <w:rFonts w:ascii="Times New Roman" w:hAnsi="Times New Roman" w:cs="Times New Roman"/>
                <w:b/>
                <w:bCs/>
                <w:sz w:val="24"/>
                <w:szCs w:val="24"/>
              </w:rPr>
              <w:t xml:space="preserve"> Marketplace</w:t>
            </w:r>
          </w:p>
          <w:p w14:paraId="6A88D949" w14:textId="5940E50D" w:rsidR="00E4143F" w:rsidRPr="00E4143F" w:rsidRDefault="00E4143F" w:rsidP="00935455">
            <w:pPr>
              <w:tabs>
                <w:tab w:val="left" w:pos="368"/>
              </w:tabs>
              <w:spacing w:after="120" w:line="240" w:lineRule="auto"/>
              <w:jc w:val="both"/>
              <w:rPr>
                <w:rFonts w:ascii="Times New Roman" w:hAnsi="Times New Roman" w:cs="Times New Roman"/>
                <w:sz w:val="24"/>
                <w:szCs w:val="24"/>
              </w:rPr>
            </w:pPr>
            <w:r w:rsidRPr="00E4143F">
              <w:rPr>
                <w:rFonts w:ascii="Times New Roman" w:hAnsi="Times New Roman" w:cs="Times New Roman"/>
                <w:sz w:val="24"/>
                <w:szCs w:val="24"/>
              </w:rPr>
              <w:t>3.</w:t>
            </w:r>
            <w:r w:rsidRPr="00E4143F">
              <w:rPr>
                <w:rFonts w:ascii="Times New Roman" w:hAnsi="Times New Roman" w:cs="Times New Roman"/>
                <w:sz w:val="24"/>
                <w:szCs w:val="24"/>
              </w:rPr>
              <w:tab/>
              <w:t>Noteikumu 10.punkts:</w:t>
            </w:r>
          </w:p>
          <w:p w14:paraId="31536BC8" w14:textId="1E6FC76E" w:rsidR="00E4143F" w:rsidRPr="00E4143F" w:rsidRDefault="00E4143F" w:rsidP="00E06104">
            <w:pPr>
              <w:spacing w:after="120" w:line="240" w:lineRule="auto"/>
              <w:jc w:val="both"/>
              <w:rPr>
                <w:rFonts w:ascii="Times New Roman" w:hAnsi="Times New Roman" w:cs="Times New Roman"/>
                <w:sz w:val="24"/>
                <w:szCs w:val="24"/>
              </w:rPr>
            </w:pPr>
            <w:r w:rsidRPr="00E4143F">
              <w:rPr>
                <w:rFonts w:ascii="Times New Roman" w:hAnsi="Times New Roman" w:cs="Times New Roman"/>
                <w:sz w:val="24"/>
                <w:szCs w:val="24"/>
              </w:rPr>
              <w:t xml:space="preserve">Vai Noteikumu 10.punktā minētais par trīs gadu periodu attiecas uz visām šī </w:t>
            </w:r>
            <w:r w:rsidRPr="00E4143F">
              <w:rPr>
                <w:rFonts w:ascii="Times New Roman" w:hAnsi="Times New Roman" w:cs="Times New Roman"/>
                <w:sz w:val="24"/>
                <w:szCs w:val="24"/>
              </w:rPr>
              <w:lastRenderedPageBreak/>
              <w:t xml:space="preserve">punkta apakšpunktos minētajām stratēģijas komponentēm? Ja jā, ar ko normatīvo aktu griezumā ir pamatota šāda prasība? Un ja jā, lūgums sniegt Latvijas Bankas skaidrojumu, kā ir iecerēts vērtēt Sabiedrību stratēģijas dokumentāciju un pārliecināties par atbilstību attiecīgā punkta prasībām. </w:t>
            </w:r>
          </w:p>
          <w:p w14:paraId="7397730D" w14:textId="77777777" w:rsidR="00853445" w:rsidRDefault="00853445" w:rsidP="00E06104">
            <w:pPr>
              <w:spacing w:after="120" w:line="240" w:lineRule="auto"/>
              <w:jc w:val="both"/>
              <w:rPr>
                <w:rFonts w:ascii="Times New Roman" w:hAnsi="Times New Roman" w:cs="Times New Roman"/>
                <w:sz w:val="24"/>
                <w:szCs w:val="24"/>
              </w:rPr>
            </w:pPr>
          </w:p>
          <w:p w14:paraId="1661DBCF" w14:textId="77777777" w:rsidR="00E06680" w:rsidRDefault="00E06680" w:rsidP="00E06104">
            <w:pPr>
              <w:spacing w:after="120" w:line="240" w:lineRule="auto"/>
              <w:jc w:val="both"/>
              <w:rPr>
                <w:rFonts w:ascii="Times New Roman" w:hAnsi="Times New Roman" w:cs="Times New Roman"/>
                <w:sz w:val="24"/>
                <w:szCs w:val="24"/>
              </w:rPr>
            </w:pPr>
          </w:p>
          <w:p w14:paraId="73A2C06C" w14:textId="77777777" w:rsidR="001055C9" w:rsidRDefault="001055C9" w:rsidP="00E06104">
            <w:pPr>
              <w:spacing w:after="120" w:line="240" w:lineRule="auto"/>
              <w:jc w:val="both"/>
              <w:rPr>
                <w:rFonts w:ascii="Times New Roman" w:hAnsi="Times New Roman" w:cs="Times New Roman"/>
                <w:sz w:val="24"/>
                <w:szCs w:val="24"/>
              </w:rPr>
            </w:pPr>
          </w:p>
          <w:p w14:paraId="4427257B" w14:textId="77777777" w:rsidR="00F64D04" w:rsidRDefault="00F64D04" w:rsidP="00E06104">
            <w:pPr>
              <w:spacing w:after="120" w:line="240" w:lineRule="auto"/>
              <w:jc w:val="both"/>
              <w:rPr>
                <w:rFonts w:ascii="Times New Roman" w:hAnsi="Times New Roman" w:cs="Times New Roman"/>
                <w:sz w:val="24"/>
                <w:szCs w:val="24"/>
              </w:rPr>
            </w:pPr>
          </w:p>
          <w:p w14:paraId="69D080F9" w14:textId="77777777" w:rsidR="00F64D04" w:rsidRDefault="00F64D04" w:rsidP="00E06104">
            <w:pPr>
              <w:spacing w:after="120" w:line="240" w:lineRule="auto"/>
              <w:jc w:val="both"/>
              <w:rPr>
                <w:rFonts w:ascii="Times New Roman" w:hAnsi="Times New Roman" w:cs="Times New Roman"/>
                <w:sz w:val="24"/>
                <w:szCs w:val="24"/>
              </w:rPr>
            </w:pPr>
          </w:p>
          <w:p w14:paraId="7A6C45E6" w14:textId="3E14687D" w:rsidR="00E4143F" w:rsidRPr="00E4143F" w:rsidRDefault="00E4143F" w:rsidP="00E06104">
            <w:pPr>
              <w:spacing w:after="120" w:line="240" w:lineRule="auto"/>
              <w:jc w:val="both"/>
              <w:rPr>
                <w:rFonts w:ascii="Times New Roman" w:hAnsi="Times New Roman" w:cs="Times New Roman"/>
                <w:sz w:val="24"/>
                <w:szCs w:val="24"/>
              </w:rPr>
            </w:pPr>
            <w:r w:rsidRPr="00E4143F">
              <w:rPr>
                <w:rFonts w:ascii="Times New Roman" w:hAnsi="Times New Roman" w:cs="Times New Roman"/>
                <w:sz w:val="24"/>
                <w:szCs w:val="24"/>
              </w:rPr>
              <w:t xml:space="preserve">Noteikumu 10.1.punktā tiek lietots jēdziens </w:t>
            </w:r>
            <w:r w:rsidR="005541EE">
              <w:rPr>
                <w:rFonts w:ascii="Times New Roman" w:hAnsi="Times New Roman" w:cs="Times New Roman"/>
                <w:sz w:val="24"/>
                <w:szCs w:val="24"/>
              </w:rPr>
              <w:t>"</w:t>
            </w:r>
            <w:r w:rsidRPr="00E4143F">
              <w:rPr>
                <w:rFonts w:ascii="Times New Roman" w:hAnsi="Times New Roman" w:cs="Times New Roman"/>
                <w:sz w:val="24"/>
                <w:szCs w:val="24"/>
              </w:rPr>
              <w:t>ilgtermiņa finanšu intereses</w:t>
            </w:r>
            <w:r w:rsidR="005541EE">
              <w:rPr>
                <w:rFonts w:ascii="Times New Roman" w:hAnsi="Times New Roman" w:cs="Times New Roman"/>
                <w:sz w:val="24"/>
                <w:szCs w:val="24"/>
              </w:rPr>
              <w:t>"</w:t>
            </w:r>
            <w:r w:rsidRPr="00E4143F">
              <w:rPr>
                <w:rFonts w:ascii="Times New Roman" w:hAnsi="Times New Roman" w:cs="Times New Roman"/>
                <w:sz w:val="24"/>
                <w:szCs w:val="24"/>
              </w:rPr>
              <w:t>, kuram nerodam skaidrojumu citos normatīvajos aktos, kas nosaka regulējošās prasības ieguldījumu brokeru sabiedrībām. Lūgums sniegt skaidrojumu, kas ietilpst šī jēdziena tvērumā.</w:t>
            </w:r>
          </w:p>
          <w:p w14:paraId="2FCDFB3F" w14:textId="77777777" w:rsidR="00400F08" w:rsidRDefault="00400F08" w:rsidP="00E06104">
            <w:pPr>
              <w:spacing w:after="120" w:line="240" w:lineRule="auto"/>
              <w:jc w:val="both"/>
              <w:rPr>
                <w:rFonts w:ascii="Times New Roman" w:hAnsi="Times New Roman" w:cs="Times New Roman"/>
                <w:sz w:val="24"/>
                <w:szCs w:val="24"/>
              </w:rPr>
            </w:pPr>
          </w:p>
          <w:p w14:paraId="11611C81" w14:textId="34EE29FF" w:rsidR="00E4143F" w:rsidRPr="00E4143F" w:rsidRDefault="00E4143F" w:rsidP="00E06104">
            <w:pPr>
              <w:spacing w:after="120" w:line="240" w:lineRule="auto"/>
              <w:jc w:val="both"/>
              <w:rPr>
                <w:rFonts w:ascii="Times New Roman" w:hAnsi="Times New Roman" w:cs="Times New Roman"/>
                <w:sz w:val="24"/>
                <w:szCs w:val="24"/>
              </w:rPr>
            </w:pPr>
            <w:r w:rsidRPr="00E4143F">
              <w:rPr>
                <w:rFonts w:ascii="Times New Roman" w:hAnsi="Times New Roman" w:cs="Times New Roman"/>
                <w:sz w:val="24"/>
                <w:szCs w:val="24"/>
              </w:rPr>
              <w:t xml:space="preserve">Noteikumu 10.3.punktā norādīts, ka kapitāla pietiekamības uzturēšanas stratēģijai jāietver </w:t>
            </w:r>
            <w:r w:rsidR="005541EE">
              <w:rPr>
                <w:rFonts w:ascii="Times New Roman" w:hAnsi="Times New Roman" w:cs="Times New Roman"/>
                <w:sz w:val="24"/>
                <w:szCs w:val="24"/>
              </w:rPr>
              <w:t>"</w:t>
            </w:r>
            <w:r w:rsidRPr="00E4143F">
              <w:rPr>
                <w:rFonts w:ascii="Times New Roman" w:hAnsi="Times New Roman" w:cs="Times New Roman"/>
                <w:sz w:val="24"/>
                <w:szCs w:val="24"/>
              </w:rPr>
              <w:t>kapitāla pietiekamību regulējošo prasību ievērošanas nodrošināšanas plānu</w:t>
            </w:r>
            <w:r w:rsidR="005541EE">
              <w:rPr>
                <w:rFonts w:ascii="Times New Roman" w:hAnsi="Times New Roman" w:cs="Times New Roman"/>
                <w:sz w:val="24"/>
                <w:szCs w:val="24"/>
              </w:rPr>
              <w:t>"</w:t>
            </w:r>
            <w:r w:rsidRPr="00E4143F">
              <w:rPr>
                <w:rFonts w:ascii="Times New Roman" w:hAnsi="Times New Roman" w:cs="Times New Roman"/>
                <w:sz w:val="24"/>
                <w:szCs w:val="24"/>
              </w:rPr>
              <w:t xml:space="preserve">, tomēr nav skaidrs, ar ko tieši tas Latvijas Bankas </w:t>
            </w:r>
            <w:r w:rsidRPr="00E4143F">
              <w:rPr>
                <w:rFonts w:ascii="Times New Roman" w:hAnsi="Times New Roman" w:cs="Times New Roman"/>
                <w:sz w:val="24"/>
                <w:szCs w:val="24"/>
              </w:rPr>
              <w:lastRenderedPageBreak/>
              <w:t xml:space="preserve">ieskatā tas atšķiras no jau tajā pašā punktā minētā </w:t>
            </w:r>
            <w:r w:rsidR="005541EE">
              <w:rPr>
                <w:rFonts w:ascii="Times New Roman" w:hAnsi="Times New Roman" w:cs="Times New Roman"/>
                <w:sz w:val="24"/>
                <w:szCs w:val="24"/>
              </w:rPr>
              <w:t>"</w:t>
            </w:r>
            <w:r w:rsidRPr="00E4143F">
              <w:rPr>
                <w:rFonts w:ascii="Times New Roman" w:hAnsi="Times New Roman" w:cs="Times New Roman"/>
                <w:sz w:val="24"/>
                <w:szCs w:val="24"/>
              </w:rPr>
              <w:t>sasniegšanas plāna</w:t>
            </w:r>
            <w:r w:rsidR="005541EE">
              <w:rPr>
                <w:rFonts w:ascii="Times New Roman" w:hAnsi="Times New Roman" w:cs="Times New Roman"/>
                <w:sz w:val="24"/>
                <w:szCs w:val="24"/>
              </w:rPr>
              <w:t>"</w:t>
            </w:r>
            <w:r w:rsidRPr="00E4143F">
              <w:rPr>
                <w:rFonts w:ascii="Times New Roman" w:hAnsi="Times New Roman" w:cs="Times New Roman"/>
                <w:sz w:val="24"/>
                <w:szCs w:val="24"/>
              </w:rPr>
              <w:t>.</w:t>
            </w:r>
          </w:p>
          <w:p w14:paraId="36D0B85D" w14:textId="77777777" w:rsidR="00612AFC" w:rsidRDefault="00612AFC" w:rsidP="00E06104">
            <w:pPr>
              <w:spacing w:after="120" w:line="240" w:lineRule="auto"/>
              <w:jc w:val="both"/>
              <w:rPr>
                <w:rFonts w:ascii="Times New Roman" w:hAnsi="Times New Roman" w:cs="Times New Roman"/>
                <w:sz w:val="24"/>
                <w:szCs w:val="24"/>
              </w:rPr>
            </w:pPr>
          </w:p>
          <w:p w14:paraId="57AAA614" w14:textId="77777777" w:rsidR="00612AFC" w:rsidRDefault="00612AFC" w:rsidP="00E06104">
            <w:pPr>
              <w:spacing w:after="120" w:line="240" w:lineRule="auto"/>
              <w:jc w:val="both"/>
              <w:rPr>
                <w:rFonts w:ascii="Times New Roman" w:hAnsi="Times New Roman" w:cs="Times New Roman"/>
                <w:sz w:val="24"/>
                <w:szCs w:val="24"/>
              </w:rPr>
            </w:pPr>
          </w:p>
          <w:p w14:paraId="1E1F9245" w14:textId="77777777" w:rsidR="00400F08" w:rsidRDefault="00400F08" w:rsidP="00E06104">
            <w:pPr>
              <w:spacing w:after="120" w:line="240" w:lineRule="auto"/>
              <w:jc w:val="both"/>
              <w:rPr>
                <w:rFonts w:ascii="Times New Roman" w:hAnsi="Times New Roman" w:cs="Times New Roman"/>
                <w:sz w:val="24"/>
                <w:szCs w:val="24"/>
              </w:rPr>
            </w:pPr>
          </w:p>
          <w:p w14:paraId="4AD0DDEF" w14:textId="1DE22E35" w:rsidR="00E4143F" w:rsidRPr="00E4143F" w:rsidRDefault="00E4143F" w:rsidP="00E06104">
            <w:pPr>
              <w:spacing w:after="120" w:line="240" w:lineRule="auto"/>
              <w:jc w:val="both"/>
              <w:rPr>
                <w:rFonts w:ascii="Times New Roman" w:hAnsi="Times New Roman" w:cs="Times New Roman"/>
                <w:sz w:val="24"/>
                <w:szCs w:val="24"/>
              </w:rPr>
            </w:pPr>
            <w:r w:rsidRPr="00E4143F">
              <w:rPr>
                <w:rFonts w:ascii="Times New Roman" w:hAnsi="Times New Roman" w:cs="Times New Roman"/>
                <w:sz w:val="24"/>
                <w:szCs w:val="24"/>
              </w:rPr>
              <w:t>Tāpat vēlamies piebilst, ka Mintos stratēģisko plānošanu veic, dokumentējot vairākas stratēģijas komponentes katru atsevišķi. Mintos plāno tādu pieeju saglabāt. Uzskatām, ka tāda pieeja nav pretrunā arī ar šiem Note</w:t>
            </w:r>
            <w:r w:rsidR="009D53BE">
              <w:rPr>
                <w:rFonts w:ascii="Times New Roman" w:hAnsi="Times New Roman" w:cs="Times New Roman"/>
                <w:sz w:val="24"/>
                <w:szCs w:val="24"/>
              </w:rPr>
              <w:t>i</w:t>
            </w:r>
            <w:r w:rsidRPr="00E4143F">
              <w:rPr>
                <w:rFonts w:ascii="Times New Roman" w:hAnsi="Times New Roman" w:cs="Times New Roman"/>
                <w:sz w:val="24"/>
                <w:szCs w:val="24"/>
              </w:rPr>
              <w:t>kumiem, tomēr ja ir regulējošās prasībās balstīts pamatojums, ka šāda pieeja nav pareiza, lūgums par to informēt, lai varam izvērtēt nepieciešamās izmaiņas.</w:t>
            </w:r>
          </w:p>
        </w:tc>
        <w:tc>
          <w:tcPr>
            <w:tcW w:w="5389" w:type="dxa"/>
            <w:tcBorders>
              <w:top w:val="single" w:sz="4" w:space="0" w:color="auto"/>
              <w:left w:val="single" w:sz="4" w:space="0" w:color="auto"/>
              <w:bottom w:val="single" w:sz="4" w:space="0" w:color="auto"/>
              <w:right w:val="single" w:sz="4" w:space="0" w:color="auto"/>
            </w:tcBorders>
            <w:shd w:val="clear" w:color="auto" w:fill="auto"/>
          </w:tcPr>
          <w:p w14:paraId="1DA2C720" w14:textId="689F9A59" w:rsidR="00E53657" w:rsidRPr="00935455" w:rsidRDefault="009D53BE" w:rsidP="00392A99">
            <w:pPr>
              <w:spacing w:after="120" w:line="240" w:lineRule="auto"/>
              <w:jc w:val="both"/>
              <w:rPr>
                <w:rFonts w:ascii="Times New Roman" w:hAnsi="Times New Roman" w:cs="Times New Roman"/>
                <w:b/>
                <w:iCs/>
                <w:sz w:val="24"/>
                <w:szCs w:val="24"/>
              </w:rPr>
            </w:pPr>
            <w:r w:rsidRPr="00935455">
              <w:rPr>
                <w:rFonts w:ascii="Times New Roman" w:hAnsi="Times New Roman" w:cs="Times New Roman"/>
                <w:b/>
                <w:iCs/>
                <w:sz w:val="24"/>
                <w:szCs w:val="24"/>
              </w:rPr>
              <w:lastRenderedPageBreak/>
              <w:t>Ņemts vērā</w:t>
            </w:r>
            <w:r w:rsidR="00E53657" w:rsidRPr="00935455">
              <w:rPr>
                <w:rFonts w:ascii="Times New Roman" w:hAnsi="Times New Roman" w:cs="Times New Roman"/>
                <w:b/>
                <w:iCs/>
                <w:sz w:val="24"/>
                <w:szCs w:val="24"/>
              </w:rPr>
              <w:t>.</w:t>
            </w:r>
          </w:p>
          <w:p w14:paraId="3F243C83" w14:textId="73CDC70A" w:rsidR="00E06104" w:rsidRDefault="009D53BE" w:rsidP="00392A99">
            <w:pPr>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Paskaidrojam, ka </w:t>
            </w:r>
            <w:r w:rsidR="00E60BEF" w:rsidRPr="00E60BEF">
              <w:rPr>
                <w:rFonts w:ascii="Times New Roman" w:hAnsi="Times New Roman" w:cs="Times New Roman"/>
                <w:bCs/>
                <w:iCs/>
                <w:sz w:val="24"/>
                <w:szCs w:val="24"/>
              </w:rPr>
              <w:t xml:space="preserve">sabiedrības stratēģija ir ilgtermiņa dokuments, </w:t>
            </w:r>
            <w:r>
              <w:rPr>
                <w:rFonts w:ascii="Times New Roman" w:hAnsi="Times New Roman" w:cs="Times New Roman"/>
                <w:bCs/>
                <w:iCs/>
                <w:sz w:val="24"/>
                <w:szCs w:val="24"/>
              </w:rPr>
              <w:t xml:space="preserve">tādēļ </w:t>
            </w:r>
            <w:r w:rsidR="00E60BEF" w:rsidRPr="00E60BEF">
              <w:rPr>
                <w:rFonts w:ascii="Times New Roman" w:hAnsi="Times New Roman" w:cs="Times New Roman"/>
                <w:bCs/>
                <w:iCs/>
                <w:sz w:val="24"/>
                <w:szCs w:val="24"/>
              </w:rPr>
              <w:t>noteikumu projekts paredz, ka tam būtu jāaptver vismaz trīs gadu period</w:t>
            </w:r>
            <w:r w:rsidR="00292F88">
              <w:rPr>
                <w:rFonts w:ascii="Times New Roman" w:hAnsi="Times New Roman" w:cs="Times New Roman"/>
                <w:bCs/>
                <w:iCs/>
                <w:sz w:val="24"/>
                <w:szCs w:val="24"/>
              </w:rPr>
              <w:t>s</w:t>
            </w:r>
            <w:r w:rsidR="00E60BEF">
              <w:rPr>
                <w:rFonts w:ascii="Times New Roman" w:hAnsi="Times New Roman" w:cs="Times New Roman"/>
                <w:bCs/>
                <w:iCs/>
                <w:sz w:val="24"/>
                <w:szCs w:val="24"/>
              </w:rPr>
              <w:t>.</w:t>
            </w:r>
            <w:r w:rsidR="00853445">
              <w:rPr>
                <w:rFonts w:ascii="Times New Roman" w:hAnsi="Times New Roman" w:cs="Times New Roman"/>
                <w:bCs/>
                <w:iCs/>
                <w:sz w:val="24"/>
                <w:szCs w:val="24"/>
              </w:rPr>
              <w:t xml:space="preserve"> </w:t>
            </w:r>
            <w:r w:rsidR="00C61FA1">
              <w:rPr>
                <w:rFonts w:ascii="Times New Roman" w:hAnsi="Times New Roman" w:cs="Times New Roman"/>
                <w:bCs/>
                <w:iCs/>
                <w:sz w:val="24"/>
                <w:szCs w:val="24"/>
              </w:rPr>
              <w:t>Vis</w:t>
            </w:r>
            <w:r w:rsidR="00392A99">
              <w:rPr>
                <w:rFonts w:ascii="Times New Roman" w:hAnsi="Times New Roman" w:cs="Times New Roman"/>
                <w:bCs/>
                <w:iCs/>
                <w:sz w:val="24"/>
                <w:szCs w:val="24"/>
              </w:rPr>
              <w:t>ie</w:t>
            </w:r>
            <w:r w:rsidR="00C61FA1">
              <w:rPr>
                <w:rFonts w:ascii="Times New Roman" w:hAnsi="Times New Roman" w:cs="Times New Roman"/>
                <w:bCs/>
                <w:iCs/>
                <w:sz w:val="24"/>
                <w:szCs w:val="24"/>
              </w:rPr>
              <w:t xml:space="preserve">m </w:t>
            </w:r>
            <w:r w:rsidR="00C61FA1">
              <w:rPr>
                <w:rFonts w:ascii="Times New Roman" w:hAnsi="Times New Roman" w:cs="Times New Roman"/>
                <w:bCs/>
                <w:iCs/>
                <w:sz w:val="24"/>
                <w:szCs w:val="24"/>
              </w:rPr>
              <w:lastRenderedPageBreak/>
              <w:t xml:space="preserve">noteikumu projekta </w:t>
            </w:r>
            <w:r w:rsidR="003D4C96">
              <w:rPr>
                <w:rFonts w:ascii="Times New Roman" w:hAnsi="Times New Roman" w:cs="Times New Roman"/>
                <w:bCs/>
                <w:iCs/>
                <w:sz w:val="24"/>
                <w:szCs w:val="24"/>
              </w:rPr>
              <w:t>9</w:t>
            </w:r>
            <w:r w:rsidR="00C61FA1">
              <w:rPr>
                <w:rFonts w:ascii="Times New Roman" w:hAnsi="Times New Roman" w:cs="Times New Roman"/>
                <w:bCs/>
                <w:iCs/>
                <w:sz w:val="24"/>
                <w:szCs w:val="24"/>
              </w:rPr>
              <w:t>. punkt</w:t>
            </w:r>
            <w:r w:rsidR="003D4C96">
              <w:rPr>
                <w:rFonts w:ascii="Times New Roman" w:hAnsi="Times New Roman" w:cs="Times New Roman"/>
                <w:bCs/>
                <w:iCs/>
                <w:sz w:val="24"/>
                <w:szCs w:val="24"/>
              </w:rPr>
              <w:t>ā</w:t>
            </w:r>
            <w:r w:rsidR="00C61FA1">
              <w:rPr>
                <w:rFonts w:ascii="Times New Roman" w:hAnsi="Times New Roman" w:cs="Times New Roman"/>
                <w:bCs/>
                <w:iCs/>
                <w:sz w:val="24"/>
                <w:szCs w:val="24"/>
              </w:rPr>
              <w:t xml:space="preserve"> minētaj</w:t>
            </w:r>
            <w:r w:rsidR="00292F88">
              <w:rPr>
                <w:rFonts w:ascii="Times New Roman" w:hAnsi="Times New Roman" w:cs="Times New Roman"/>
                <w:bCs/>
                <w:iCs/>
                <w:sz w:val="24"/>
                <w:szCs w:val="24"/>
              </w:rPr>
              <w:t>ie</w:t>
            </w:r>
            <w:r w:rsidR="00C61FA1">
              <w:rPr>
                <w:rFonts w:ascii="Times New Roman" w:hAnsi="Times New Roman" w:cs="Times New Roman"/>
                <w:bCs/>
                <w:iCs/>
                <w:sz w:val="24"/>
                <w:szCs w:val="24"/>
              </w:rPr>
              <w:t>m komponent</w:t>
            </w:r>
            <w:r w:rsidR="00292F88">
              <w:rPr>
                <w:rFonts w:ascii="Times New Roman" w:hAnsi="Times New Roman" w:cs="Times New Roman"/>
                <w:bCs/>
                <w:iCs/>
                <w:sz w:val="24"/>
                <w:szCs w:val="24"/>
              </w:rPr>
              <w:t>ie</w:t>
            </w:r>
            <w:r w:rsidR="00C61FA1">
              <w:rPr>
                <w:rFonts w:ascii="Times New Roman" w:hAnsi="Times New Roman" w:cs="Times New Roman"/>
                <w:bCs/>
                <w:iCs/>
                <w:sz w:val="24"/>
                <w:szCs w:val="24"/>
              </w:rPr>
              <w:t>m jābūt pakārtot</w:t>
            </w:r>
            <w:r w:rsidR="00292F88">
              <w:rPr>
                <w:rFonts w:ascii="Times New Roman" w:hAnsi="Times New Roman" w:cs="Times New Roman"/>
                <w:bCs/>
                <w:iCs/>
                <w:sz w:val="24"/>
                <w:szCs w:val="24"/>
              </w:rPr>
              <w:t>ie</w:t>
            </w:r>
            <w:r w:rsidR="00C61FA1">
              <w:rPr>
                <w:rFonts w:ascii="Times New Roman" w:hAnsi="Times New Roman" w:cs="Times New Roman"/>
                <w:bCs/>
                <w:iCs/>
                <w:sz w:val="24"/>
                <w:szCs w:val="24"/>
              </w:rPr>
              <w:t>m sabiedrības noteiktajai stratēģijai</w:t>
            </w:r>
            <w:r w:rsidR="0007334E">
              <w:rPr>
                <w:rFonts w:ascii="Times New Roman" w:hAnsi="Times New Roman" w:cs="Times New Roman"/>
                <w:bCs/>
                <w:iCs/>
                <w:sz w:val="24"/>
                <w:szCs w:val="24"/>
              </w:rPr>
              <w:t xml:space="preserve">, tās periodam </w:t>
            </w:r>
            <w:r w:rsidR="00C61FA1">
              <w:rPr>
                <w:rFonts w:ascii="Times New Roman" w:hAnsi="Times New Roman" w:cs="Times New Roman"/>
                <w:bCs/>
                <w:iCs/>
                <w:sz w:val="24"/>
                <w:szCs w:val="24"/>
              </w:rPr>
              <w:t>un tajā ietverto mērķu sasniegšana</w:t>
            </w:r>
            <w:r w:rsidR="00292F88">
              <w:rPr>
                <w:rFonts w:ascii="Times New Roman" w:hAnsi="Times New Roman" w:cs="Times New Roman"/>
                <w:bCs/>
                <w:iCs/>
                <w:sz w:val="24"/>
                <w:szCs w:val="24"/>
              </w:rPr>
              <w:t>i</w:t>
            </w:r>
            <w:r w:rsidR="001055C9">
              <w:rPr>
                <w:rFonts w:ascii="Times New Roman" w:hAnsi="Times New Roman" w:cs="Times New Roman"/>
                <w:bCs/>
                <w:iCs/>
                <w:sz w:val="24"/>
                <w:szCs w:val="24"/>
              </w:rPr>
              <w:t xml:space="preserve">, </w:t>
            </w:r>
            <w:r w:rsidR="00BE4173" w:rsidRPr="00BE4173">
              <w:rPr>
                <w:rFonts w:ascii="Times New Roman" w:hAnsi="Times New Roman" w:cs="Times New Roman"/>
                <w:bCs/>
                <w:iCs/>
                <w:sz w:val="24"/>
                <w:szCs w:val="24"/>
              </w:rPr>
              <w:t xml:space="preserve">lai nodrošinātu, ka </w:t>
            </w:r>
            <w:r w:rsidR="001055C9">
              <w:rPr>
                <w:rFonts w:ascii="Times New Roman" w:hAnsi="Times New Roman" w:cs="Times New Roman"/>
                <w:bCs/>
                <w:iCs/>
                <w:sz w:val="24"/>
                <w:szCs w:val="24"/>
              </w:rPr>
              <w:t xml:space="preserve">sabiedrība </w:t>
            </w:r>
            <w:r w:rsidR="00BE4173" w:rsidRPr="00BE4173">
              <w:rPr>
                <w:rFonts w:ascii="Times New Roman" w:hAnsi="Times New Roman" w:cs="Times New Roman"/>
                <w:bCs/>
                <w:iCs/>
                <w:sz w:val="24"/>
                <w:szCs w:val="24"/>
              </w:rPr>
              <w:t>spēj saglabāt stabilu kapitāla bāzi un efektīvi pārvaldīt riskus.</w:t>
            </w:r>
            <w:r w:rsidR="001055C9">
              <w:rPr>
                <w:rFonts w:ascii="Times New Roman" w:hAnsi="Times New Roman" w:cs="Times New Roman"/>
                <w:bCs/>
                <w:iCs/>
                <w:sz w:val="24"/>
                <w:szCs w:val="24"/>
              </w:rPr>
              <w:t xml:space="preserve"> </w:t>
            </w:r>
            <w:r w:rsidR="00E60BEF">
              <w:rPr>
                <w:rFonts w:ascii="Times New Roman" w:hAnsi="Times New Roman" w:cs="Times New Roman"/>
                <w:bCs/>
                <w:iCs/>
                <w:sz w:val="24"/>
                <w:szCs w:val="24"/>
              </w:rPr>
              <w:t>Tas neaizliedz sabiedrībai sagatavot plānošanas dokumentus, kas aptver ilgāku laika periodu. Latvijas Bankas ieskatā sabiedrības stratēģija ir sabiedrības attīstības pamatdokuments</w:t>
            </w:r>
            <w:r w:rsidR="0007549A">
              <w:rPr>
                <w:rFonts w:ascii="Times New Roman" w:hAnsi="Times New Roman" w:cs="Times New Roman"/>
                <w:bCs/>
                <w:iCs/>
                <w:sz w:val="24"/>
                <w:szCs w:val="24"/>
              </w:rPr>
              <w:t>, kas ļauj novērtēt plānotos darbības virzienus</w:t>
            </w:r>
            <w:r w:rsidR="004F4D6C">
              <w:rPr>
                <w:rFonts w:ascii="Times New Roman" w:hAnsi="Times New Roman" w:cs="Times New Roman"/>
                <w:bCs/>
                <w:iCs/>
                <w:sz w:val="24"/>
                <w:szCs w:val="24"/>
              </w:rPr>
              <w:t xml:space="preserve"> un sasniedzamos mērķus</w:t>
            </w:r>
            <w:r w:rsidR="00292F88">
              <w:rPr>
                <w:rFonts w:ascii="Times New Roman" w:hAnsi="Times New Roman" w:cs="Times New Roman"/>
                <w:bCs/>
                <w:iCs/>
                <w:sz w:val="24"/>
                <w:szCs w:val="24"/>
              </w:rPr>
              <w:t>,</w:t>
            </w:r>
            <w:r w:rsidR="00853445">
              <w:rPr>
                <w:rFonts w:ascii="Times New Roman" w:hAnsi="Times New Roman" w:cs="Times New Roman"/>
                <w:bCs/>
                <w:iCs/>
                <w:sz w:val="24"/>
                <w:szCs w:val="24"/>
              </w:rPr>
              <w:t xml:space="preserve"> un tas ir viens no elementiem </w:t>
            </w:r>
            <w:r w:rsidR="00853445" w:rsidRPr="00853445">
              <w:rPr>
                <w:rFonts w:ascii="Times New Roman" w:hAnsi="Times New Roman" w:cs="Times New Roman"/>
                <w:bCs/>
                <w:iCs/>
                <w:sz w:val="24"/>
                <w:szCs w:val="24"/>
              </w:rPr>
              <w:t>uzraudzības pārbaudes un novērtē</w:t>
            </w:r>
            <w:r w:rsidR="00292F88">
              <w:rPr>
                <w:rFonts w:ascii="Times New Roman" w:hAnsi="Times New Roman" w:cs="Times New Roman"/>
                <w:bCs/>
                <w:iCs/>
                <w:sz w:val="24"/>
                <w:szCs w:val="24"/>
              </w:rPr>
              <w:t>šanas</w:t>
            </w:r>
            <w:r w:rsidR="00853445" w:rsidRPr="00853445">
              <w:rPr>
                <w:rFonts w:ascii="Times New Roman" w:hAnsi="Times New Roman" w:cs="Times New Roman"/>
                <w:bCs/>
                <w:iCs/>
                <w:sz w:val="24"/>
                <w:szCs w:val="24"/>
              </w:rPr>
              <w:t xml:space="preserve"> proces</w:t>
            </w:r>
            <w:r w:rsidR="00853445">
              <w:rPr>
                <w:rFonts w:ascii="Times New Roman" w:hAnsi="Times New Roman" w:cs="Times New Roman"/>
                <w:bCs/>
                <w:iCs/>
                <w:sz w:val="24"/>
                <w:szCs w:val="24"/>
              </w:rPr>
              <w:t>ā, lai novērtētu sabiedrības</w:t>
            </w:r>
            <w:r w:rsidR="00A37D5C">
              <w:rPr>
                <w:rFonts w:ascii="Times New Roman" w:hAnsi="Times New Roman" w:cs="Times New Roman"/>
                <w:bCs/>
                <w:iCs/>
                <w:sz w:val="24"/>
                <w:szCs w:val="24"/>
              </w:rPr>
              <w:t xml:space="preserve"> komercdarbības modeli un tā atbilstību noteiktajai stratēģijai</w:t>
            </w:r>
            <w:r w:rsidR="00E06680">
              <w:rPr>
                <w:rFonts w:ascii="Times New Roman" w:hAnsi="Times New Roman" w:cs="Times New Roman"/>
                <w:bCs/>
                <w:iCs/>
                <w:sz w:val="24"/>
                <w:szCs w:val="24"/>
              </w:rPr>
              <w:t xml:space="preserve"> atbilstoši Ieguldījumu brokeru sabiedrību likuma 43. panta otrajā daļā noteiktajam.</w:t>
            </w:r>
          </w:p>
          <w:p w14:paraId="339963C8" w14:textId="77777777" w:rsidR="00400F08" w:rsidRDefault="00400F08" w:rsidP="00737CE4">
            <w:pPr>
              <w:spacing w:after="0" w:line="240" w:lineRule="auto"/>
              <w:jc w:val="both"/>
              <w:rPr>
                <w:rFonts w:ascii="Times New Roman" w:hAnsi="Times New Roman" w:cs="Times New Roman"/>
                <w:bCs/>
                <w:iCs/>
                <w:sz w:val="24"/>
                <w:szCs w:val="24"/>
              </w:rPr>
            </w:pPr>
          </w:p>
          <w:p w14:paraId="55B937A2" w14:textId="118009FF" w:rsidR="002B0F1C" w:rsidRDefault="003D4C96" w:rsidP="00844CD7">
            <w:pPr>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9</w:t>
            </w:r>
            <w:r w:rsidR="00F2678F">
              <w:rPr>
                <w:rFonts w:ascii="Times New Roman" w:hAnsi="Times New Roman" w:cs="Times New Roman"/>
                <w:bCs/>
                <w:iCs/>
                <w:sz w:val="24"/>
                <w:szCs w:val="24"/>
              </w:rPr>
              <w:t>.1. apakšpunkts izteikts jaunā redakcijā:</w:t>
            </w:r>
          </w:p>
          <w:p w14:paraId="41C3006F" w14:textId="0081DA03" w:rsidR="00F2678F" w:rsidRDefault="00737CE4" w:rsidP="00392A99">
            <w:pPr>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w:t>
            </w:r>
            <w:r w:rsidR="003D4C96">
              <w:rPr>
                <w:rFonts w:ascii="Times New Roman" w:hAnsi="Times New Roman" w:cs="Times New Roman"/>
                <w:bCs/>
                <w:iCs/>
                <w:sz w:val="24"/>
                <w:szCs w:val="24"/>
              </w:rPr>
              <w:t>9</w:t>
            </w:r>
            <w:r w:rsidR="00F2678F" w:rsidRPr="00F2678F">
              <w:rPr>
                <w:rFonts w:ascii="Times New Roman" w:hAnsi="Times New Roman" w:cs="Times New Roman"/>
                <w:bCs/>
                <w:iCs/>
                <w:sz w:val="24"/>
                <w:szCs w:val="24"/>
              </w:rPr>
              <w:t>.1.</w:t>
            </w:r>
            <w:r w:rsidR="00F2678F" w:rsidRPr="00F2678F">
              <w:rPr>
                <w:rFonts w:ascii="Times New Roman" w:hAnsi="Times New Roman" w:cs="Times New Roman"/>
                <w:bCs/>
                <w:iCs/>
                <w:sz w:val="24"/>
                <w:szCs w:val="24"/>
              </w:rPr>
              <w:tab/>
            </w:r>
            <w:bookmarkStart w:id="3" w:name="_Hlk183504333"/>
            <w:r w:rsidR="00F2678F" w:rsidRPr="00F2678F">
              <w:rPr>
                <w:rFonts w:ascii="Times New Roman" w:hAnsi="Times New Roman" w:cs="Times New Roman"/>
                <w:bCs/>
                <w:iCs/>
                <w:sz w:val="24"/>
                <w:szCs w:val="24"/>
              </w:rPr>
              <w:t xml:space="preserve">darbības mērķus, </w:t>
            </w:r>
            <w:r w:rsidR="00F2678F">
              <w:rPr>
                <w:rFonts w:ascii="Times New Roman" w:hAnsi="Times New Roman" w:cs="Times New Roman"/>
                <w:bCs/>
                <w:iCs/>
                <w:sz w:val="24"/>
                <w:szCs w:val="24"/>
              </w:rPr>
              <w:t xml:space="preserve">tai skaitā </w:t>
            </w:r>
            <w:r w:rsidR="00F2678F" w:rsidRPr="00F2678F">
              <w:rPr>
                <w:rFonts w:ascii="Times New Roman" w:hAnsi="Times New Roman" w:cs="Times New Roman"/>
                <w:bCs/>
                <w:iCs/>
                <w:sz w:val="24"/>
                <w:szCs w:val="24"/>
              </w:rPr>
              <w:t>darbības veidus, mērķa tirgus, mērķa klientus</w:t>
            </w:r>
            <w:r w:rsidR="00F2678F">
              <w:rPr>
                <w:rFonts w:ascii="Times New Roman" w:hAnsi="Times New Roman" w:cs="Times New Roman"/>
                <w:bCs/>
                <w:iCs/>
                <w:sz w:val="24"/>
                <w:szCs w:val="24"/>
              </w:rPr>
              <w:t xml:space="preserve"> un </w:t>
            </w:r>
            <w:r w:rsidR="00F2678F" w:rsidRPr="00F2678F">
              <w:rPr>
                <w:rFonts w:ascii="Times New Roman" w:hAnsi="Times New Roman" w:cs="Times New Roman"/>
                <w:bCs/>
                <w:iCs/>
                <w:sz w:val="24"/>
                <w:szCs w:val="24"/>
              </w:rPr>
              <w:t>plānoto finansiālo stāvokli</w:t>
            </w:r>
            <w:bookmarkEnd w:id="3"/>
            <w:r w:rsidR="00F2678F" w:rsidRPr="00F2678F">
              <w:rPr>
                <w:rFonts w:ascii="Times New Roman" w:hAnsi="Times New Roman" w:cs="Times New Roman"/>
                <w:bCs/>
                <w:iCs/>
                <w:sz w:val="24"/>
                <w:szCs w:val="24"/>
              </w:rPr>
              <w:t>;</w:t>
            </w:r>
            <w:r>
              <w:rPr>
                <w:rFonts w:ascii="Times New Roman" w:hAnsi="Times New Roman" w:cs="Times New Roman"/>
                <w:bCs/>
                <w:iCs/>
                <w:sz w:val="24"/>
                <w:szCs w:val="24"/>
              </w:rPr>
              <w:t>"</w:t>
            </w:r>
            <w:r w:rsidR="00844CD7">
              <w:rPr>
                <w:rFonts w:ascii="Times New Roman" w:hAnsi="Times New Roman" w:cs="Times New Roman"/>
                <w:bCs/>
                <w:iCs/>
                <w:sz w:val="24"/>
                <w:szCs w:val="24"/>
              </w:rPr>
              <w:t>.</w:t>
            </w:r>
          </w:p>
          <w:p w14:paraId="00063EF7" w14:textId="77777777" w:rsidR="003D4C96" w:rsidRDefault="003D4C96">
            <w:pPr>
              <w:spacing w:before="240" w:after="0" w:line="240" w:lineRule="auto"/>
              <w:jc w:val="both"/>
              <w:rPr>
                <w:rFonts w:ascii="Times New Roman" w:hAnsi="Times New Roman" w:cs="Times New Roman"/>
                <w:bCs/>
                <w:iCs/>
                <w:sz w:val="24"/>
                <w:szCs w:val="24"/>
              </w:rPr>
            </w:pPr>
          </w:p>
          <w:p w14:paraId="05096C02" w14:textId="77777777" w:rsidR="006A0DFB" w:rsidRDefault="006A0DFB">
            <w:pPr>
              <w:spacing w:before="240" w:after="0" w:line="240" w:lineRule="auto"/>
              <w:jc w:val="both"/>
              <w:rPr>
                <w:rFonts w:ascii="Times New Roman" w:hAnsi="Times New Roman" w:cs="Times New Roman"/>
                <w:bCs/>
                <w:iCs/>
                <w:sz w:val="24"/>
                <w:szCs w:val="24"/>
              </w:rPr>
            </w:pPr>
          </w:p>
          <w:p w14:paraId="72B57278" w14:textId="2D6F211D" w:rsidR="00F2678F" w:rsidRDefault="003D4C96" w:rsidP="00D266CC">
            <w:pPr>
              <w:spacing w:before="240"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9</w:t>
            </w:r>
            <w:r w:rsidR="00400F08" w:rsidRPr="00400F08">
              <w:rPr>
                <w:rFonts w:ascii="Times New Roman" w:hAnsi="Times New Roman" w:cs="Times New Roman"/>
                <w:bCs/>
                <w:iCs/>
                <w:sz w:val="24"/>
                <w:szCs w:val="24"/>
              </w:rPr>
              <w:t>.</w:t>
            </w:r>
            <w:r w:rsidR="00400F08">
              <w:rPr>
                <w:rFonts w:ascii="Times New Roman" w:hAnsi="Times New Roman" w:cs="Times New Roman"/>
                <w:bCs/>
                <w:iCs/>
                <w:sz w:val="24"/>
                <w:szCs w:val="24"/>
              </w:rPr>
              <w:t>3</w:t>
            </w:r>
            <w:r w:rsidR="00400F08" w:rsidRPr="00400F08">
              <w:rPr>
                <w:rFonts w:ascii="Times New Roman" w:hAnsi="Times New Roman" w:cs="Times New Roman"/>
                <w:bCs/>
                <w:iCs/>
                <w:sz w:val="24"/>
                <w:szCs w:val="24"/>
              </w:rPr>
              <w:t>.</w:t>
            </w:r>
            <w:r w:rsidR="00400F08">
              <w:rPr>
                <w:rFonts w:ascii="Times New Roman" w:hAnsi="Times New Roman" w:cs="Times New Roman"/>
                <w:bCs/>
                <w:iCs/>
                <w:sz w:val="24"/>
                <w:szCs w:val="24"/>
              </w:rPr>
              <w:t> </w:t>
            </w:r>
            <w:r w:rsidR="00400F08" w:rsidRPr="00400F08">
              <w:rPr>
                <w:rFonts w:ascii="Times New Roman" w:hAnsi="Times New Roman" w:cs="Times New Roman"/>
                <w:bCs/>
                <w:iCs/>
                <w:sz w:val="24"/>
                <w:szCs w:val="24"/>
              </w:rPr>
              <w:t>apakšpunkts izteikts jaunā redakcijā:</w:t>
            </w:r>
          </w:p>
          <w:p w14:paraId="320BA081" w14:textId="68AE9654" w:rsidR="00853445" w:rsidRDefault="0007334E" w:rsidP="00392A99">
            <w:pPr>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w:t>
            </w:r>
            <w:r w:rsidR="003D4C96">
              <w:rPr>
                <w:rFonts w:ascii="Times New Roman" w:hAnsi="Times New Roman" w:cs="Times New Roman"/>
                <w:bCs/>
                <w:iCs/>
                <w:sz w:val="24"/>
                <w:szCs w:val="24"/>
              </w:rPr>
              <w:t>9</w:t>
            </w:r>
            <w:r w:rsidR="00400F08" w:rsidRPr="00400F08">
              <w:rPr>
                <w:rFonts w:ascii="Times New Roman" w:hAnsi="Times New Roman" w:cs="Times New Roman"/>
                <w:bCs/>
                <w:iCs/>
                <w:sz w:val="24"/>
                <w:szCs w:val="24"/>
              </w:rPr>
              <w:t>.3.</w:t>
            </w:r>
            <w:r w:rsidR="00400F08" w:rsidRPr="00400F08">
              <w:rPr>
                <w:rFonts w:ascii="Times New Roman" w:hAnsi="Times New Roman" w:cs="Times New Roman"/>
                <w:bCs/>
                <w:iCs/>
                <w:sz w:val="24"/>
                <w:szCs w:val="24"/>
              </w:rPr>
              <w:tab/>
            </w:r>
            <w:bookmarkStart w:id="4" w:name="_Hlk183504389"/>
            <w:r w:rsidR="00400F08" w:rsidRPr="00400F08">
              <w:rPr>
                <w:rFonts w:ascii="Times New Roman" w:hAnsi="Times New Roman" w:cs="Times New Roman"/>
                <w:bCs/>
                <w:iCs/>
                <w:sz w:val="24"/>
                <w:szCs w:val="24"/>
              </w:rPr>
              <w:t xml:space="preserve">kapitāla pietiekamības uzturēšanas stratēģiju, tai skaitā ar sabiedrības plānoto darbību saistīto risku segšanai nepieciešamā kapitāla apmēru, vēlamo kapitāla līmeni (kapitāla pietiekamības mērķus) un </w:t>
            </w:r>
            <w:r w:rsidR="00582DC0">
              <w:rPr>
                <w:rFonts w:ascii="Times New Roman" w:hAnsi="Times New Roman" w:cs="Times New Roman"/>
                <w:bCs/>
                <w:iCs/>
                <w:sz w:val="24"/>
                <w:szCs w:val="24"/>
              </w:rPr>
              <w:t xml:space="preserve">pieeju </w:t>
            </w:r>
            <w:r w:rsidR="00400F08" w:rsidRPr="00400F08">
              <w:rPr>
                <w:rFonts w:ascii="Times New Roman" w:hAnsi="Times New Roman" w:cs="Times New Roman"/>
                <w:bCs/>
                <w:iCs/>
                <w:sz w:val="24"/>
                <w:szCs w:val="24"/>
              </w:rPr>
              <w:t>tā sasniegšana</w:t>
            </w:r>
            <w:r w:rsidR="00400F08">
              <w:rPr>
                <w:rFonts w:ascii="Times New Roman" w:hAnsi="Times New Roman" w:cs="Times New Roman"/>
                <w:bCs/>
                <w:iCs/>
                <w:sz w:val="24"/>
                <w:szCs w:val="24"/>
              </w:rPr>
              <w:t>i</w:t>
            </w:r>
            <w:r w:rsidR="00400F08" w:rsidRPr="00400F08">
              <w:rPr>
                <w:rFonts w:ascii="Times New Roman" w:hAnsi="Times New Roman" w:cs="Times New Roman"/>
                <w:bCs/>
                <w:iCs/>
                <w:sz w:val="24"/>
                <w:szCs w:val="24"/>
              </w:rPr>
              <w:t xml:space="preserve">, kapitāla palielināšanas avotus, </w:t>
            </w:r>
            <w:r w:rsidR="00400F08" w:rsidRPr="00400F08">
              <w:rPr>
                <w:rFonts w:ascii="Times New Roman" w:hAnsi="Times New Roman" w:cs="Times New Roman"/>
                <w:bCs/>
                <w:iCs/>
                <w:sz w:val="24"/>
                <w:szCs w:val="24"/>
              </w:rPr>
              <w:lastRenderedPageBreak/>
              <w:t>paredzamos izdevumus papildu kapitāla piesaistīšanai, kapitāla pietiekamības uzturēšanas plānu ārkārtas gadījumos</w:t>
            </w:r>
            <w:bookmarkEnd w:id="4"/>
            <w:r w:rsidR="00400F08" w:rsidRPr="00400F08">
              <w:rPr>
                <w:rFonts w:ascii="Times New Roman" w:hAnsi="Times New Roman" w:cs="Times New Roman"/>
                <w:bCs/>
                <w:iCs/>
                <w:sz w:val="24"/>
                <w:szCs w:val="24"/>
              </w:rPr>
              <w:t>;</w:t>
            </w:r>
            <w:r>
              <w:rPr>
                <w:rFonts w:ascii="Times New Roman" w:hAnsi="Times New Roman" w:cs="Times New Roman"/>
                <w:bCs/>
                <w:iCs/>
                <w:sz w:val="24"/>
                <w:szCs w:val="24"/>
              </w:rPr>
              <w:t>"</w:t>
            </w:r>
            <w:r w:rsidR="00844CD7">
              <w:rPr>
                <w:rFonts w:ascii="Times New Roman" w:hAnsi="Times New Roman" w:cs="Times New Roman"/>
                <w:bCs/>
                <w:iCs/>
                <w:sz w:val="24"/>
                <w:szCs w:val="24"/>
              </w:rPr>
              <w:t>.</w:t>
            </w:r>
          </w:p>
          <w:p w14:paraId="7BC890C7" w14:textId="3C1073E8" w:rsidR="00400F08" w:rsidRDefault="003D4C96" w:rsidP="00844CD7">
            <w:pPr>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9</w:t>
            </w:r>
            <w:r w:rsidR="00582DC0">
              <w:rPr>
                <w:rFonts w:ascii="Times New Roman" w:hAnsi="Times New Roman" w:cs="Times New Roman"/>
                <w:bCs/>
                <w:iCs/>
                <w:sz w:val="24"/>
                <w:szCs w:val="24"/>
              </w:rPr>
              <w:t>.4. apakšpunkts izteikts jaunā redakcijā:</w:t>
            </w:r>
          </w:p>
          <w:p w14:paraId="5B843675" w14:textId="4E8B9A6D" w:rsidR="00400F08" w:rsidRDefault="0007334E" w:rsidP="00392A99">
            <w:pPr>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w:t>
            </w:r>
            <w:r w:rsidR="003D4C96">
              <w:rPr>
                <w:rFonts w:ascii="Times New Roman" w:hAnsi="Times New Roman" w:cs="Times New Roman"/>
                <w:bCs/>
                <w:iCs/>
                <w:sz w:val="24"/>
                <w:szCs w:val="24"/>
              </w:rPr>
              <w:t>9</w:t>
            </w:r>
            <w:r w:rsidR="00582DC0" w:rsidRPr="00582DC0">
              <w:rPr>
                <w:rFonts w:ascii="Times New Roman" w:hAnsi="Times New Roman" w:cs="Times New Roman"/>
                <w:bCs/>
                <w:iCs/>
                <w:sz w:val="24"/>
                <w:szCs w:val="24"/>
              </w:rPr>
              <w:t>.4.</w:t>
            </w:r>
            <w:r w:rsidR="00582DC0" w:rsidRPr="00582DC0">
              <w:rPr>
                <w:rFonts w:ascii="Times New Roman" w:hAnsi="Times New Roman" w:cs="Times New Roman"/>
                <w:bCs/>
                <w:iCs/>
                <w:sz w:val="24"/>
                <w:szCs w:val="24"/>
              </w:rPr>
              <w:tab/>
            </w:r>
            <w:bookmarkStart w:id="5" w:name="_Hlk183504410"/>
            <w:r w:rsidR="00582DC0" w:rsidRPr="00582DC0">
              <w:rPr>
                <w:rFonts w:ascii="Times New Roman" w:hAnsi="Times New Roman" w:cs="Times New Roman"/>
                <w:bCs/>
                <w:iCs/>
                <w:sz w:val="24"/>
                <w:szCs w:val="24"/>
              </w:rPr>
              <w:t xml:space="preserve">likviditātes </w:t>
            </w:r>
            <w:r w:rsidR="00582DC0">
              <w:rPr>
                <w:rFonts w:ascii="Times New Roman" w:hAnsi="Times New Roman" w:cs="Times New Roman"/>
                <w:bCs/>
                <w:iCs/>
                <w:sz w:val="24"/>
                <w:szCs w:val="24"/>
              </w:rPr>
              <w:t>nodrošināšanas stratēģiju</w:t>
            </w:r>
            <w:bookmarkEnd w:id="5"/>
            <w:r w:rsidR="00582DC0" w:rsidRPr="00582DC0">
              <w:rPr>
                <w:rFonts w:ascii="Times New Roman" w:hAnsi="Times New Roman" w:cs="Times New Roman"/>
                <w:bCs/>
                <w:iCs/>
                <w:sz w:val="24"/>
                <w:szCs w:val="24"/>
              </w:rPr>
              <w:t>.</w:t>
            </w:r>
            <w:r>
              <w:rPr>
                <w:rFonts w:ascii="Times New Roman" w:hAnsi="Times New Roman" w:cs="Times New Roman"/>
                <w:bCs/>
                <w:iCs/>
                <w:sz w:val="24"/>
                <w:szCs w:val="24"/>
              </w:rPr>
              <w:t>"</w:t>
            </w:r>
          </w:p>
          <w:p w14:paraId="27853276" w14:textId="77777777" w:rsidR="00400F08" w:rsidRDefault="00400F08" w:rsidP="00392A99">
            <w:pPr>
              <w:spacing w:after="120" w:line="240" w:lineRule="auto"/>
              <w:jc w:val="both"/>
              <w:rPr>
                <w:rFonts w:ascii="Times New Roman" w:hAnsi="Times New Roman" w:cs="Times New Roman"/>
                <w:bCs/>
                <w:iCs/>
                <w:sz w:val="24"/>
                <w:szCs w:val="24"/>
              </w:rPr>
            </w:pPr>
          </w:p>
          <w:p w14:paraId="46E7C157" w14:textId="428F7CDC" w:rsidR="00A44ED9" w:rsidRDefault="00A44ED9" w:rsidP="00392A99">
            <w:pPr>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Sabiebrības stratēģijas sagatavošanā var izmantot pieeju, k</w:t>
            </w:r>
            <w:r w:rsidR="00853445">
              <w:rPr>
                <w:rFonts w:ascii="Times New Roman" w:hAnsi="Times New Roman" w:cs="Times New Roman"/>
                <w:bCs/>
                <w:iCs/>
                <w:sz w:val="24"/>
                <w:szCs w:val="24"/>
              </w:rPr>
              <w:t xml:space="preserve">ura paredz </w:t>
            </w:r>
            <w:r>
              <w:rPr>
                <w:rFonts w:ascii="Times New Roman" w:hAnsi="Times New Roman" w:cs="Times New Roman"/>
                <w:bCs/>
                <w:iCs/>
                <w:sz w:val="24"/>
                <w:szCs w:val="24"/>
              </w:rPr>
              <w:t>t</w:t>
            </w:r>
            <w:r w:rsidR="00A37D5C">
              <w:rPr>
                <w:rFonts w:ascii="Times New Roman" w:hAnsi="Times New Roman" w:cs="Times New Roman"/>
                <w:bCs/>
                <w:iCs/>
                <w:sz w:val="24"/>
                <w:szCs w:val="24"/>
              </w:rPr>
              <w:t xml:space="preserve">o </w:t>
            </w:r>
            <w:r>
              <w:rPr>
                <w:rFonts w:ascii="Times New Roman" w:hAnsi="Times New Roman" w:cs="Times New Roman"/>
                <w:bCs/>
                <w:iCs/>
                <w:sz w:val="24"/>
                <w:szCs w:val="24"/>
              </w:rPr>
              <w:t>veido</w:t>
            </w:r>
            <w:r w:rsidR="00A37D5C">
              <w:rPr>
                <w:rFonts w:ascii="Times New Roman" w:hAnsi="Times New Roman" w:cs="Times New Roman"/>
                <w:bCs/>
                <w:iCs/>
                <w:sz w:val="24"/>
                <w:szCs w:val="24"/>
              </w:rPr>
              <w:t xml:space="preserve">t </w:t>
            </w:r>
            <w:r>
              <w:rPr>
                <w:rFonts w:ascii="Times New Roman" w:hAnsi="Times New Roman" w:cs="Times New Roman"/>
                <w:bCs/>
                <w:iCs/>
                <w:sz w:val="24"/>
                <w:szCs w:val="24"/>
              </w:rPr>
              <w:t>no atsevišķ</w:t>
            </w:r>
            <w:r w:rsidR="00E06104">
              <w:rPr>
                <w:rFonts w:ascii="Times New Roman" w:hAnsi="Times New Roman" w:cs="Times New Roman"/>
                <w:bCs/>
                <w:iCs/>
                <w:sz w:val="24"/>
                <w:szCs w:val="24"/>
              </w:rPr>
              <w:t>ie</w:t>
            </w:r>
            <w:r>
              <w:rPr>
                <w:rFonts w:ascii="Times New Roman" w:hAnsi="Times New Roman" w:cs="Times New Roman"/>
                <w:bCs/>
                <w:iCs/>
                <w:sz w:val="24"/>
                <w:szCs w:val="24"/>
              </w:rPr>
              <w:t>m komponent</w:t>
            </w:r>
            <w:r w:rsidR="00E06104">
              <w:rPr>
                <w:rFonts w:ascii="Times New Roman" w:hAnsi="Times New Roman" w:cs="Times New Roman"/>
                <w:bCs/>
                <w:iCs/>
                <w:sz w:val="24"/>
                <w:szCs w:val="24"/>
              </w:rPr>
              <w:t>ie</w:t>
            </w:r>
            <w:r>
              <w:rPr>
                <w:rFonts w:ascii="Times New Roman" w:hAnsi="Times New Roman" w:cs="Times New Roman"/>
                <w:bCs/>
                <w:iCs/>
                <w:sz w:val="24"/>
                <w:szCs w:val="24"/>
              </w:rPr>
              <w:t>m.</w:t>
            </w:r>
          </w:p>
          <w:p w14:paraId="49DEF085" w14:textId="35153F93" w:rsidR="0007549A" w:rsidRPr="00E60BEF" w:rsidRDefault="00DB7E60" w:rsidP="00392A99">
            <w:pPr>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Paskaidrojam, ka </w:t>
            </w:r>
            <w:r w:rsidRPr="00DB7E60">
              <w:rPr>
                <w:rFonts w:ascii="Times New Roman" w:hAnsi="Times New Roman" w:cs="Times New Roman"/>
                <w:bCs/>
                <w:iCs/>
                <w:sz w:val="24"/>
                <w:szCs w:val="24"/>
              </w:rPr>
              <w:t>Latvijas Banka 2025.</w:t>
            </w:r>
            <w:r w:rsidR="000756A5">
              <w:rPr>
                <w:rFonts w:ascii="Times New Roman" w:hAnsi="Times New Roman" w:cs="Times New Roman"/>
                <w:bCs/>
                <w:iCs/>
                <w:sz w:val="24"/>
                <w:szCs w:val="24"/>
              </w:rPr>
              <w:t> </w:t>
            </w:r>
            <w:r w:rsidRPr="00DB7E60">
              <w:rPr>
                <w:rFonts w:ascii="Times New Roman" w:hAnsi="Times New Roman" w:cs="Times New Roman"/>
                <w:bCs/>
                <w:iCs/>
                <w:sz w:val="24"/>
                <w:szCs w:val="24"/>
              </w:rPr>
              <w:t>gadā atbilstoši Ieguldījumu brokeru sabiedrību likuma 31.</w:t>
            </w:r>
            <w:r w:rsidR="000756A5">
              <w:rPr>
                <w:rFonts w:ascii="Times New Roman" w:hAnsi="Times New Roman" w:cs="Times New Roman"/>
                <w:bCs/>
                <w:iCs/>
                <w:sz w:val="24"/>
                <w:szCs w:val="24"/>
              </w:rPr>
              <w:t> </w:t>
            </w:r>
            <w:r w:rsidRPr="00DB7E60">
              <w:rPr>
                <w:rFonts w:ascii="Times New Roman" w:hAnsi="Times New Roman" w:cs="Times New Roman"/>
                <w:bCs/>
                <w:iCs/>
                <w:sz w:val="24"/>
                <w:szCs w:val="24"/>
              </w:rPr>
              <w:t xml:space="preserve">panta pirmās daļas </w:t>
            </w:r>
            <w:r w:rsidR="000756A5">
              <w:rPr>
                <w:rFonts w:ascii="Times New Roman" w:hAnsi="Times New Roman" w:cs="Times New Roman"/>
                <w:bCs/>
                <w:iCs/>
                <w:sz w:val="24"/>
                <w:szCs w:val="24"/>
              </w:rPr>
              <w:t>3. </w:t>
            </w:r>
            <w:r w:rsidRPr="00DB7E60">
              <w:rPr>
                <w:rFonts w:ascii="Times New Roman" w:hAnsi="Times New Roman" w:cs="Times New Roman"/>
                <w:bCs/>
                <w:iCs/>
                <w:sz w:val="24"/>
                <w:szCs w:val="24"/>
              </w:rPr>
              <w:t>punktā ietvertajam deleģējumam izdos noteikumus par kapitāla un likviditātes pietiekamības novērtēšanas procesa izveides prasībām.</w:t>
            </w:r>
          </w:p>
        </w:tc>
      </w:tr>
      <w:tr w:rsidR="00E4143F" w:rsidRPr="0056522A" w14:paraId="52F446B4" w14:textId="77777777" w:rsidTr="00935455">
        <w:tc>
          <w:tcPr>
            <w:tcW w:w="0" w:type="auto"/>
            <w:tcBorders>
              <w:top w:val="single" w:sz="4" w:space="0" w:color="auto"/>
              <w:left w:val="single" w:sz="4" w:space="0" w:color="auto"/>
              <w:bottom w:val="single" w:sz="4" w:space="0" w:color="auto"/>
              <w:right w:val="single" w:sz="4" w:space="0" w:color="auto"/>
            </w:tcBorders>
          </w:tcPr>
          <w:p w14:paraId="2768F367" w14:textId="2184E613" w:rsidR="00E4143F" w:rsidRPr="0056522A" w:rsidRDefault="005267C2" w:rsidP="0056522A">
            <w:pPr>
              <w:spacing w:after="120" w:line="240" w:lineRule="auto"/>
              <w:ind w:left="720"/>
              <w:rPr>
                <w:rFonts w:ascii="Times New Roman" w:hAnsi="Times New Roman" w:cs="Times New Roman"/>
                <w:bCs/>
                <w:sz w:val="24"/>
                <w:szCs w:val="24"/>
              </w:rPr>
            </w:pPr>
            <w:r>
              <w:rPr>
                <w:rFonts w:ascii="Times New Roman" w:hAnsi="Times New Roman" w:cs="Times New Roman"/>
                <w:bCs/>
                <w:sz w:val="24"/>
                <w:szCs w:val="24"/>
              </w:rPr>
              <w:lastRenderedPageBreak/>
              <w:t>4.</w:t>
            </w:r>
          </w:p>
        </w:tc>
        <w:tc>
          <w:tcPr>
            <w:tcW w:w="3779" w:type="dxa"/>
            <w:tcBorders>
              <w:top w:val="single" w:sz="4" w:space="0" w:color="auto"/>
              <w:left w:val="single" w:sz="4" w:space="0" w:color="auto"/>
              <w:bottom w:val="single" w:sz="4" w:space="0" w:color="auto"/>
              <w:right w:val="single" w:sz="4" w:space="0" w:color="auto"/>
            </w:tcBorders>
            <w:shd w:val="clear" w:color="auto" w:fill="auto"/>
          </w:tcPr>
          <w:p w14:paraId="004E6B19" w14:textId="5464D98F" w:rsidR="00E4143F" w:rsidRPr="00307AF8" w:rsidRDefault="00307AF8" w:rsidP="00935455">
            <w:pPr>
              <w:tabs>
                <w:tab w:val="left" w:pos="494"/>
              </w:tabs>
              <w:spacing w:after="120" w:line="240" w:lineRule="auto"/>
              <w:jc w:val="both"/>
              <w:rPr>
                <w:rFonts w:ascii="Times New Roman" w:hAnsi="Times New Roman" w:cs="Times New Roman"/>
                <w:bCs/>
                <w:sz w:val="24"/>
                <w:szCs w:val="24"/>
              </w:rPr>
            </w:pPr>
            <w:r w:rsidRPr="00307AF8">
              <w:rPr>
                <w:rFonts w:ascii="Times New Roman" w:hAnsi="Times New Roman" w:cs="Times New Roman"/>
                <w:bCs/>
                <w:sz w:val="24"/>
                <w:szCs w:val="24"/>
              </w:rPr>
              <w:t>12.</w:t>
            </w:r>
            <w:r w:rsidRPr="00307AF8">
              <w:rPr>
                <w:rFonts w:ascii="Times New Roman" w:hAnsi="Times New Roman" w:cs="Times New Roman"/>
                <w:bCs/>
                <w:sz w:val="24"/>
                <w:szCs w:val="24"/>
              </w:rPr>
              <w:tab/>
              <w:t>Sabiedrība izstrādā darbības plānu katram gadam, kurā norāda vismaz nākamajā gadā plānoto sabiedrības finansiālo stāvokli, vietu tirgū, darbības mērķus attiecīgajā periodā, darbības veidus, raksturīgākos darījumus, varbūtējos riskus, ar sabiedrības plānoto darbību saistīto risku segšanai nepieciešamā kapitāla apmēru un darbības rezultātu novērtēšanas kritērijus.</w:t>
            </w:r>
          </w:p>
        </w:tc>
        <w:tc>
          <w:tcPr>
            <w:tcW w:w="4192" w:type="dxa"/>
            <w:tcBorders>
              <w:top w:val="single" w:sz="4" w:space="0" w:color="auto"/>
              <w:left w:val="single" w:sz="4" w:space="0" w:color="auto"/>
              <w:bottom w:val="single" w:sz="4" w:space="0" w:color="auto"/>
              <w:right w:val="single" w:sz="4" w:space="0" w:color="auto"/>
            </w:tcBorders>
            <w:shd w:val="clear" w:color="auto" w:fill="auto"/>
          </w:tcPr>
          <w:p w14:paraId="5F78BB0B" w14:textId="1C218543" w:rsidR="00E559BF" w:rsidRDefault="0067587D" w:rsidP="00E06104">
            <w:pPr>
              <w:spacing w:after="120" w:line="240" w:lineRule="auto"/>
              <w:rPr>
                <w:rFonts w:ascii="Times New Roman" w:hAnsi="Times New Roman" w:cs="Times New Roman"/>
                <w:b/>
                <w:bCs/>
                <w:sz w:val="24"/>
                <w:szCs w:val="24"/>
              </w:rPr>
            </w:pPr>
            <w:r>
              <w:rPr>
                <w:rFonts w:ascii="Times New Roman" w:hAnsi="Times New Roman" w:cs="Times New Roman"/>
                <w:b/>
                <w:bCs/>
                <w:sz w:val="24"/>
                <w:szCs w:val="24"/>
              </w:rPr>
              <w:t>AS </w:t>
            </w:r>
            <w:proofErr w:type="spellStart"/>
            <w:r w:rsidR="00E559BF" w:rsidRPr="00E4143F">
              <w:rPr>
                <w:rFonts w:ascii="Times New Roman" w:hAnsi="Times New Roman" w:cs="Times New Roman"/>
                <w:b/>
                <w:bCs/>
                <w:sz w:val="24"/>
                <w:szCs w:val="24"/>
              </w:rPr>
              <w:t>Mintos</w:t>
            </w:r>
            <w:proofErr w:type="spellEnd"/>
            <w:r w:rsidR="00E559BF" w:rsidRPr="00E4143F">
              <w:rPr>
                <w:rFonts w:ascii="Times New Roman" w:hAnsi="Times New Roman" w:cs="Times New Roman"/>
                <w:b/>
                <w:bCs/>
                <w:sz w:val="24"/>
                <w:szCs w:val="24"/>
              </w:rPr>
              <w:t xml:space="preserve"> Marketplace</w:t>
            </w:r>
          </w:p>
          <w:p w14:paraId="3B7C3339" w14:textId="3810F9C5" w:rsidR="00E4143F" w:rsidRPr="00E559BF" w:rsidRDefault="00E4143F" w:rsidP="00935455">
            <w:pPr>
              <w:tabs>
                <w:tab w:val="left" w:pos="368"/>
              </w:tabs>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t>4.</w:t>
            </w:r>
            <w:r w:rsidRPr="00E559BF">
              <w:rPr>
                <w:rFonts w:ascii="Times New Roman" w:hAnsi="Times New Roman" w:cs="Times New Roman"/>
                <w:sz w:val="24"/>
                <w:szCs w:val="24"/>
              </w:rPr>
              <w:tab/>
              <w:t>Noteikumu 12.punkts:</w:t>
            </w:r>
          </w:p>
          <w:p w14:paraId="5B6F45CB" w14:textId="34C79832" w:rsidR="00E4143F" w:rsidRPr="00E559BF" w:rsidRDefault="00E4143F" w:rsidP="00E06104">
            <w:pPr>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t xml:space="preserve">Aicinām vienkāršot šī punkta redakciju, nosakot, ka </w:t>
            </w:r>
            <w:r w:rsidR="005541EE">
              <w:rPr>
                <w:rFonts w:ascii="Times New Roman" w:hAnsi="Times New Roman" w:cs="Times New Roman"/>
                <w:sz w:val="24"/>
                <w:szCs w:val="24"/>
              </w:rPr>
              <w:t>"</w:t>
            </w:r>
            <w:r w:rsidRPr="00E559BF">
              <w:rPr>
                <w:rFonts w:ascii="Times New Roman" w:hAnsi="Times New Roman" w:cs="Times New Roman"/>
                <w:sz w:val="24"/>
                <w:szCs w:val="24"/>
              </w:rPr>
              <w:t>norāda vismaz nākamajā gadā plānoto sabiedrības finansiālo prognozi un kapitāla apmēru un būtiskos pieņēmumus, uz kuriem prognoze ir balstīta</w:t>
            </w:r>
            <w:r w:rsidR="005541EE">
              <w:rPr>
                <w:rFonts w:ascii="Times New Roman" w:hAnsi="Times New Roman" w:cs="Times New Roman"/>
                <w:sz w:val="24"/>
                <w:szCs w:val="24"/>
              </w:rPr>
              <w:t>"</w:t>
            </w:r>
            <w:r w:rsidRPr="00E559BF">
              <w:rPr>
                <w:rFonts w:ascii="Times New Roman" w:hAnsi="Times New Roman" w:cs="Times New Roman"/>
                <w:sz w:val="24"/>
                <w:szCs w:val="24"/>
              </w:rPr>
              <w:t xml:space="preserve">. </w:t>
            </w:r>
            <w:r w:rsidR="005541EE">
              <w:rPr>
                <w:rFonts w:ascii="Times New Roman" w:hAnsi="Times New Roman" w:cs="Times New Roman"/>
                <w:sz w:val="24"/>
                <w:szCs w:val="24"/>
              </w:rPr>
              <w:t>"</w:t>
            </w:r>
            <w:r w:rsidRPr="00E559BF">
              <w:rPr>
                <w:rFonts w:ascii="Times New Roman" w:hAnsi="Times New Roman" w:cs="Times New Roman"/>
                <w:sz w:val="24"/>
                <w:szCs w:val="24"/>
              </w:rPr>
              <w:t>Vieta tirgū/raksturīgie produkti/varbūtējie riski</w:t>
            </w:r>
            <w:r w:rsidR="005541EE">
              <w:rPr>
                <w:rFonts w:ascii="Times New Roman" w:hAnsi="Times New Roman" w:cs="Times New Roman"/>
                <w:sz w:val="24"/>
                <w:szCs w:val="24"/>
              </w:rPr>
              <w:t>"</w:t>
            </w:r>
            <w:r w:rsidRPr="00E559BF">
              <w:rPr>
                <w:rFonts w:ascii="Times New Roman" w:hAnsi="Times New Roman" w:cs="Times New Roman"/>
                <w:sz w:val="24"/>
                <w:szCs w:val="24"/>
              </w:rPr>
              <w:t xml:space="preserve"> jau vajadzētu būt nosegtiem ar stratēģiju.</w:t>
            </w:r>
          </w:p>
        </w:tc>
        <w:tc>
          <w:tcPr>
            <w:tcW w:w="5389" w:type="dxa"/>
            <w:tcBorders>
              <w:top w:val="single" w:sz="4" w:space="0" w:color="auto"/>
              <w:left w:val="single" w:sz="4" w:space="0" w:color="auto"/>
              <w:bottom w:val="single" w:sz="4" w:space="0" w:color="auto"/>
              <w:right w:val="single" w:sz="4" w:space="0" w:color="auto"/>
            </w:tcBorders>
            <w:shd w:val="clear" w:color="auto" w:fill="auto"/>
          </w:tcPr>
          <w:p w14:paraId="4B19C789" w14:textId="20250E36" w:rsidR="00AF7176" w:rsidRPr="00AF7176" w:rsidRDefault="00AF7176" w:rsidP="00E06104">
            <w:pPr>
              <w:spacing w:after="120" w:line="240" w:lineRule="auto"/>
              <w:jc w:val="both"/>
              <w:rPr>
                <w:rFonts w:ascii="Times New Roman" w:hAnsi="Times New Roman" w:cs="Times New Roman"/>
                <w:b/>
                <w:iCs/>
                <w:sz w:val="24"/>
                <w:szCs w:val="24"/>
              </w:rPr>
            </w:pPr>
            <w:r w:rsidRPr="00AF7176">
              <w:rPr>
                <w:rFonts w:ascii="Times New Roman" w:hAnsi="Times New Roman" w:cs="Times New Roman"/>
                <w:b/>
                <w:iCs/>
                <w:sz w:val="24"/>
                <w:szCs w:val="24"/>
              </w:rPr>
              <w:t>Ņemts vērā.</w:t>
            </w:r>
          </w:p>
          <w:p w14:paraId="2B56EC03" w14:textId="575868BE" w:rsidR="00E06104" w:rsidRDefault="00E06104" w:rsidP="00844CD7">
            <w:pPr>
              <w:tabs>
                <w:tab w:val="left" w:pos="461"/>
              </w:tabs>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1</w:t>
            </w:r>
            <w:r w:rsidR="003D4C96">
              <w:rPr>
                <w:rFonts w:ascii="Times New Roman" w:hAnsi="Times New Roman" w:cs="Times New Roman"/>
                <w:bCs/>
                <w:iCs/>
                <w:sz w:val="24"/>
                <w:szCs w:val="24"/>
              </w:rPr>
              <w:t>1</w:t>
            </w:r>
            <w:r>
              <w:rPr>
                <w:rFonts w:ascii="Times New Roman" w:hAnsi="Times New Roman" w:cs="Times New Roman"/>
                <w:bCs/>
                <w:iCs/>
                <w:sz w:val="24"/>
                <w:szCs w:val="24"/>
              </w:rPr>
              <w:t xml:space="preserve">. punkts izteikts jaunā redakcijā: </w:t>
            </w:r>
          </w:p>
          <w:p w14:paraId="56D560ED" w14:textId="5BE05774" w:rsidR="00E4143F" w:rsidRPr="00307AF8" w:rsidRDefault="00E06104" w:rsidP="00935455">
            <w:pPr>
              <w:tabs>
                <w:tab w:val="left" w:pos="461"/>
              </w:tabs>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w:t>
            </w:r>
            <w:r w:rsidR="00307AF8" w:rsidRPr="00307AF8">
              <w:rPr>
                <w:rFonts w:ascii="Times New Roman" w:hAnsi="Times New Roman" w:cs="Times New Roman"/>
                <w:bCs/>
                <w:iCs/>
                <w:sz w:val="24"/>
                <w:szCs w:val="24"/>
              </w:rPr>
              <w:t>1</w:t>
            </w:r>
            <w:r w:rsidR="003D4C96">
              <w:rPr>
                <w:rFonts w:ascii="Times New Roman" w:hAnsi="Times New Roman" w:cs="Times New Roman"/>
                <w:bCs/>
                <w:iCs/>
                <w:sz w:val="24"/>
                <w:szCs w:val="24"/>
              </w:rPr>
              <w:t>1</w:t>
            </w:r>
            <w:r w:rsidR="00307AF8" w:rsidRPr="00307AF8">
              <w:rPr>
                <w:rFonts w:ascii="Times New Roman" w:hAnsi="Times New Roman" w:cs="Times New Roman"/>
                <w:bCs/>
                <w:iCs/>
                <w:sz w:val="24"/>
                <w:szCs w:val="24"/>
              </w:rPr>
              <w:t>.</w:t>
            </w:r>
            <w:r w:rsidR="00307AF8" w:rsidRPr="00307AF8">
              <w:rPr>
                <w:rFonts w:ascii="Times New Roman" w:hAnsi="Times New Roman" w:cs="Times New Roman"/>
                <w:bCs/>
                <w:iCs/>
                <w:sz w:val="24"/>
                <w:szCs w:val="24"/>
              </w:rPr>
              <w:tab/>
              <w:t xml:space="preserve">Sabiedrība izstrādā darbības plānu katram gadam, kurā norāda vismaz </w:t>
            </w:r>
            <w:r w:rsidR="003D4C96" w:rsidRPr="00DE41A7">
              <w:rPr>
                <w:rFonts w:ascii="Times New Roman" w:hAnsi="Times New Roman" w:cs="Times New Roman"/>
                <w:bCs/>
                <w:iCs/>
                <w:sz w:val="24"/>
                <w:szCs w:val="24"/>
              </w:rPr>
              <w:t xml:space="preserve">nākamā gada </w:t>
            </w:r>
            <w:r w:rsidR="00307AF8" w:rsidRPr="00DE41A7">
              <w:rPr>
                <w:rFonts w:ascii="Times New Roman" w:hAnsi="Times New Roman" w:cs="Times New Roman"/>
                <w:bCs/>
                <w:iCs/>
                <w:color w:val="000000" w:themeColor="text1"/>
                <w:sz w:val="24"/>
                <w:szCs w:val="24"/>
              </w:rPr>
              <w:t>finansiālo prognozi</w:t>
            </w:r>
            <w:r w:rsidR="00C94F9C" w:rsidRPr="00DE41A7">
              <w:rPr>
                <w:rFonts w:ascii="Times New Roman" w:hAnsi="Times New Roman" w:cs="Times New Roman"/>
                <w:bCs/>
                <w:iCs/>
                <w:color w:val="000000" w:themeColor="text1"/>
                <w:sz w:val="24"/>
                <w:szCs w:val="24"/>
              </w:rPr>
              <w:t>, būtisk</w:t>
            </w:r>
            <w:r w:rsidRPr="00DE41A7">
              <w:rPr>
                <w:rFonts w:ascii="Times New Roman" w:hAnsi="Times New Roman" w:cs="Times New Roman"/>
                <w:bCs/>
                <w:iCs/>
                <w:color w:val="000000" w:themeColor="text1"/>
                <w:sz w:val="24"/>
                <w:szCs w:val="24"/>
              </w:rPr>
              <w:t>āk</w:t>
            </w:r>
            <w:r w:rsidR="00C94F9C" w:rsidRPr="00DE41A7">
              <w:rPr>
                <w:rFonts w:ascii="Times New Roman" w:hAnsi="Times New Roman" w:cs="Times New Roman"/>
                <w:bCs/>
                <w:iCs/>
                <w:color w:val="000000" w:themeColor="text1"/>
                <w:sz w:val="24"/>
                <w:szCs w:val="24"/>
              </w:rPr>
              <w:t>os pieņēmumus</w:t>
            </w:r>
            <w:r w:rsidRPr="00DE41A7">
              <w:rPr>
                <w:rFonts w:ascii="Times New Roman" w:hAnsi="Times New Roman" w:cs="Times New Roman"/>
                <w:bCs/>
                <w:iCs/>
                <w:color w:val="000000" w:themeColor="text1"/>
                <w:sz w:val="24"/>
                <w:szCs w:val="24"/>
              </w:rPr>
              <w:t>,</w:t>
            </w:r>
            <w:r w:rsidR="00C94F9C" w:rsidRPr="00DE41A7">
              <w:rPr>
                <w:rFonts w:ascii="Times New Roman" w:hAnsi="Times New Roman" w:cs="Times New Roman"/>
                <w:bCs/>
                <w:iCs/>
                <w:color w:val="000000" w:themeColor="text1"/>
                <w:sz w:val="24"/>
                <w:szCs w:val="24"/>
              </w:rPr>
              <w:t xml:space="preserve"> uz kuriem prognoze balstīta, </w:t>
            </w:r>
            <w:r w:rsidR="00307AF8" w:rsidRPr="00DE41A7">
              <w:rPr>
                <w:rFonts w:ascii="Times New Roman" w:hAnsi="Times New Roman" w:cs="Times New Roman"/>
                <w:bCs/>
                <w:iCs/>
                <w:sz w:val="24"/>
                <w:szCs w:val="24"/>
              </w:rPr>
              <w:t>darbības mērķus attiecīgajā</w:t>
            </w:r>
            <w:r w:rsidR="00307AF8" w:rsidRPr="00823693">
              <w:rPr>
                <w:rFonts w:ascii="Times New Roman" w:hAnsi="Times New Roman" w:cs="Times New Roman"/>
                <w:bCs/>
                <w:iCs/>
                <w:sz w:val="24"/>
                <w:szCs w:val="24"/>
              </w:rPr>
              <w:t xml:space="preserve"> </w:t>
            </w:r>
            <w:r w:rsidR="00307AF8" w:rsidRPr="00307AF8">
              <w:rPr>
                <w:rFonts w:ascii="Times New Roman" w:hAnsi="Times New Roman" w:cs="Times New Roman"/>
                <w:bCs/>
                <w:iCs/>
                <w:sz w:val="24"/>
                <w:szCs w:val="24"/>
              </w:rPr>
              <w:t>periodā</w:t>
            </w:r>
            <w:r w:rsidR="003D4C96">
              <w:rPr>
                <w:rFonts w:ascii="Times New Roman" w:hAnsi="Times New Roman" w:cs="Times New Roman"/>
                <w:bCs/>
                <w:iCs/>
                <w:sz w:val="24"/>
                <w:szCs w:val="24"/>
              </w:rPr>
              <w:t xml:space="preserve">, </w:t>
            </w:r>
            <w:r w:rsidR="00307AF8" w:rsidRPr="00307AF8">
              <w:rPr>
                <w:rFonts w:ascii="Times New Roman" w:hAnsi="Times New Roman" w:cs="Times New Roman"/>
                <w:bCs/>
                <w:iCs/>
                <w:sz w:val="24"/>
                <w:szCs w:val="24"/>
              </w:rPr>
              <w:t>ar sabiedrības plānoto darbību saistīto risku segšanai nepieciešamā kapitāla apmēru un darbības rezultātu novērtēšanas kritērijus.</w:t>
            </w:r>
            <w:r>
              <w:rPr>
                <w:rFonts w:ascii="Times New Roman" w:hAnsi="Times New Roman" w:cs="Times New Roman"/>
                <w:bCs/>
                <w:iCs/>
                <w:sz w:val="24"/>
                <w:szCs w:val="24"/>
              </w:rPr>
              <w:t xml:space="preserve">" </w:t>
            </w:r>
          </w:p>
        </w:tc>
      </w:tr>
      <w:tr w:rsidR="00E4143F" w:rsidRPr="0056522A" w14:paraId="640E6F2A" w14:textId="77777777" w:rsidTr="00935455">
        <w:tc>
          <w:tcPr>
            <w:tcW w:w="0" w:type="auto"/>
            <w:tcBorders>
              <w:top w:val="single" w:sz="4" w:space="0" w:color="auto"/>
              <w:left w:val="single" w:sz="4" w:space="0" w:color="auto"/>
              <w:bottom w:val="single" w:sz="4" w:space="0" w:color="auto"/>
              <w:right w:val="single" w:sz="4" w:space="0" w:color="auto"/>
            </w:tcBorders>
          </w:tcPr>
          <w:p w14:paraId="260F614E" w14:textId="4B16C5B9" w:rsidR="00E4143F" w:rsidRPr="0056522A" w:rsidRDefault="005267C2" w:rsidP="0056522A">
            <w:pPr>
              <w:spacing w:after="120" w:line="240" w:lineRule="auto"/>
              <w:ind w:left="720"/>
              <w:rPr>
                <w:rFonts w:ascii="Times New Roman" w:hAnsi="Times New Roman" w:cs="Times New Roman"/>
                <w:bCs/>
                <w:sz w:val="24"/>
                <w:szCs w:val="24"/>
              </w:rPr>
            </w:pPr>
            <w:r>
              <w:rPr>
                <w:rFonts w:ascii="Times New Roman" w:hAnsi="Times New Roman" w:cs="Times New Roman"/>
                <w:bCs/>
                <w:sz w:val="24"/>
                <w:szCs w:val="24"/>
              </w:rPr>
              <w:t>5.</w:t>
            </w:r>
          </w:p>
        </w:tc>
        <w:tc>
          <w:tcPr>
            <w:tcW w:w="3779" w:type="dxa"/>
            <w:tcBorders>
              <w:top w:val="single" w:sz="4" w:space="0" w:color="auto"/>
              <w:left w:val="single" w:sz="4" w:space="0" w:color="auto"/>
              <w:bottom w:val="single" w:sz="4" w:space="0" w:color="auto"/>
              <w:right w:val="single" w:sz="4" w:space="0" w:color="auto"/>
            </w:tcBorders>
            <w:shd w:val="clear" w:color="auto" w:fill="auto"/>
          </w:tcPr>
          <w:p w14:paraId="3714C41B" w14:textId="31CD2D10" w:rsidR="00E4143F" w:rsidRPr="00307AF8" w:rsidRDefault="00307AF8" w:rsidP="00935455">
            <w:pPr>
              <w:tabs>
                <w:tab w:val="left" w:pos="437"/>
              </w:tabs>
              <w:spacing w:after="120" w:line="240" w:lineRule="auto"/>
              <w:jc w:val="both"/>
              <w:rPr>
                <w:rFonts w:ascii="Times New Roman" w:hAnsi="Times New Roman" w:cs="Times New Roman"/>
                <w:bCs/>
                <w:sz w:val="24"/>
                <w:szCs w:val="24"/>
              </w:rPr>
            </w:pPr>
            <w:r w:rsidRPr="00307AF8">
              <w:rPr>
                <w:rFonts w:ascii="Times New Roman" w:hAnsi="Times New Roman" w:cs="Times New Roman"/>
                <w:bCs/>
                <w:sz w:val="24"/>
                <w:szCs w:val="24"/>
              </w:rPr>
              <w:t>15.</w:t>
            </w:r>
            <w:r w:rsidRPr="00307AF8">
              <w:rPr>
                <w:rFonts w:ascii="Times New Roman" w:hAnsi="Times New Roman" w:cs="Times New Roman"/>
                <w:bCs/>
                <w:sz w:val="24"/>
                <w:szCs w:val="24"/>
              </w:rPr>
              <w:tab/>
              <w:t xml:space="preserve">Sabiedrība izveido un dokumentē pārskatāmu tās organizatorisko struktūru, nosakot padomes (tai skaitā padomes </w:t>
            </w:r>
            <w:r w:rsidRPr="00307AF8">
              <w:rPr>
                <w:rFonts w:ascii="Times New Roman" w:hAnsi="Times New Roman" w:cs="Times New Roman"/>
                <w:bCs/>
                <w:sz w:val="24"/>
                <w:szCs w:val="24"/>
              </w:rPr>
              <w:lastRenderedPageBreak/>
              <w:t>priekšsēdētāja un padomes komiteju, ja tādas ir izveidotas), valdes (tai skaitā valdes priekšsēdētāja), struktūrvienību un struktūrvienību vadītāju pienākumus (funkcijas), pilnvaras un atbildību darījumu veikšanā un kontrolē, un sagatavo darba aprakstus (dienesta instrukcijas) atbildīgajiem darbiniekiem.</w:t>
            </w:r>
          </w:p>
        </w:tc>
        <w:tc>
          <w:tcPr>
            <w:tcW w:w="4192" w:type="dxa"/>
            <w:tcBorders>
              <w:top w:val="single" w:sz="4" w:space="0" w:color="auto"/>
              <w:left w:val="single" w:sz="4" w:space="0" w:color="auto"/>
              <w:bottom w:val="single" w:sz="4" w:space="0" w:color="auto"/>
              <w:right w:val="single" w:sz="4" w:space="0" w:color="auto"/>
            </w:tcBorders>
            <w:shd w:val="clear" w:color="auto" w:fill="auto"/>
          </w:tcPr>
          <w:p w14:paraId="3549E0B7" w14:textId="46DACF1A" w:rsidR="00E559BF" w:rsidRPr="00E559BF" w:rsidRDefault="0067587D" w:rsidP="00E06104">
            <w:pPr>
              <w:spacing w:after="12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AS </w:t>
            </w:r>
            <w:proofErr w:type="spellStart"/>
            <w:r w:rsidR="00E559BF" w:rsidRPr="00E4143F">
              <w:rPr>
                <w:rFonts w:ascii="Times New Roman" w:hAnsi="Times New Roman" w:cs="Times New Roman"/>
                <w:b/>
                <w:bCs/>
                <w:sz w:val="24"/>
                <w:szCs w:val="24"/>
              </w:rPr>
              <w:t>Mintos</w:t>
            </w:r>
            <w:proofErr w:type="spellEnd"/>
            <w:r w:rsidR="00E559BF" w:rsidRPr="00E4143F">
              <w:rPr>
                <w:rFonts w:ascii="Times New Roman" w:hAnsi="Times New Roman" w:cs="Times New Roman"/>
                <w:b/>
                <w:bCs/>
                <w:sz w:val="24"/>
                <w:szCs w:val="24"/>
              </w:rPr>
              <w:t xml:space="preserve"> Marketplace</w:t>
            </w:r>
          </w:p>
          <w:p w14:paraId="6BDDD0BE" w14:textId="35AC7D26" w:rsidR="00E4143F" w:rsidRPr="00E559BF" w:rsidRDefault="00E4143F" w:rsidP="00935455">
            <w:pPr>
              <w:tabs>
                <w:tab w:val="left" w:pos="345"/>
              </w:tabs>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t>5.</w:t>
            </w:r>
            <w:r w:rsidRPr="00E559BF">
              <w:rPr>
                <w:rFonts w:ascii="Times New Roman" w:hAnsi="Times New Roman" w:cs="Times New Roman"/>
                <w:sz w:val="24"/>
                <w:szCs w:val="24"/>
              </w:rPr>
              <w:tab/>
              <w:t xml:space="preserve">Noteikumu 15.punkts: </w:t>
            </w:r>
          </w:p>
          <w:p w14:paraId="32B40053" w14:textId="78AFD979" w:rsidR="00E4143F" w:rsidRPr="00E559BF" w:rsidRDefault="00E4143F" w:rsidP="00E06104">
            <w:pPr>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lastRenderedPageBreak/>
              <w:t xml:space="preserve">Aicinām svītrot punkta pirmajā daļā norādīto frāzi </w:t>
            </w:r>
            <w:r w:rsidR="005541EE">
              <w:rPr>
                <w:rFonts w:ascii="Times New Roman" w:hAnsi="Times New Roman" w:cs="Times New Roman"/>
                <w:sz w:val="24"/>
                <w:szCs w:val="24"/>
              </w:rPr>
              <w:t>"</w:t>
            </w:r>
            <w:r w:rsidRPr="00E559BF">
              <w:rPr>
                <w:rFonts w:ascii="Times New Roman" w:hAnsi="Times New Roman" w:cs="Times New Roman"/>
                <w:sz w:val="24"/>
                <w:szCs w:val="24"/>
              </w:rPr>
              <w:t>un sagatavo darba aprakstus (dienesta instrukcijas) atbildīgajiem darbiniekiem</w:t>
            </w:r>
            <w:r w:rsidR="005541EE">
              <w:rPr>
                <w:rFonts w:ascii="Times New Roman" w:hAnsi="Times New Roman" w:cs="Times New Roman"/>
                <w:sz w:val="24"/>
                <w:szCs w:val="24"/>
              </w:rPr>
              <w:t>"</w:t>
            </w:r>
            <w:r w:rsidRPr="00E559BF">
              <w:rPr>
                <w:rFonts w:ascii="Times New Roman" w:hAnsi="Times New Roman" w:cs="Times New Roman"/>
                <w:sz w:val="24"/>
                <w:szCs w:val="24"/>
              </w:rPr>
              <w:t xml:space="preserve">. Uzskatām, ka darba jeb amata apraksti ir tikai viens veids kā dokumentēt attiecīgos jautājumus, kā arī jēdziens </w:t>
            </w:r>
            <w:r w:rsidR="005541EE">
              <w:rPr>
                <w:rFonts w:ascii="Times New Roman" w:hAnsi="Times New Roman" w:cs="Times New Roman"/>
                <w:sz w:val="24"/>
                <w:szCs w:val="24"/>
              </w:rPr>
              <w:t>"</w:t>
            </w:r>
            <w:r w:rsidRPr="00E559BF">
              <w:rPr>
                <w:rFonts w:ascii="Times New Roman" w:hAnsi="Times New Roman" w:cs="Times New Roman"/>
                <w:sz w:val="24"/>
                <w:szCs w:val="24"/>
              </w:rPr>
              <w:t>dienesta instrukcijas</w:t>
            </w:r>
            <w:r w:rsidR="005541EE">
              <w:rPr>
                <w:rFonts w:ascii="Times New Roman" w:hAnsi="Times New Roman" w:cs="Times New Roman"/>
                <w:sz w:val="24"/>
                <w:szCs w:val="24"/>
              </w:rPr>
              <w:t>"</w:t>
            </w:r>
            <w:r w:rsidRPr="00E559BF">
              <w:rPr>
                <w:rFonts w:ascii="Times New Roman" w:hAnsi="Times New Roman" w:cs="Times New Roman"/>
                <w:sz w:val="24"/>
                <w:szCs w:val="24"/>
              </w:rPr>
              <w:t>, šķiet, nebūtu lietojams privātā sektora subjektiem - ieguldījumu brokeru sabiedrībām. Visb</w:t>
            </w:r>
            <w:r w:rsidR="001F5C3D">
              <w:rPr>
                <w:rFonts w:ascii="Times New Roman" w:hAnsi="Times New Roman" w:cs="Times New Roman"/>
                <w:sz w:val="24"/>
                <w:szCs w:val="24"/>
              </w:rPr>
              <w:t>ei</w:t>
            </w:r>
            <w:r w:rsidRPr="00E559BF">
              <w:rPr>
                <w:rFonts w:ascii="Times New Roman" w:hAnsi="Times New Roman" w:cs="Times New Roman"/>
                <w:sz w:val="24"/>
                <w:szCs w:val="24"/>
              </w:rPr>
              <w:t>dzot, Sabiedrības ziņā būtu atstājams kā dokumentēt pienākumus, pilnvaras un atbildības.</w:t>
            </w:r>
          </w:p>
        </w:tc>
        <w:tc>
          <w:tcPr>
            <w:tcW w:w="5389" w:type="dxa"/>
            <w:tcBorders>
              <w:top w:val="single" w:sz="4" w:space="0" w:color="auto"/>
              <w:left w:val="single" w:sz="4" w:space="0" w:color="auto"/>
              <w:bottom w:val="single" w:sz="4" w:space="0" w:color="auto"/>
              <w:right w:val="single" w:sz="4" w:space="0" w:color="auto"/>
            </w:tcBorders>
            <w:shd w:val="clear" w:color="auto" w:fill="auto"/>
          </w:tcPr>
          <w:p w14:paraId="7ABFAE7C" w14:textId="14257F23" w:rsidR="00AF7176" w:rsidRPr="00AF7176" w:rsidRDefault="00AF7176" w:rsidP="00E06104">
            <w:pPr>
              <w:spacing w:after="120" w:line="240" w:lineRule="auto"/>
              <w:jc w:val="both"/>
              <w:rPr>
                <w:rFonts w:ascii="Times New Roman" w:hAnsi="Times New Roman" w:cs="Times New Roman"/>
                <w:b/>
                <w:iCs/>
                <w:sz w:val="24"/>
                <w:szCs w:val="24"/>
              </w:rPr>
            </w:pPr>
            <w:r w:rsidRPr="00AF7176">
              <w:rPr>
                <w:rFonts w:ascii="Times New Roman" w:hAnsi="Times New Roman" w:cs="Times New Roman"/>
                <w:b/>
                <w:iCs/>
                <w:sz w:val="24"/>
                <w:szCs w:val="24"/>
              </w:rPr>
              <w:lastRenderedPageBreak/>
              <w:t>Ņemts vērā.</w:t>
            </w:r>
          </w:p>
          <w:p w14:paraId="61186F31" w14:textId="1240BFAC" w:rsidR="00E06104" w:rsidRDefault="00E06104" w:rsidP="00E06104">
            <w:pPr>
              <w:tabs>
                <w:tab w:val="left" w:pos="265"/>
                <w:tab w:val="left" w:pos="461"/>
              </w:tabs>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1</w:t>
            </w:r>
            <w:r w:rsidR="004841C0">
              <w:rPr>
                <w:rFonts w:ascii="Times New Roman" w:hAnsi="Times New Roman" w:cs="Times New Roman"/>
                <w:bCs/>
                <w:iCs/>
                <w:sz w:val="24"/>
                <w:szCs w:val="24"/>
              </w:rPr>
              <w:t>4</w:t>
            </w:r>
            <w:r>
              <w:rPr>
                <w:rFonts w:ascii="Times New Roman" w:hAnsi="Times New Roman" w:cs="Times New Roman"/>
                <w:bCs/>
                <w:iCs/>
                <w:sz w:val="24"/>
                <w:szCs w:val="24"/>
              </w:rPr>
              <w:t>. punkt</w:t>
            </w:r>
            <w:r w:rsidR="004841C0">
              <w:rPr>
                <w:rFonts w:ascii="Times New Roman" w:hAnsi="Times New Roman" w:cs="Times New Roman"/>
                <w:bCs/>
                <w:iCs/>
                <w:sz w:val="24"/>
                <w:szCs w:val="24"/>
              </w:rPr>
              <w:t>a pirmais teikums</w:t>
            </w:r>
            <w:r>
              <w:rPr>
                <w:rFonts w:ascii="Times New Roman" w:hAnsi="Times New Roman" w:cs="Times New Roman"/>
                <w:bCs/>
                <w:iCs/>
                <w:sz w:val="24"/>
                <w:szCs w:val="24"/>
              </w:rPr>
              <w:t xml:space="preserve"> izteikts jaunā redakcijā:</w:t>
            </w:r>
          </w:p>
          <w:p w14:paraId="3E7D32B0" w14:textId="2FCE82C0" w:rsidR="00E4143F" w:rsidRPr="00AF7176" w:rsidRDefault="00E06104" w:rsidP="00935455">
            <w:pPr>
              <w:tabs>
                <w:tab w:val="left" w:pos="265"/>
                <w:tab w:val="left" w:pos="461"/>
              </w:tabs>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lastRenderedPageBreak/>
              <w:t>"</w:t>
            </w:r>
            <w:r w:rsidR="00AF7176" w:rsidRPr="00AF7176">
              <w:rPr>
                <w:rFonts w:ascii="Times New Roman" w:hAnsi="Times New Roman" w:cs="Times New Roman"/>
                <w:bCs/>
                <w:iCs/>
                <w:sz w:val="24"/>
                <w:szCs w:val="24"/>
              </w:rPr>
              <w:t>Sabiedrība izveido un dokumentē pārskatāmu tās organizatorisko struktūru, nosakot padomes (tai skaitā padomes priekšsēdētāja un padomes komiteju, ja tādas ir izveidotas), valdes (tai skaitā valdes priekšsēdētāja), struktūrvienību un struktūrvienību vadītāju pienākumus (funkcijas), pilnvaras un atbildību darījumu veikšanā un kontrolē, un sagatavo darba aprakstus atbildīgajiem darbiniekiem</w:t>
            </w:r>
            <w:r w:rsidR="001F5C3D">
              <w:rPr>
                <w:rFonts w:ascii="Times New Roman" w:hAnsi="Times New Roman" w:cs="Times New Roman"/>
                <w:bCs/>
                <w:iCs/>
                <w:sz w:val="24"/>
                <w:szCs w:val="24"/>
              </w:rPr>
              <w:t>.</w:t>
            </w:r>
            <w:r>
              <w:rPr>
                <w:rFonts w:ascii="Times New Roman" w:hAnsi="Times New Roman" w:cs="Times New Roman"/>
                <w:bCs/>
                <w:iCs/>
                <w:sz w:val="24"/>
                <w:szCs w:val="24"/>
              </w:rPr>
              <w:t>"</w:t>
            </w:r>
          </w:p>
        </w:tc>
      </w:tr>
      <w:tr w:rsidR="00E4143F" w:rsidRPr="0056522A" w14:paraId="6CBE97F0" w14:textId="77777777" w:rsidTr="00935455">
        <w:tc>
          <w:tcPr>
            <w:tcW w:w="0" w:type="auto"/>
            <w:tcBorders>
              <w:top w:val="single" w:sz="4" w:space="0" w:color="auto"/>
              <w:left w:val="single" w:sz="4" w:space="0" w:color="auto"/>
              <w:bottom w:val="single" w:sz="4" w:space="0" w:color="auto"/>
              <w:right w:val="single" w:sz="4" w:space="0" w:color="auto"/>
            </w:tcBorders>
          </w:tcPr>
          <w:p w14:paraId="178E854E" w14:textId="40768BF0" w:rsidR="00E4143F" w:rsidRPr="0056522A" w:rsidRDefault="005267C2" w:rsidP="0056522A">
            <w:pPr>
              <w:spacing w:after="120" w:line="240" w:lineRule="auto"/>
              <w:ind w:left="720"/>
              <w:rPr>
                <w:rFonts w:ascii="Times New Roman" w:hAnsi="Times New Roman" w:cs="Times New Roman"/>
                <w:bCs/>
                <w:sz w:val="24"/>
                <w:szCs w:val="24"/>
              </w:rPr>
            </w:pPr>
            <w:r>
              <w:rPr>
                <w:rFonts w:ascii="Times New Roman" w:hAnsi="Times New Roman" w:cs="Times New Roman"/>
                <w:bCs/>
                <w:sz w:val="24"/>
                <w:szCs w:val="24"/>
              </w:rPr>
              <w:lastRenderedPageBreak/>
              <w:t>6.</w:t>
            </w:r>
          </w:p>
        </w:tc>
        <w:tc>
          <w:tcPr>
            <w:tcW w:w="3779" w:type="dxa"/>
            <w:tcBorders>
              <w:top w:val="single" w:sz="4" w:space="0" w:color="auto"/>
              <w:left w:val="single" w:sz="4" w:space="0" w:color="auto"/>
              <w:bottom w:val="single" w:sz="4" w:space="0" w:color="auto"/>
              <w:right w:val="single" w:sz="4" w:space="0" w:color="auto"/>
            </w:tcBorders>
            <w:shd w:val="clear" w:color="auto" w:fill="auto"/>
          </w:tcPr>
          <w:p w14:paraId="519CBC4E" w14:textId="620B63CA" w:rsidR="00E4143F" w:rsidRPr="00307AF8" w:rsidRDefault="00307AF8" w:rsidP="00E06104">
            <w:pPr>
              <w:tabs>
                <w:tab w:val="left" w:pos="471"/>
              </w:tabs>
              <w:spacing w:after="120" w:line="240" w:lineRule="auto"/>
              <w:jc w:val="both"/>
              <w:rPr>
                <w:rFonts w:ascii="Times New Roman" w:hAnsi="Times New Roman" w:cs="Times New Roman"/>
                <w:bCs/>
                <w:sz w:val="24"/>
                <w:szCs w:val="24"/>
              </w:rPr>
            </w:pPr>
            <w:r w:rsidRPr="00307AF8">
              <w:rPr>
                <w:rFonts w:ascii="Times New Roman" w:hAnsi="Times New Roman" w:cs="Times New Roman"/>
                <w:bCs/>
                <w:sz w:val="24"/>
                <w:szCs w:val="24"/>
              </w:rPr>
              <w:t>21.</w:t>
            </w:r>
            <w:r w:rsidRPr="00307AF8">
              <w:rPr>
                <w:rFonts w:ascii="Times New Roman" w:hAnsi="Times New Roman" w:cs="Times New Roman"/>
                <w:bCs/>
                <w:sz w:val="24"/>
                <w:szCs w:val="24"/>
              </w:rPr>
              <w:tab/>
              <w:t>Dokumentējot organizatorisko struktūru, sabiedrība nosaka pārskatu sniegšanas un informācijas apmaiņas kārtību sabiedrībā, tai skaitā nosaka, kādu informāciju, kam un kad ir pienākums sniegt un saņemt un kāda informācija ir konfidenciāla un aizsargājama.</w:t>
            </w:r>
          </w:p>
        </w:tc>
        <w:tc>
          <w:tcPr>
            <w:tcW w:w="4192" w:type="dxa"/>
            <w:tcBorders>
              <w:top w:val="single" w:sz="4" w:space="0" w:color="auto"/>
              <w:left w:val="single" w:sz="4" w:space="0" w:color="auto"/>
              <w:bottom w:val="single" w:sz="4" w:space="0" w:color="auto"/>
              <w:right w:val="single" w:sz="4" w:space="0" w:color="auto"/>
            </w:tcBorders>
            <w:shd w:val="clear" w:color="auto" w:fill="auto"/>
          </w:tcPr>
          <w:p w14:paraId="5F268432" w14:textId="0F4A6832" w:rsidR="00E559BF" w:rsidRPr="00AF1CDB" w:rsidRDefault="0067587D" w:rsidP="00E06104">
            <w:pPr>
              <w:spacing w:after="120" w:line="240" w:lineRule="auto"/>
              <w:rPr>
                <w:rFonts w:ascii="Times New Roman" w:hAnsi="Times New Roman" w:cs="Times New Roman"/>
                <w:b/>
                <w:bCs/>
                <w:sz w:val="24"/>
                <w:szCs w:val="24"/>
              </w:rPr>
            </w:pPr>
            <w:r>
              <w:rPr>
                <w:rFonts w:ascii="Times New Roman" w:hAnsi="Times New Roman" w:cs="Times New Roman"/>
                <w:b/>
                <w:bCs/>
                <w:sz w:val="24"/>
                <w:szCs w:val="24"/>
              </w:rPr>
              <w:t>AS </w:t>
            </w:r>
            <w:proofErr w:type="spellStart"/>
            <w:r w:rsidR="00E559BF" w:rsidRPr="00E4143F">
              <w:rPr>
                <w:rFonts w:ascii="Times New Roman" w:hAnsi="Times New Roman" w:cs="Times New Roman"/>
                <w:b/>
                <w:bCs/>
                <w:sz w:val="24"/>
                <w:szCs w:val="24"/>
              </w:rPr>
              <w:t>Mintos</w:t>
            </w:r>
            <w:proofErr w:type="spellEnd"/>
            <w:r w:rsidR="00E559BF" w:rsidRPr="00E4143F">
              <w:rPr>
                <w:rFonts w:ascii="Times New Roman" w:hAnsi="Times New Roman" w:cs="Times New Roman"/>
                <w:b/>
                <w:bCs/>
                <w:sz w:val="24"/>
                <w:szCs w:val="24"/>
              </w:rPr>
              <w:t xml:space="preserve"> Marketplace</w:t>
            </w:r>
          </w:p>
          <w:p w14:paraId="6F16B0DF" w14:textId="690E6FC0" w:rsidR="00E4143F" w:rsidRPr="00E559BF" w:rsidRDefault="00E4143F" w:rsidP="00935455">
            <w:pPr>
              <w:tabs>
                <w:tab w:val="left" w:pos="344"/>
              </w:tabs>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t>6.</w:t>
            </w:r>
            <w:r w:rsidRPr="00E559BF">
              <w:rPr>
                <w:rFonts w:ascii="Times New Roman" w:hAnsi="Times New Roman" w:cs="Times New Roman"/>
                <w:sz w:val="24"/>
                <w:szCs w:val="24"/>
              </w:rPr>
              <w:tab/>
              <w:t>Noteikumu 21.punkts:</w:t>
            </w:r>
          </w:p>
          <w:p w14:paraId="548C40C3" w14:textId="6A16FD5A" w:rsidR="00E4143F" w:rsidRPr="00E559BF" w:rsidRDefault="00E4143F" w:rsidP="00E06104">
            <w:pPr>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t xml:space="preserve">Aicinām šajā punktā svītrot vārdus </w:t>
            </w:r>
            <w:r w:rsidR="005541EE">
              <w:rPr>
                <w:rFonts w:ascii="Times New Roman" w:hAnsi="Times New Roman" w:cs="Times New Roman"/>
                <w:sz w:val="24"/>
                <w:szCs w:val="24"/>
              </w:rPr>
              <w:t>"</w:t>
            </w:r>
            <w:r w:rsidRPr="00E559BF">
              <w:rPr>
                <w:rFonts w:ascii="Times New Roman" w:hAnsi="Times New Roman" w:cs="Times New Roman"/>
                <w:sz w:val="24"/>
                <w:szCs w:val="24"/>
              </w:rPr>
              <w:t>dokumentējot organizatorisko struktūru</w:t>
            </w:r>
            <w:r w:rsidR="005541EE">
              <w:rPr>
                <w:rFonts w:ascii="Times New Roman" w:hAnsi="Times New Roman" w:cs="Times New Roman"/>
                <w:sz w:val="24"/>
                <w:szCs w:val="24"/>
              </w:rPr>
              <w:t>"</w:t>
            </w:r>
            <w:r w:rsidRPr="00E559BF">
              <w:rPr>
                <w:rFonts w:ascii="Times New Roman" w:hAnsi="Times New Roman" w:cs="Times New Roman"/>
                <w:sz w:val="24"/>
                <w:szCs w:val="24"/>
              </w:rPr>
              <w:t xml:space="preserve">. Parasti, ar organizatorisko struktūru praksē tiek saprasts shematisks uzņēmuma organizatoriskās struktūras attēlojums, kas parāda struktūrvienību/funkciju pakļautību un tā saucamos </w:t>
            </w:r>
            <w:r w:rsidR="005541EE">
              <w:rPr>
                <w:rFonts w:ascii="Times New Roman" w:hAnsi="Times New Roman" w:cs="Times New Roman"/>
                <w:sz w:val="24"/>
                <w:szCs w:val="24"/>
              </w:rPr>
              <w:t>"</w:t>
            </w:r>
            <w:proofErr w:type="spellStart"/>
            <w:r w:rsidRPr="00E559BF">
              <w:rPr>
                <w:rFonts w:ascii="Times New Roman" w:hAnsi="Times New Roman" w:cs="Times New Roman"/>
                <w:sz w:val="24"/>
                <w:szCs w:val="24"/>
              </w:rPr>
              <w:t>reporting</w:t>
            </w:r>
            <w:proofErr w:type="spellEnd"/>
            <w:r w:rsidRPr="00E559BF">
              <w:rPr>
                <w:rFonts w:ascii="Times New Roman" w:hAnsi="Times New Roman" w:cs="Times New Roman"/>
                <w:sz w:val="24"/>
                <w:szCs w:val="24"/>
              </w:rPr>
              <w:t xml:space="preserve"> </w:t>
            </w:r>
            <w:proofErr w:type="spellStart"/>
            <w:r w:rsidRPr="00E559BF">
              <w:rPr>
                <w:rFonts w:ascii="Times New Roman" w:hAnsi="Times New Roman" w:cs="Times New Roman"/>
                <w:sz w:val="24"/>
                <w:szCs w:val="24"/>
              </w:rPr>
              <w:t>lines</w:t>
            </w:r>
            <w:proofErr w:type="spellEnd"/>
            <w:r w:rsidR="005541EE">
              <w:rPr>
                <w:rFonts w:ascii="Times New Roman" w:hAnsi="Times New Roman" w:cs="Times New Roman"/>
                <w:sz w:val="24"/>
                <w:szCs w:val="24"/>
              </w:rPr>
              <w:t>"</w:t>
            </w:r>
            <w:r w:rsidRPr="00E559BF">
              <w:rPr>
                <w:rFonts w:ascii="Times New Roman" w:hAnsi="Times New Roman" w:cs="Times New Roman"/>
                <w:sz w:val="24"/>
                <w:szCs w:val="24"/>
              </w:rPr>
              <w:t>.</w:t>
            </w:r>
          </w:p>
          <w:p w14:paraId="04F0D44E" w14:textId="66FB3D88" w:rsidR="00E4143F" w:rsidRPr="00E559BF" w:rsidRDefault="00E4143F" w:rsidP="00E06104">
            <w:pPr>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t xml:space="preserve">Pie tam, jēdziens </w:t>
            </w:r>
            <w:r w:rsidR="005541EE">
              <w:rPr>
                <w:rFonts w:ascii="Times New Roman" w:hAnsi="Times New Roman" w:cs="Times New Roman"/>
                <w:sz w:val="24"/>
                <w:szCs w:val="24"/>
              </w:rPr>
              <w:t>"</w:t>
            </w:r>
            <w:r w:rsidRPr="00E559BF">
              <w:rPr>
                <w:rFonts w:ascii="Times New Roman" w:hAnsi="Times New Roman" w:cs="Times New Roman"/>
                <w:sz w:val="24"/>
                <w:szCs w:val="24"/>
              </w:rPr>
              <w:t>informācijas apmaiņa sabiedrībā</w:t>
            </w:r>
            <w:r w:rsidR="005541EE">
              <w:rPr>
                <w:rFonts w:ascii="Times New Roman" w:hAnsi="Times New Roman" w:cs="Times New Roman"/>
                <w:sz w:val="24"/>
                <w:szCs w:val="24"/>
              </w:rPr>
              <w:t>"</w:t>
            </w:r>
            <w:r w:rsidRPr="00E559BF">
              <w:rPr>
                <w:rFonts w:ascii="Times New Roman" w:hAnsi="Times New Roman" w:cs="Times New Roman"/>
                <w:sz w:val="24"/>
                <w:szCs w:val="24"/>
              </w:rPr>
              <w:t xml:space="preserve"> ir ļoti plašs koncepts, atkarībā no tā, ko tieši vēlme noteikt kā regulējošo prasību, aicinām precizēt, kas tieši sabiedrībai būtu jānosaka saistībā ar informācijas apriti.</w:t>
            </w:r>
          </w:p>
        </w:tc>
        <w:tc>
          <w:tcPr>
            <w:tcW w:w="5389" w:type="dxa"/>
            <w:tcBorders>
              <w:top w:val="single" w:sz="4" w:space="0" w:color="auto"/>
              <w:left w:val="single" w:sz="4" w:space="0" w:color="auto"/>
              <w:bottom w:val="single" w:sz="4" w:space="0" w:color="auto"/>
              <w:right w:val="single" w:sz="4" w:space="0" w:color="auto"/>
            </w:tcBorders>
            <w:shd w:val="clear" w:color="auto" w:fill="auto"/>
          </w:tcPr>
          <w:p w14:paraId="1AF0EB33" w14:textId="3BC6CA51" w:rsidR="00307AF8" w:rsidRPr="00307AF8" w:rsidRDefault="00307AF8" w:rsidP="00E06104">
            <w:pPr>
              <w:spacing w:after="120" w:line="240" w:lineRule="auto"/>
              <w:jc w:val="both"/>
              <w:rPr>
                <w:rFonts w:ascii="Times New Roman" w:hAnsi="Times New Roman" w:cs="Times New Roman"/>
                <w:b/>
                <w:iCs/>
                <w:sz w:val="24"/>
                <w:szCs w:val="24"/>
              </w:rPr>
            </w:pPr>
            <w:r w:rsidRPr="00307AF8">
              <w:rPr>
                <w:rFonts w:ascii="Times New Roman" w:hAnsi="Times New Roman" w:cs="Times New Roman"/>
                <w:b/>
                <w:iCs/>
                <w:sz w:val="24"/>
                <w:szCs w:val="24"/>
              </w:rPr>
              <w:t>Ņemts vērā.</w:t>
            </w:r>
          </w:p>
          <w:p w14:paraId="114654E2" w14:textId="68B67F39" w:rsidR="00E06104" w:rsidRDefault="00E06104" w:rsidP="00E06104">
            <w:pPr>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2</w:t>
            </w:r>
            <w:r w:rsidR="004841C0">
              <w:rPr>
                <w:rFonts w:ascii="Times New Roman" w:hAnsi="Times New Roman" w:cs="Times New Roman"/>
                <w:bCs/>
                <w:iCs/>
                <w:sz w:val="24"/>
                <w:szCs w:val="24"/>
              </w:rPr>
              <w:t>0</w:t>
            </w:r>
            <w:r>
              <w:rPr>
                <w:rFonts w:ascii="Times New Roman" w:hAnsi="Times New Roman" w:cs="Times New Roman"/>
                <w:bCs/>
                <w:iCs/>
                <w:sz w:val="24"/>
                <w:szCs w:val="24"/>
              </w:rPr>
              <w:t>. punkts izteikts jaunā redakcijā:</w:t>
            </w:r>
          </w:p>
          <w:p w14:paraId="6F04D495" w14:textId="5545CA3E" w:rsidR="00E4143F" w:rsidRDefault="00E06104" w:rsidP="00D266CC">
            <w:pPr>
              <w:tabs>
                <w:tab w:val="left" w:pos="292"/>
                <w:tab w:val="left" w:pos="544"/>
              </w:tabs>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w:t>
            </w:r>
            <w:r w:rsidR="00307AF8" w:rsidRPr="00307AF8">
              <w:rPr>
                <w:rFonts w:ascii="Times New Roman" w:hAnsi="Times New Roman" w:cs="Times New Roman"/>
                <w:bCs/>
                <w:iCs/>
                <w:sz w:val="24"/>
                <w:szCs w:val="24"/>
              </w:rPr>
              <w:t>2</w:t>
            </w:r>
            <w:r w:rsidR="004841C0">
              <w:rPr>
                <w:rFonts w:ascii="Times New Roman" w:hAnsi="Times New Roman" w:cs="Times New Roman"/>
                <w:bCs/>
                <w:iCs/>
                <w:sz w:val="24"/>
                <w:szCs w:val="24"/>
              </w:rPr>
              <w:t>0</w:t>
            </w:r>
            <w:r w:rsidR="00307AF8" w:rsidRPr="00307AF8">
              <w:rPr>
                <w:rFonts w:ascii="Times New Roman" w:hAnsi="Times New Roman" w:cs="Times New Roman"/>
                <w:bCs/>
                <w:iCs/>
                <w:sz w:val="24"/>
                <w:szCs w:val="24"/>
              </w:rPr>
              <w:t>.</w:t>
            </w:r>
            <w:r w:rsidR="00307AF8" w:rsidRPr="00307AF8">
              <w:rPr>
                <w:rFonts w:ascii="Times New Roman" w:hAnsi="Times New Roman" w:cs="Times New Roman"/>
                <w:bCs/>
                <w:iCs/>
                <w:sz w:val="24"/>
                <w:szCs w:val="24"/>
              </w:rPr>
              <w:tab/>
            </w:r>
            <w:r w:rsidR="0073454A">
              <w:rPr>
                <w:rFonts w:ascii="Times New Roman" w:hAnsi="Times New Roman" w:cs="Times New Roman"/>
                <w:bCs/>
                <w:iCs/>
                <w:sz w:val="24"/>
                <w:szCs w:val="24"/>
              </w:rPr>
              <w:t>S</w:t>
            </w:r>
            <w:r w:rsidR="00307AF8" w:rsidRPr="00307AF8">
              <w:rPr>
                <w:rFonts w:ascii="Times New Roman" w:hAnsi="Times New Roman" w:cs="Times New Roman"/>
                <w:bCs/>
                <w:iCs/>
                <w:sz w:val="24"/>
                <w:szCs w:val="24"/>
              </w:rPr>
              <w:t>abiedrība nosaka pārskatu sniegšanas un informācijas apmaiņas kārtību sabiedrībā, tai skaitā nosaka, kādu informāciju, kam un kad ir pienākums sniegt un saņemt un kāda informācija ir konfidenciāla un aizsargājama.</w:t>
            </w:r>
            <w:r>
              <w:rPr>
                <w:rFonts w:ascii="Times New Roman" w:hAnsi="Times New Roman" w:cs="Times New Roman"/>
                <w:bCs/>
                <w:iCs/>
                <w:sz w:val="24"/>
                <w:szCs w:val="24"/>
              </w:rPr>
              <w:t>"</w:t>
            </w:r>
          </w:p>
          <w:p w14:paraId="560BFEC8" w14:textId="77777777" w:rsidR="0007334E" w:rsidRDefault="0007334E" w:rsidP="00E06104">
            <w:pPr>
              <w:spacing w:after="120" w:line="240" w:lineRule="auto"/>
              <w:jc w:val="both"/>
              <w:rPr>
                <w:rFonts w:ascii="Times New Roman" w:hAnsi="Times New Roman" w:cs="Times New Roman"/>
                <w:bCs/>
                <w:iCs/>
                <w:sz w:val="24"/>
                <w:szCs w:val="24"/>
              </w:rPr>
            </w:pPr>
          </w:p>
          <w:p w14:paraId="669EAD39" w14:textId="77777777" w:rsidR="0007334E" w:rsidRDefault="0007334E" w:rsidP="00E06104">
            <w:pPr>
              <w:spacing w:after="120" w:line="240" w:lineRule="auto"/>
              <w:jc w:val="both"/>
              <w:rPr>
                <w:rFonts w:ascii="Times New Roman" w:hAnsi="Times New Roman" w:cs="Times New Roman"/>
                <w:bCs/>
                <w:iCs/>
                <w:sz w:val="24"/>
                <w:szCs w:val="24"/>
              </w:rPr>
            </w:pPr>
          </w:p>
          <w:p w14:paraId="260D7141" w14:textId="7E8629A7" w:rsidR="000A0650" w:rsidRPr="00307AF8" w:rsidRDefault="000A0650" w:rsidP="00E06104">
            <w:pPr>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Informācijas apmaiņu sabiedrībā veido atbilstoši tās lielumam un darbības jomām, lai nodrošinātu atbilstošu iekšējo komunikāciju, pārskatu sniegšanu un informācijas apmaiņu sta</w:t>
            </w:r>
            <w:r w:rsidRPr="000A0650">
              <w:rPr>
                <w:rFonts w:ascii="Times New Roman" w:hAnsi="Times New Roman" w:cs="Times New Roman"/>
                <w:bCs/>
                <w:iCs/>
                <w:sz w:val="24"/>
                <w:szCs w:val="24"/>
              </w:rPr>
              <w:t xml:space="preserve">rp dažādām </w:t>
            </w:r>
            <w:r>
              <w:rPr>
                <w:rFonts w:ascii="Times New Roman" w:hAnsi="Times New Roman" w:cs="Times New Roman"/>
                <w:bCs/>
                <w:iCs/>
                <w:sz w:val="24"/>
                <w:szCs w:val="24"/>
              </w:rPr>
              <w:t>sabiedrības</w:t>
            </w:r>
            <w:r w:rsidRPr="000A0650">
              <w:rPr>
                <w:rFonts w:ascii="Times New Roman" w:hAnsi="Times New Roman" w:cs="Times New Roman"/>
                <w:bCs/>
                <w:iCs/>
                <w:sz w:val="24"/>
                <w:szCs w:val="24"/>
              </w:rPr>
              <w:t xml:space="preserve"> struktūrvienībām</w:t>
            </w:r>
            <w:r>
              <w:rPr>
                <w:rFonts w:ascii="Times New Roman" w:hAnsi="Times New Roman" w:cs="Times New Roman"/>
                <w:bCs/>
                <w:iCs/>
                <w:sz w:val="24"/>
                <w:szCs w:val="24"/>
              </w:rPr>
              <w:t xml:space="preserve"> un </w:t>
            </w:r>
            <w:r w:rsidRPr="000A0650">
              <w:rPr>
                <w:rFonts w:ascii="Times New Roman" w:hAnsi="Times New Roman" w:cs="Times New Roman"/>
                <w:bCs/>
                <w:iCs/>
                <w:sz w:val="24"/>
                <w:szCs w:val="24"/>
              </w:rPr>
              <w:t>darbiniekiem</w:t>
            </w:r>
            <w:r>
              <w:rPr>
                <w:rFonts w:ascii="Times New Roman" w:hAnsi="Times New Roman" w:cs="Times New Roman"/>
                <w:bCs/>
                <w:iCs/>
                <w:sz w:val="24"/>
                <w:szCs w:val="24"/>
              </w:rPr>
              <w:t xml:space="preserve">. Tā var ietvert </w:t>
            </w:r>
            <w:r w:rsidR="00BE450A">
              <w:rPr>
                <w:rFonts w:ascii="Times New Roman" w:hAnsi="Times New Roman" w:cs="Times New Roman"/>
                <w:bCs/>
                <w:iCs/>
                <w:sz w:val="24"/>
                <w:szCs w:val="24"/>
              </w:rPr>
              <w:t xml:space="preserve">lēmumu pieņemšanu, sadarbību, kultūras veidošanu </w:t>
            </w:r>
            <w:r w:rsidR="00015A06">
              <w:rPr>
                <w:rFonts w:ascii="Times New Roman" w:hAnsi="Times New Roman" w:cs="Times New Roman"/>
                <w:bCs/>
                <w:iCs/>
                <w:sz w:val="24"/>
                <w:szCs w:val="24"/>
              </w:rPr>
              <w:t>u</w:t>
            </w:r>
            <w:r w:rsidR="00BE450A">
              <w:rPr>
                <w:rFonts w:ascii="Times New Roman" w:hAnsi="Times New Roman" w:cs="Times New Roman"/>
                <w:bCs/>
                <w:iCs/>
                <w:sz w:val="24"/>
                <w:szCs w:val="24"/>
              </w:rPr>
              <w:t>n citas jomas.</w:t>
            </w:r>
          </w:p>
        </w:tc>
      </w:tr>
      <w:tr w:rsidR="00E4143F" w:rsidRPr="0056522A" w14:paraId="2C4F50A9" w14:textId="77777777" w:rsidTr="00935455">
        <w:tc>
          <w:tcPr>
            <w:tcW w:w="0" w:type="auto"/>
            <w:tcBorders>
              <w:top w:val="single" w:sz="4" w:space="0" w:color="auto"/>
              <w:left w:val="single" w:sz="4" w:space="0" w:color="auto"/>
              <w:bottom w:val="single" w:sz="4" w:space="0" w:color="auto"/>
              <w:right w:val="single" w:sz="4" w:space="0" w:color="auto"/>
            </w:tcBorders>
          </w:tcPr>
          <w:p w14:paraId="0E13CEF8" w14:textId="0F1AC9E5" w:rsidR="00E4143F" w:rsidRPr="0056522A" w:rsidRDefault="005267C2" w:rsidP="0056522A">
            <w:pPr>
              <w:spacing w:after="120" w:line="240" w:lineRule="auto"/>
              <w:ind w:left="720"/>
              <w:rPr>
                <w:rFonts w:ascii="Times New Roman" w:hAnsi="Times New Roman" w:cs="Times New Roman"/>
                <w:bCs/>
                <w:sz w:val="24"/>
                <w:szCs w:val="24"/>
              </w:rPr>
            </w:pPr>
            <w:r>
              <w:rPr>
                <w:rFonts w:ascii="Times New Roman" w:hAnsi="Times New Roman" w:cs="Times New Roman"/>
                <w:bCs/>
                <w:sz w:val="24"/>
                <w:szCs w:val="24"/>
              </w:rPr>
              <w:lastRenderedPageBreak/>
              <w:t>7.</w:t>
            </w:r>
          </w:p>
        </w:tc>
        <w:tc>
          <w:tcPr>
            <w:tcW w:w="3779" w:type="dxa"/>
            <w:tcBorders>
              <w:top w:val="single" w:sz="4" w:space="0" w:color="auto"/>
              <w:left w:val="single" w:sz="4" w:space="0" w:color="auto"/>
              <w:bottom w:val="single" w:sz="4" w:space="0" w:color="auto"/>
              <w:right w:val="single" w:sz="4" w:space="0" w:color="auto"/>
            </w:tcBorders>
            <w:shd w:val="clear" w:color="auto" w:fill="auto"/>
          </w:tcPr>
          <w:p w14:paraId="28F7A8EE" w14:textId="55EAA67E" w:rsidR="00E4143F" w:rsidRPr="00307AF8" w:rsidRDefault="00307AF8" w:rsidP="00935455">
            <w:pPr>
              <w:tabs>
                <w:tab w:val="left" w:pos="460"/>
              </w:tabs>
              <w:spacing w:after="120" w:line="240" w:lineRule="auto"/>
              <w:jc w:val="both"/>
              <w:rPr>
                <w:rFonts w:ascii="Times New Roman" w:hAnsi="Times New Roman" w:cs="Times New Roman"/>
                <w:bCs/>
                <w:sz w:val="24"/>
                <w:szCs w:val="24"/>
              </w:rPr>
            </w:pPr>
            <w:r w:rsidRPr="00307AF8">
              <w:rPr>
                <w:rFonts w:ascii="Times New Roman" w:hAnsi="Times New Roman" w:cs="Times New Roman"/>
                <w:bCs/>
                <w:sz w:val="24"/>
                <w:szCs w:val="24"/>
              </w:rPr>
              <w:t>25.</w:t>
            </w:r>
            <w:r w:rsidRPr="00307AF8">
              <w:rPr>
                <w:rFonts w:ascii="Times New Roman" w:hAnsi="Times New Roman" w:cs="Times New Roman"/>
                <w:bCs/>
                <w:sz w:val="24"/>
                <w:szCs w:val="24"/>
              </w:rPr>
              <w:tab/>
              <w:t>Nosakot darbinieku pienākumus un piešķirot tiem pilnvaras, sabiedrība nodala pienākumus (funkcijas), kuri ļautu kādam darbiniekam vienpersoniski veikt kādu darījumu pilnībā.</w:t>
            </w:r>
          </w:p>
        </w:tc>
        <w:tc>
          <w:tcPr>
            <w:tcW w:w="4192" w:type="dxa"/>
            <w:tcBorders>
              <w:top w:val="single" w:sz="4" w:space="0" w:color="auto"/>
              <w:left w:val="single" w:sz="4" w:space="0" w:color="auto"/>
              <w:bottom w:val="single" w:sz="4" w:space="0" w:color="auto"/>
              <w:right w:val="single" w:sz="4" w:space="0" w:color="auto"/>
            </w:tcBorders>
            <w:shd w:val="clear" w:color="auto" w:fill="auto"/>
          </w:tcPr>
          <w:p w14:paraId="1468D3EC" w14:textId="74CC07C2" w:rsidR="00AF1CDB" w:rsidRDefault="0067587D" w:rsidP="00E06104">
            <w:pPr>
              <w:spacing w:after="120" w:line="240" w:lineRule="auto"/>
              <w:rPr>
                <w:rFonts w:ascii="Times New Roman" w:hAnsi="Times New Roman" w:cs="Times New Roman"/>
                <w:b/>
                <w:bCs/>
                <w:sz w:val="24"/>
                <w:szCs w:val="24"/>
              </w:rPr>
            </w:pPr>
            <w:r>
              <w:rPr>
                <w:rFonts w:ascii="Times New Roman" w:hAnsi="Times New Roman" w:cs="Times New Roman"/>
                <w:b/>
                <w:bCs/>
                <w:sz w:val="24"/>
                <w:szCs w:val="24"/>
              </w:rPr>
              <w:t>AS </w:t>
            </w:r>
            <w:proofErr w:type="spellStart"/>
            <w:r w:rsidR="00AF1CDB" w:rsidRPr="00E4143F">
              <w:rPr>
                <w:rFonts w:ascii="Times New Roman" w:hAnsi="Times New Roman" w:cs="Times New Roman"/>
                <w:b/>
                <w:bCs/>
                <w:sz w:val="24"/>
                <w:szCs w:val="24"/>
              </w:rPr>
              <w:t>Mintos</w:t>
            </w:r>
            <w:proofErr w:type="spellEnd"/>
            <w:r w:rsidR="00AF1CDB" w:rsidRPr="00E4143F">
              <w:rPr>
                <w:rFonts w:ascii="Times New Roman" w:hAnsi="Times New Roman" w:cs="Times New Roman"/>
                <w:b/>
                <w:bCs/>
                <w:sz w:val="24"/>
                <w:szCs w:val="24"/>
              </w:rPr>
              <w:t xml:space="preserve"> Marketplace</w:t>
            </w:r>
          </w:p>
          <w:p w14:paraId="1E9832DA" w14:textId="38771D93" w:rsidR="00E4143F" w:rsidRPr="00E559BF" w:rsidRDefault="00E4143F" w:rsidP="00935455">
            <w:pPr>
              <w:tabs>
                <w:tab w:val="left" w:pos="333"/>
              </w:tabs>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t>7.</w:t>
            </w:r>
            <w:r w:rsidRPr="00E559BF">
              <w:rPr>
                <w:rFonts w:ascii="Times New Roman" w:hAnsi="Times New Roman" w:cs="Times New Roman"/>
                <w:sz w:val="24"/>
                <w:szCs w:val="24"/>
              </w:rPr>
              <w:tab/>
              <w:t>Noteikumu 25.punkts:</w:t>
            </w:r>
          </w:p>
          <w:p w14:paraId="40188C13" w14:textId="06DEB4AA" w:rsidR="00E4143F" w:rsidRPr="00E559BF" w:rsidRDefault="00E4143F" w:rsidP="00E06104">
            <w:pPr>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t xml:space="preserve">Lietojot terminu </w:t>
            </w:r>
            <w:r w:rsidR="005541EE">
              <w:rPr>
                <w:rFonts w:ascii="Times New Roman" w:hAnsi="Times New Roman" w:cs="Times New Roman"/>
                <w:sz w:val="24"/>
                <w:szCs w:val="24"/>
              </w:rPr>
              <w:t>"</w:t>
            </w:r>
            <w:r w:rsidRPr="00E559BF">
              <w:rPr>
                <w:rFonts w:ascii="Times New Roman" w:hAnsi="Times New Roman" w:cs="Times New Roman"/>
                <w:sz w:val="24"/>
                <w:szCs w:val="24"/>
              </w:rPr>
              <w:t>darījumu</w:t>
            </w:r>
            <w:r w:rsidR="005541EE">
              <w:rPr>
                <w:rFonts w:ascii="Times New Roman" w:hAnsi="Times New Roman" w:cs="Times New Roman"/>
                <w:sz w:val="24"/>
                <w:szCs w:val="24"/>
              </w:rPr>
              <w:t>"</w:t>
            </w:r>
            <w:r w:rsidRPr="00E559BF">
              <w:rPr>
                <w:rFonts w:ascii="Times New Roman" w:hAnsi="Times New Roman" w:cs="Times New Roman"/>
                <w:sz w:val="24"/>
                <w:szCs w:val="24"/>
              </w:rPr>
              <w:t xml:space="preserve"> aicinām to precizēt, nosakot, par kādiem darījumiem ir runa. Pieļaujam, ka ieguldījumu brokeru sabiedrību kontekstā ir domāti darījumi, lai izpildītu klientu rīkojumus un rīkotos klientu pilnvarojumā jeb uzdevumā (portfeļa pārvaldīšanas gadījumā), tomēr, ņemot vērā ļoti normatīvo šo Noteikumu dabu, šķiet, būtu lietderīgi precīzāk formulēt jēdziena </w:t>
            </w:r>
            <w:r w:rsidR="005541EE">
              <w:rPr>
                <w:rFonts w:ascii="Times New Roman" w:hAnsi="Times New Roman" w:cs="Times New Roman"/>
                <w:sz w:val="24"/>
                <w:szCs w:val="24"/>
              </w:rPr>
              <w:t>"</w:t>
            </w:r>
            <w:r w:rsidRPr="00E559BF">
              <w:rPr>
                <w:rFonts w:ascii="Times New Roman" w:hAnsi="Times New Roman" w:cs="Times New Roman"/>
                <w:sz w:val="24"/>
                <w:szCs w:val="24"/>
              </w:rPr>
              <w:t>darījumi</w:t>
            </w:r>
            <w:r w:rsidR="005541EE">
              <w:rPr>
                <w:rFonts w:ascii="Times New Roman" w:hAnsi="Times New Roman" w:cs="Times New Roman"/>
                <w:sz w:val="24"/>
                <w:szCs w:val="24"/>
              </w:rPr>
              <w:t>"</w:t>
            </w:r>
            <w:r w:rsidRPr="00E559BF">
              <w:rPr>
                <w:rFonts w:ascii="Times New Roman" w:hAnsi="Times New Roman" w:cs="Times New Roman"/>
                <w:sz w:val="24"/>
                <w:szCs w:val="24"/>
              </w:rPr>
              <w:t xml:space="preserve"> tvērumu.</w:t>
            </w:r>
          </w:p>
        </w:tc>
        <w:tc>
          <w:tcPr>
            <w:tcW w:w="5389" w:type="dxa"/>
            <w:tcBorders>
              <w:top w:val="single" w:sz="4" w:space="0" w:color="auto"/>
              <w:left w:val="single" w:sz="4" w:space="0" w:color="auto"/>
              <w:bottom w:val="single" w:sz="4" w:space="0" w:color="auto"/>
              <w:right w:val="single" w:sz="4" w:space="0" w:color="auto"/>
            </w:tcBorders>
            <w:shd w:val="clear" w:color="auto" w:fill="auto"/>
          </w:tcPr>
          <w:p w14:paraId="2FD6789C" w14:textId="77777777" w:rsidR="00BE450A" w:rsidRDefault="00BE450A" w:rsidP="00E06104">
            <w:pPr>
              <w:spacing w:after="120" w:line="240" w:lineRule="auto"/>
              <w:rPr>
                <w:rFonts w:ascii="Times New Roman" w:hAnsi="Times New Roman" w:cs="Times New Roman"/>
                <w:b/>
                <w:iCs/>
                <w:sz w:val="24"/>
                <w:szCs w:val="24"/>
              </w:rPr>
            </w:pPr>
            <w:r>
              <w:rPr>
                <w:rFonts w:ascii="Times New Roman" w:hAnsi="Times New Roman" w:cs="Times New Roman"/>
                <w:b/>
                <w:iCs/>
                <w:sz w:val="24"/>
                <w:szCs w:val="24"/>
              </w:rPr>
              <w:t>Ņemts vērā.</w:t>
            </w:r>
          </w:p>
          <w:p w14:paraId="4C87A4C4" w14:textId="5D746C4E" w:rsidR="00E4143F" w:rsidRDefault="00BE450A" w:rsidP="00E06104">
            <w:pPr>
              <w:spacing w:after="120" w:line="240" w:lineRule="auto"/>
              <w:jc w:val="both"/>
              <w:rPr>
                <w:rFonts w:ascii="Times New Roman" w:hAnsi="Times New Roman" w:cs="Times New Roman"/>
                <w:bCs/>
                <w:iCs/>
                <w:sz w:val="24"/>
                <w:szCs w:val="24"/>
              </w:rPr>
            </w:pPr>
            <w:r w:rsidRPr="00015A06">
              <w:rPr>
                <w:rFonts w:ascii="Times New Roman" w:hAnsi="Times New Roman" w:cs="Times New Roman"/>
                <w:bCs/>
                <w:iCs/>
                <w:sz w:val="24"/>
                <w:szCs w:val="24"/>
              </w:rPr>
              <w:t>Paskaidrojam</w:t>
            </w:r>
            <w:r>
              <w:rPr>
                <w:rFonts w:ascii="Times New Roman" w:hAnsi="Times New Roman" w:cs="Times New Roman"/>
                <w:bCs/>
                <w:iCs/>
                <w:sz w:val="24"/>
                <w:szCs w:val="24"/>
              </w:rPr>
              <w:t xml:space="preserve">, ka </w:t>
            </w:r>
            <w:r w:rsidRPr="00BE450A">
              <w:rPr>
                <w:rFonts w:ascii="Times New Roman" w:hAnsi="Times New Roman" w:cs="Times New Roman"/>
                <w:bCs/>
                <w:iCs/>
                <w:sz w:val="24"/>
                <w:szCs w:val="24"/>
              </w:rPr>
              <w:t>noteikumu</w:t>
            </w:r>
            <w:r>
              <w:rPr>
                <w:rFonts w:ascii="Times New Roman" w:hAnsi="Times New Roman" w:cs="Times New Roman"/>
                <w:bCs/>
                <w:iCs/>
                <w:sz w:val="24"/>
                <w:szCs w:val="24"/>
              </w:rPr>
              <w:t xml:space="preserve"> </w:t>
            </w:r>
            <w:r w:rsidRPr="00015A06">
              <w:rPr>
                <w:rFonts w:ascii="Times New Roman" w:hAnsi="Times New Roman" w:cs="Times New Roman"/>
                <w:bCs/>
                <w:iCs/>
                <w:sz w:val="24"/>
                <w:szCs w:val="24"/>
              </w:rPr>
              <w:t>projektā</w:t>
            </w:r>
            <w:r>
              <w:rPr>
                <w:rFonts w:ascii="Times New Roman" w:hAnsi="Times New Roman" w:cs="Times New Roman"/>
                <w:bCs/>
                <w:iCs/>
                <w:sz w:val="24"/>
                <w:szCs w:val="24"/>
              </w:rPr>
              <w:t xml:space="preserve"> minētais termins </w:t>
            </w:r>
            <w:r w:rsidR="005541EE">
              <w:rPr>
                <w:rFonts w:ascii="Times New Roman" w:hAnsi="Times New Roman" w:cs="Times New Roman"/>
                <w:bCs/>
                <w:iCs/>
                <w:sz w:val="24"/>
                <w:szCs w:val="24"/>
              </w:rPr>
              <w:t>"</w:t>
            </w:r>
            <w:r>
              <w:rPr>
                <w:rFonts w:ascii="Times New Roman" w:hAnsi="Times New Roman" w:cs="Times New Roman"/>
                <w:bCs/>
                <w:iCs/>
                <w:sz w:val="24"/>
                <w:szCs w:val="24"/>
              </w:rPr>
              <w:t>darījumi</w:t>
            </w:r>
            <w:r w:rsidR="005541EE">
              <w:rPr>
                <w:rFonts w:ascii="Times New Roman" w:hAnsi="Times New Roman" w:cs="Times New Roman"/>
                <w:bCs/>
                <w:iCs/>
                <w:sz w:val="24"/>
                <w:szCs w:val="24"/>
              </w:rPr>
              <w:t>"</w:t>
            </w:r>
            <w:r>
              <w:rPr>
                <w:rFonts w:ascii="Times New Roman" w:hAnsi="Times New Roman" w:cs="Times New Roman"/>
                <w:b/>
                <w:iCs/>
                <w:sz w:val="24"/>
                <w:szCs w:val="24"/>
              </w:rPr>
              <w:t xml:space="preserve"> </w:t>
            </w:r>
            <w:r>
              <w:rPr>
                <w:rFonts w:ascii="Times New Roman" w:hAnsi="Times New Roman" w:cs="Times New Roman"/>
                <w:bCs/>
                <w:iCs/>
                <w:sz w:val="24"/>
                <w:szCs w:val="24"/>
              </w:rPr>
              <w:t xml:space="preserve">ir lietots plašākā nozīmē un ietver </w:t>
            </w:r>
            <w:r w:rsidR="00E06104">
              <w:rPr>
                <w:rFonts w:ascii="Times New Roman" w:hAnsi="Times New Roman" w:cs="Times New Roman"/>
                <w:bCs/>
                <w:iCs/>
                <w:sz w:val="24"/>
                <w:szCs w:val="24"/>
              </w:rPr>
              <w:t xml:space="preserve">ne </w:t>
            </w:r>
            <w:r>
              <w:rPr>
                <w:rFonts w:ascii="Times New Roman" w:hAnsi="Times New Roman" w:cs="Times New Roman"/>
                <w:bCs/>
                <w:iCs/>
                <w:sz w:val="24"/>
                <w:szCs w:val="24"/>
              </w:rPr>
              <w:t xml:space="preserve">tikai </w:t>
            </w:r>
            <w:r w:rsidRPr="00BE450A">
              <w:rPr>
                <w:rFonts w:ascii="Times New Roman" w:hAnsi="Times New Roman" w:cs="Times New Roman"/>
                <w:bCs/>
                <w:iCs/>
                <w:sz w:val="24"/>
                <w:szCs w:val="24"/>
              </w:rPr>
              <w:t>darījum</w:t>
            </w:r>
            <w:r>
              <w:rPr>
                <w:rFonts w:ascii="Times New Roman" w:hAnsi="Times New Roman" w:cs="Times New Roman"/>
                <w:bCs/>
                <w:iCs/>
                <w:sz w:val="24"/>
                <w:szCs w:val="24"/>
              </w:rPr>
              <w:t>us</w:t>
            </w:r>
            <w:r w:rsidRPr="00BE450A">
              <w:rPr>
                <w:rFonts w:ascii="Times New Roman" w:hAnsi="Times New Roman" w:cs="Times New Roman"/>
                <w:bCs/>
                <w:iCs/>
                <w:sz w:val="24"/>
                <w:szCs w:val="24"/>
              </w:rPr>
              <w:t>, lai izpildītu klientu rīkojumus un rīkotos klientu pilnvarojumā jeb uzdevumā (portfeļa pārvaldīšanas gadījumā)</w:t>
            </w:r>
            <w:r>
              <w:rPr>
                <w:rFonts w:ascii="Times New Roman" w:hAnsi="Times New Roman" w:cs="Times New Roman"/>
                <w:bCs/>
                <w:iCs/>
                <w:sz w:val="24"/>
                <w:szCs w:val="24"/>
              </w:rPr>
              <w:t xml:space="preserve">, bet arī </w:t>
            </w:r>
            <w:r w:rsidRPr="00BE450A">
              <w:rPr>
                <w:rFonts w:ascii="Times New Roman" w:hAnsi="Times New Roman" w:cs="Times New Roman"/>
                <w:bCs/>
                <w:iCs/>
                <w:sz w:val="24"/>
                <w:szCs w:val="24"/>
              </w:rPr>
              <w:t>darījum</w:t>
            </w:r>
            <w:r>
              <w:rPr>
                <w:rFonts w:ascii="Times New Roman" w:hAnsi="Times New Roman" w:cs="Times New Roman"/>
                <w:bCs/>
                <w:iCs/>
                <w:sz w:val="24"/>
                <w:szCs w:val="24"/>
              </w:rPr>
              <w:t>us</w:t>
            </w:r>
            <w:r w:rsidRPr="00BE450A">
              <w:rPr>
                <w:rFonts w:ascii="Times New Roman" w:hAnsi="Times New Roman" w:cs="Times New Roman"/>
                <w:bCs/>
                <w:iCs/>
                <w:sz w:val="24"/>
                <w:szCs w:val="24"/>
              </w:rPr>
              <w:t>, kas saistīti ar naudas plūsmu,</w:t>
            </w:r>
            <w:r>
              <w:rPr>
                <w:rFonts w:ascii="Times New Roman" w:hAnsi="Times New Roman" w:cs="Times New Roman"/>
                <w:bCs/>
                <w:iCs/>
                <w:sz w:val="24"/>
                <w:szCs w:val="24"/>
              </w:rPr>
              <w:t xml:space="preserve"> piemēram</w:t>
            </w:r>
            <w:r w:rsidR="001F5C3D">
              <w:rPr>
                <w:rFonts w:ascii="Times New Roman" w:hAnsi="Times New Roman" w:cs="Times New Roman"/>
                <w:bCs/>
                <w:iCs/>
                <w:sz w:val="24"/>
                <w:szCs w:val="24"/>
              </w:rPr>
              <w:t>,</w:t>
            </w:r>
            <w:r w:rsidRPr="00BE450A">
              <w:rPr>
                <w:rFonts w:ascii="Times New Roman" w:hAnsi="Times New Roman" w:cs="Times New Roman"/>
                <w:bCs/>
                <w:iCs/>
                <w:sz w:val="24"/>
                <w:szCs w:val="24"/>
              </w:rPr>
              <w:t xml:space="preserve"> bankas darījum</w:t>
            </w:r>
            <w:r>
              <w:rPr>
                <w:rFonts w:ascii="Times New Roman" w:hAnsi="Times New Roman" w:cs="Times New Roman"/>
                <w:bCs/>
                <w:iCs/>
                <w:sz w:val="24"/>
                <w:szCs w:val="24"/>
              </w:rPr>
              <w:t>us un citus darījumus atbilstoši sabiedrības darbības specifikai.</w:t>
            </w:r>
          </w:p>
          <w:p w14:paraId="0D868B35" w14:textId="2DC10BCE" w:rsidR="00C75647" w:rsidRDefault="00C75647" w:rsidP="00E06104">
            <w:pPr>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2</w:t>
            </w:r>
            <w:r w:rsidR="004841C0">
              <w:rPr>
                <w:rFonts w:ascii="Times New Roman" w:hAnsi="Times New Roman" w:cs="Times New Roman"/>
                <w:bCs/>
                <w:iCs/>
                <w:sz w:val="24"/>
                <w:szCs w:val="24"/>
              </w:rPr>
              <w:t>4</w:t>
            </w:r>
            <w:r>
              <w:rPr>
                <w:rFonts w:ascii="Times New Roman" w:hAnsi="Times New Roman" w:cs="Times New Roman"/>
                <w:bCs/>
                <w:iCs/>
                <w:sz w:val="24"/>
                <w:szCs w:val="24"/>
              </w:rPr>
              <w:t>. punkts izteikts jaunā redakcijā:</w:t>
            </w:r>
          </w:p>
          <w:p w14:paraId="7D9BB2B6" w14:textId="2648C814" w:rsidR="00C75647" w:rsidRDefault="00164E8B" w:rsidP="00E06104">
            <w:pPr>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w:t>
            </w:r>
            <w:r w:rsidR="004841C0">
              <w:rPr>
                <w:rFonts w:ascii="Times New Roman" w:hAnsi="Times New Roman" w:cs="Times New Roman"/>
                <w:bCs/>
                <w:iCs/>
                <w:sz w:val="24"/>
                <w:szCs w:val="24"/>
              </w:rPr>
              <w:t xml:space="preserve">24. </w:t>
            </w:r>
            <w:r w:rsidR="00C75647" w:rsidRPr="00C75647">
              <w:rPr>
                <w:rFonts w:ascii="Times New Roman" w:hAnsi="Times New Roman" w:cs="Times New Roman"/>
                <w:bCs/>
                <w:iCs/>
                <w:sz w:val="24"/>
                <w:szCs w:val="24"/>
              </w:rPr>
              <w:t xml:space="preserve">Nosakot darbinieku pienākumus un piešķirot tiem pilnvaras, </w:t>
            </w:r>
            <w:bookmarkStart w:id="6" w:name="_Hlk183476858"/>
            <w:r w:rsidRPr="00164E8B">
              <w:rPr>
                <w:rFonts w:ascii="Times New Roman" w:hAnsi="Times New Roman" w:cs="Times New Roman"/>
                <w:bCs/>
                <w:iCs/>
                <w:sz w:val="24"/>
                <w:szCs w:val="24"/>
              </w:rPr>
              <w:t>ievēro pienākumu dalīšanas principu, kas izpaužas kā to pienākumu (funkciju) nodalīšana, kas, ja tos apvienotu,</w:t>
            </w:r>
            <w:bookmarkEnd w:id="6"/>
            <w:r>
              <w:rPr>
                <w:rFonts w:ascii="Times New Roman" w:hAnsi="Times New Roman" w:cs="Times New Roman"/>
                <w:bCs/>
                <w:iCs/>
                <w:sz w:val="24"/>
                <w:szCs w:val="24"/>
              </w:rPr>
              <w:t xml:space="preserve"> </w:t>
            </w:r>
            <w:r w:rsidR="00C75647" w:rsidRPr="00C75647">
              <w:rPr>
                <w:rFonts w:ascii="Times New Roman" w:hAnsi="Times New Roman" w:cs="Times New Roman"/>
                <w:bCs/>
                <w:iCs/>
                <w:sz w:val="24"/>
                <w:szCs w:val="24"/>
              </w:rPr>
              <w:t>ļautu kādam darbiniekam vienpersoniski veikt kādu darījumu pilnībā</w:t>
            </w:r>
            <w:r>
              <w:rPr>
                <w:rFonts w:ascii="Times New Roman" w:hAnsi="Times New Roman" w:cs="Times New Roman"/>
                <w:bCs/>
                <w:iCs/>
                <w:sz w:val="24"/>
                <w:szCs w:val="24"/>
              </w:rPr>
              <w:t>."</w:t>
            </w:r>
          </w:p>
          <w:p w14:paraId="08C29809" w14:textId="1004C403" w:rsidR="00C75647" w:rsidRPr="00307AF8" w:rsidRDefault="00C75647" w:rsidP="00E06104">
            <w:pPr>
              <w:spacing w:after="120" w:line="240" w:lineRule="auto"/>
              <w:jc w:val="both"/>
              <w:rPr>
                <w:rFonts w:ascii="Times New Roman" w:hAnsi="Times New Roman" w:cs="Times New Roman"/>
                <w:bCs/>
                <w:iCs/>
                <w:sz w:val="24"/>
                <w:szCs w:val="24"/>
              </w:rPr>
            </w:pPr>
          </w:p>
        </w:tc>
      </w:tr>
      <w:tr w:rsidR="00E4143F" w:rsidRPr="0056522A" w14:paraId="73F4F850" w14:textId="77777777" w:rsidTr="00935455">
        <w:tc>
          <w:tcPr>
            <w:tcW w:w="0" w:type="auto"/>
            <w:tcBorders>
              <w:top w:val="single" w:sz="4" w:space="0" w:color="auto"/>
              <w:left w:val="single" w:sz="4" w:space="0" w:color="auto"/>
              <w:bottom w:val="single" w:sz="4" w:space="0" w:color="auto"/>
              <w:right w:val="single" w:sz="4" w:space="0" w:color="auto"/>
            </w:tcBorders>
          </w:tcPr>
          <w:p w14:paraId="79A5B05E" w14:textId="0F1D3859" w:rsidR="00E4143F" w:rsidRPr="0056522A" w:rsidRDefault="005267C2" w:rsidP="0056522A">
            <w:pPr>
              <w:spacing w:after="120" w:line="240" w:lineRule="auto"/>
              <w:ind w:left="720"/>
              <w:rPr>
                <w:rFonts w:ascii="Times New Roman" w:hAnsi="Times New Roman" w:cs="Times New Roman"/>
                <w:bCs/>
                <w:sz w:val="24"/>
                <w:szCs w:val="24"/>
              </w:rPr>
            </w:pPr>
            <w:r>
              <w:rPr>
                <w:rFonts w:ascii="Times New Roman" w:hAnsi="Times New Roman" w:cs="Times New Roman"/>
                <w:bCs/>
                <w:sz w:val="24"/>
                <w:szCs w:val="24"/>
              </w:rPr>
              <w:t>8.</w:t>
            </w:r>
          </w:p>
        </w:tc>
        <w:tc>
          <w:tcPr>
            <w:tcW w:w="3779" w:type="dxa"/>
            <w:tcBorders>
              <w:top w:val="single" w:sz="4" w:space="0" w:color="auto"/>
              <w:left w:val="single" w:sz="4" w:space="0" w:color="auto"/>
              <w:bottom w:val="single" w:sz="4" w:space="0" w:color="auto"/>
              <w:right w:val="single" w:sz="4" w:space="0" w:color="auto"/>
            </w:tcBorders>
            <w:shd w:val="clear" w:color="auto" w:fill="auto"/>
          </w:tcPr>
          <w:p w14:paraId="646C053A" w14:textId="1D354362" w:rsidR="00E4143F" w:rsidRPr="00AF7176" w:rsidRDefault="00AF7176" w:rsidP="00935455">
            <w:pPr>
              <w:tabs>
                <w:tab w:val="left" w:pos="425"/>
                <w:tab w:val="left" w:pos="609"/>
              </w:tabs>
              <w:spacing w:after="120" w:line="240" w:lineRule="auto"/>
              <w:jc w:val="both"/>
              <w:rPr>
                <w:rFonts w:ascii="Times New Roman" w:hAnsi="Times New Roman" w:cs="Times New Roman"/>
                <w:bCs/>
                <w:sz w:val="24"/>
                <w:szCs w:val="24"/>
              </w:rPr>
            </w:pPr>
            <w:r w:rsidRPr="00AF7176">
              <w:rPr>
                <w:rFonts w:ascii="Times New Roman" w:hAnsi="Times New Roman" w:cs="Times New Roman"/>
                <w:bCs/>
                <w:sz w:val="24"/>
                <w:szCs w:val="24"/>
              </w:rPr>
              <w:t>53.2.</w:t>
            </w:r>
            <w:r w:rsidRPr="00AF7176">
              <w:rPr>
                <w:rFonts w:ascii="Times New Roman" w:hAnsi="Times New Roman" w:cs="Times New Roman"/>
                <w:bCs/>
                <w:sz w:val="24"/>
                <w:szCs w:val="24"/>
              </w:rPr>
              <w:tab/>
              <w:t>nav pretrunā ar sabiedrības un tās noguldītāju vai ieguldītāju interesēm.</w:t>
            </w:r>
          </w:p>
        </w:tc>
        <w:tc>
          <w:tcPr>
            <w:tcW w:w="4192" w:type="dxa"/>
            <w:tcBorders>
              <w:top w:val="single" w:sz="4" w:space="0" w:color="auto"/>
              <w:left w:val="single" w:sz="4" w:space="0" w:color="auto"/>
              <w:bottom w:val="single" w:sz="4" w:space="0" w:color="auto"/>
              <w:right w:val="single" w:sz="4" w:space="0" w:color="auto"/>
            </w:tcBorders>
            <w:shd w:val="clear" w:color="auto" w:fill="auto"/>
          </w:tcPr>
          <w:p w14:paraId="1496B4EB" w14:textId="7847504A" w:rsidR="00AF1CDB" w:rsidRDefault="0067587D" w:rsidP="00935455">
            <w:pPr>
              <w:tabs>
                <w:tab w:val="left" w:pos="345"/>
              </w:tabs>
              <w:spacing w:after="120" w:line="240" w:lineRule="auto"/>
              <w:rPr>
                <w:rFonts w:ascii="Times New Roman" w:hAnsi="Times New Roman" w:cs="Times New Roman"/>
                <w:b/>
                <w:bCs/>
                <w:sz w:val="24"/>
                <w:szCs w:val="24"/>
              </w:rPr>
            </w:pPr>
            <w:r>
              <w:rPr>
                <w:rFonts w:ascii="Times New Roman" w:hAnsi="Times New Roman" w:cs="Times New Roman"/>
                <w:b/>
                <w:bCs/>
                <w:sz w:val="24"/>
                <w:szCs w:val="24"/>
              </w:rPr>
              <w:t>AS </w:t>
            </w:r>
            <w:proofErr w:type="spellStart"/>
            <w:r w:rsidR="00AF1CDB" w:rsidRPr="00E4143F">
              <w:rPr>
                <w:rFonts w:ascii="Times New Roman" w:hAnsi="Times New Roman" w:cs="Times New Roman"/>
                <w:b/>
                <w:bCs/>
                <w:sz w:val="24"/>
                <w:szCs w:val="24"/>
              </w:rPr>
              <w:t>Mintos</w:t>
            </w:r>
            <w:proofErr w:type="spellEnd"/>
            <w:r w:rsidR="00AF1CDB" w:rsidRPr="00E4143F">
              <w:rPr>
                <w:rFonts w:ascii="Times New Roman" w:hAnsi="Times New Roman" w:cs="Times New Roman"/>
                <w:b/>
                <w:bCs/>
                <w:sz w:val="24"/>
                <w:szCs w:val="24"/>
              </w:rPr>
              <w:t xml:space="preserve"> Marketplace</w:t>
            </w:r>
          </w:p>
          <w:p w14:paraId="6C56E667" w14:textId="77777777" w:rsidR="00E4143F" w:rsidRPr="00E559BF" w:rsidRDefault="00E4143F" w:rsidP="00935455">
            <w:pPr>
              <w:tabs>
                <w:tab w:val="left" w:pos="345"/>
              </w:tabs>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t>8.</w:t>
            </w:r>
            <w:r w:rsidRPr="00E559BF">
              <w:rPr>
                <w:rFonts w:ascii="Times New Roman" w:hAnsi="Times New Roman" w:cs="Times New Roman"/>
                <w:sz w:val="24"/>
                <w:szCs w:val="24"/>
              </w:rPr>
              <w:tab/>
              <w:t xml:space="preserve">Noteikumu 53.2.punkts: </w:t>
            </w:r>
          </w:p>
          <w:p w14:paraId="1F115E4F" w14:textId="77FAC071" w:rsidR="00E4143F" w:rsidRPr="00E559BF" w:rsidRDefault="00E4143F" w:rsidP="00935455">
            <w:pPr>
              <w:tabs>
                <w:tab w:val="left" w:pos="345"/>
              </w:tabs>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t>Aicinām svītrot norādi uz noguldītājiem.</w:t>
            </w:r>
          </w:p>
        </w:tc>
        <w:tc>
          <w:tcPr>
            <w:tcW w:w="5389" w:type="dxa"/>
            <w:tcBorders>
              <w:top w:val="single" w:sz="4" w:space="0" w:color="auto"/>
              <w:left w:val="single" w:sz="4" w:space="0" w:color="auto"/>
              <w:bottom w:val="single" w:sz="4" w:space="0" w:color="auto"/>
              <w:right w:val="single" w:sz="4" w:space="0" w:color="auto"/>
            </w:tcBorders>
            <w:shd w:val="clear" w:color="auto" w:fill="auto"/>
          </w:tcPr>
          <w:p w14:paraId="3C2EBE49" w14:textId="77777777" w:rsidR="00AF7176" w:rsidRPr="00AF7176" w:rsidRDefault="00AF7176" w:rsidP="00E06104">
            <w:pPr>
              <w:spacing w:after="120" w:line="240" w:lineRule="auto"/>
              <w:rPr>
                <w:rFonts w:ascii="Times New Roman" w:hAnsi="Times New Roman" w:cs="Times New Roman"/>
                <w:b/>
                <w:iCs/>
                <w:sz w:val="24"/>
                <w:szCs w:val="24"/>
              </w:rPr>
            </w:pPr>
            <w:r w:rsidRPr="00AF7176">
              <w:rPr>
                <w:rFonts w:ascii="Times New Roman" w:hAnsi="Times New Roman" w:cs="Times New Roman"/>
                <w:b/>
                <w:iCs/>
                <w:sz w:val="24"/>
                <w:szCs w:val="24"/>
              </w:rPr>
              <w:t>Ņemts vērā.</w:t>
            </w:r>
          </w:p>
          <w:p w14:paraId="39FA8832" w14:textId="11A6B42D" w:rsidR="00E06104" w:rsidRDefault="00E06104" w:rsidP="00E06104">
            <w:pPr>
              <w:spacing w:after="120" w:line="240" w:lineRule="auto"/>
              <w:rPr>
                <w:rFonts w:ascii="Times New Roman" w:hAnsi="Times New Roman" w:cs="Times New Roman"/>
                <w:bCs/>
                <w:iCs/>
                <w:sz w:val="24"/>
                <w:szCs w:val="24"/>
              </w:rPr>
            </w:pPr>
            <w:r>
              <w:rPr>
                <w:rFonts w:ascii="Times New Roman" w:hAnsi="Times New Roman" w:cs="Times New Roman"/>
                <w:bCs/>
                <w:iCs/>
                <w:sz w:val="24"/>
                <w:szCs w:val="24"/>
              </w:rPr>
              <w:t>5</w:t>
            </w:r>
            <w:r w:rsidR="004841C0">
              <w:rPr>
                <w:rFonts w:ascii="Times New Roman" w:hAnsi="Times New Roman" w:cs="Times New Roman"/>
                <w:bCs/>
                <w:iCs/>
                <w:sz w:val="24"/>
                <w:szCs w:val="24"/>
              </w:rPr>
              <w:t>2</w:t>
            </w:r>
            <w:r>
              <w:rPr>
                <w:rFonts w:ascii="Times New Roman" w:hAnsi="Times New Roman" w:cs="Times New Roman"/>
                <w:bCs/>
                <w:iCs/>
                <w:sz w:val="24"/>
                <w:szCs w:val="24"/>
              </w:rPr>
              <w:t>.2. apakšpunkts izteikts jaunā redakcijā:</w:t>
            </w:r>
          </w:p>
          <w:p w14:paraId="785BC72D" w14:textId="535F0DE0" w:rsidR="00AF7176" w:rsidRPr="00AF7176" w:rsidRDefault="00E06104" w:rsidP="00E06104">
            <w:pPr>
              <w:spacing w:after="120" w:line="240" w:lineRule="auto"/>
              <w:rPr>
                <w:rFonts w:ascii="Times New Roman" w:hAnsi="Times New Roman" w:cs="Times New Roman"/>
                <w:bCs/>
                <w:iCs/>
                <w:sz w:val="24"/>
                <w:szCs w:val="24"/>
              </w:rPr>
            </w:pPr>
            <w:r>
              <w:rPr>
                <w:rFonts w:ascii="Times New Roman" w:hAnsi="Times New Roman" w:cs="Times New Roman"/>
                <w:bCs/>
                <w:iCs/>
                <w:sz w:val="24"/>
                <w:szCs w:val="24"/>
              </w:rPr>
              <w:t>"</w:t>
            </w:r>
            <w:r w:rsidR="00AF7176" w:rsidRPr="00AF7176">
              <w:rPr>
                <w:rFonts w:ascii="Times New Roman" w:hAnsi="Times New Roman" w:cs="Times New Roman"/>
                <w:bCs/>
                <w:iCs/>
                <w:sz w:val="24"/>
                <w:szCs w:val="24"/>
              </w:rPr>
              <w:t>5</w:t>
            </w:r>
            <w:r w:rsidR="004841C0">
              <w:rPr>
                <w:rFonts w:ascii="Times New Roman" w:hAnsi="Times New Roman" w:cs="Times New Roman"/>
                <w:bCs/>
                <w:iCs/>
                <w:sz w:val="24"/>
                <w:szCs w:val="24"/>
              </w:rPr>
              <w:t>2</w:t>
            </w:r>
            <w:r w:rsidR="00AF7176" w:rsidRPr="00AF7176">
              <w:rPr>
                <w:rFonts w:ascii="Times New Roman" w:hAnsi="Times New Roman" w:cs="Times New Roman"/>
                <w:bCs/>
                <w:iCs/>
                <w:sz w:val="24"/>
                <w:szCs w:val="24"/>
              </w:rPr>
              <w:t>.2.</w:t>
            </w:r>
            <w:r w:rsidR="00AF7176" w:rsidRPr="00AF7176">
              <w:rPr>
                <w:rFonts w:ascii="Times New Roman" w:hAnsi="Times New Roman" w:cs="Times New Roman"/>
                <w:bCs/>
                <w:iCs/>
                <w:sz w:val="24"/>
                <w:szCs w:val="24"/>
              </w:rPr>
              <w:tab/>
              <w:t xml:space="preserve">nav pretrunā ar sabiedrības </w:t>
            </w:r>
            <w:r w:rsidR="00AF7176" w:rsidRPr="00B91ED3">
              <w:rPr>
                <w:rFonts w:ascii="Times New Roman" w:hAnsi="Times New Roman" w:cs="Times New Roman"/>
                <w:bCs/>
                <w:iCs/>
                <w:sz w:val="24"/>
                <w:szCs w:val="24"/>
              </w:rPr>
              <w:t>un tās</w:t>
            </w:r>
            <w:r w:rsidR="00AF7176" w:rsidRPr="00AF7176">
              <w:rPr>
                <w:rFonts w:ascii="Times New Roman" w:hAnsi="Times New Roman" w:cs="Times New Roman"/>
                <w:bCs/>
                <w:iCs/>
                <w:sz w:val="24"/>
                <w:szCs w:val="24"/>
              </w:rPr>
              <w:t xml:space="preserve"> ieguldītāju interesēm.</w:t>
            </w:r>
            <w:r>
              <w:rPr>
                <w:rFonts w:ascii="Times New Roman" w:hAnsi="Times New Roman" w:cs="Times New Roman"/>
                <w:bCs/>
                <w:iCs/>
                <w:sz w:val="24"/>
                <w:szCs w:val="24"/>
              </w:rPr>
              <w:t>"</w:t>
            </w:r>
          </w:p>
        </w:tc>
      </w:tr>
      <w:tr w:rsidR="00E4143F" w:rsidRPr="0056522A" w14:paraId="515F3F0D" w14:textId="77777777" w:rsidTr="00935455">
        <w:tc>
          <w:tcPr>
            <w:tcW w:w="0" w:type="auto"/>
            <w:tcBorders>
              <w:top w:val="single" w:sz="4" w:space="0" w:color="auto"/>
              <w:left w:val="single" w:sz="4" w:space="0" w:color="auto"/>
              <w:bottom w:val="single" w:sz="4" w:space="0" w:color="auto"/>
              <w:right w:val="single" w:sz="4" w:space="0" w:color="auto"/>
            </w:tcBorders>
          </w:tcPr>
          <w:p w14:paraId="731C63B4" w14:textId="0AD84183" w:rsidR="00E4143F" w:rsidRPr="0056522A" w:rsidRDefault="005267C2" w:rsidP="0056522A">
            <w:pPr>
              <w:spacing w:after="120" w:line="240" w:lineRule="auto"/>
              <w:ind w:left="720"/>
              <w:rPr>
                <w:rFonts w:ascii="Times New Roman" w:hAnsi="Times New Roman" w:cs="Times New Roman"/>
                <w:bCs/>
                <w:sz w:val="24"/>
                <w:szCs w:val="24"/>
              </w:rPr>
            </w:pPr>
            <w:r>
              <w:rPr>
                <w:rFonts w:ascii="Times New Roman" w:hAnsi="Times New Roman" w:cs="Times New Roman"/>
                <w:bCs/>
                <w:sz w:val="24"/>
                <w:szCs w:val="24"/>
              </w:rPr>
              <w:t>9.</w:t>
            </w:r>
          </w:p>
        </w:tc>
        <w:tc>
          <w:tcPr>
            <w:tcW w:w="3779" w:type="dxa"/>
            <w:tcBorders>
              <w:top w:val="single" w:sz="4" w:space="0" w:color="auto"/>
              <w:left w:val="single" w:sz="4" w:space="0" w:color="auto"/>
              <w:bottom w:val="single" w:sz="4" w:space="0" w:color="auto"/>
              <w:right w:val="single" w:sz="4" w:space="0" w:color="auto"/>
            </w:tcBorders>
            <w:shd w:val="clear" w:color="auto" w:fill="auto"/>
          </w:tcPr>
          <w:p w14:paraId="46C6E2BA" w14:textId="77777777" w:rsidR="00AF7176" w:rsidRPr="00AF7176" w:rsidRDefault="00AF7176" w:rsidP="00935455">
            <w:pPr>
              <w:tabs>
                <w:tab w:val="left" w:pos="425"/>
                <w:tab w:val="left" w:pos="636"/>
              </w:tabs>
              <w:spacing w:after="120" w:line="240" w:lineRule="auto"/>
              <w:rPr>
                <w:rFonts w:ascii="Times New Roman" w:hAnsi="Times New Roman" w:cs="Times New Roman"/>
                <w:bCs/>
                <w:sz w:val="24"/>
                <w:szCs w:val="24"/>
              </w:rPr>
            </w:pPr>
            <w:r w:rsidRPr="00AF7176">
              <w:rPr>
                <w:rFonts w:ascii="Times New Roman" w:hAnsi="Times New Roman" w:cs="Times New Roman"/>
                <w:bCs/>
                <w:sz w:val="24"/>
                <w:szCs w:val="24"/>
              </w:rPr>
              <w:t>55.</w:t>
            </w:r>
            <w:r w:rsidRPr="00AF7176">
              <w:rPr>
                <w:rFonts w:ascii="Times New Roman" w:hAnsi="Times New Roman" w:cs="Times New Roman"/>
                <w:bCs/>
                <w:sz w:val="24"/>
                <w:szCs w:val="24"/>
              </w:rPr>
              <w:tab/>
              <w:t>Sabiedrība nodrošina, ka šo noteikumu 53. punktā minētā politika un procedūras ietver:</w:t>
            </w:r>
          </w:p>
          <w:p w14:paraId="56F4D0B6" w14:textId="77777777" w:rsidR="00AF7176" w:rsidRPr="00AF7176" w:rsidRDefault="00AF7176" w:rsidP="00935455">
            <w:pPr>
              <w:tabs>
                <w:tab w:val="left" w:pos="425"/>
                <w:tab w:val="left" w:pos="636"/>
              </w:tabs>
              <w:spacing w:after="120" w:line="240" w:lineRule="auto"/>
              <w:rPr>
                <w:rFonts w:ascii="Times New Roman" w:hAnsi="Times New Roman" w:cs="Times New Roman"/>
                <w:bCs/>
                <w:sz w:val="24"/>
                <w:szCs w:val="24"/>
              </w:rPr>
            </w:pPr>
            <w:r w:rsidRPr="00AF7176">
              <w:rPr>
                <w:rFonts w:ascii="Times New Roman" w:hAnsi="Times New Roman" w:cs="Times New Roman"/>
                <w:bCs/>
                <w:sz w:val="24"/>
                <w:szCs w:val="24"/>
              </w:rPr>
              <w:t>55.1.</w:t>
            </w:r>
            <w:r w:rsidRPr="00AF7176">
              <w:rPr>
                <w:rFonts w:ascii="Times New Roman" w:hAnsi="Times New Roman" w:cs="Times New Roman"/>
                <w:bCs/>
                <w:sz w:val="24"/>
                <w:szCs w:val="24"/>
              </w:rPr>
              <w:tab/>
              <w:t>lēmumu pieņemšanas kārtību;</w:t>
            </w:r>
          </w:p>
          <w:p w14:paraId="08F7B97A" w14:textId="77777777" w:rsidR="00AF7176" w:rsidRPr="00AF7176" w:rsidRDefault="00AF7176" w:rsidP="00935455">
            <w:pPr>
              <w:tabs>
                <w:tab w:val="left" w:pos="425"/>
                <w:tab w:val="left" w:pos="636"/>
              </w:tabs>
              <w:spacing w:after="120" w:line="240" w:lineRule="auto"/>
              <w:rPr>
                <w:rFonts w:ascii="Times New Roman" w:hAnsi="Times New Roman" w:cs="Times New Roman"/>
                <w:bCs/>
                <w:sz w:val="24"/>
                <w:szCs w:val="24"/>
              </w:rPr>
            </w:pPr>
            <w:r w:rsidRPr="00AF7176">
              <w:rPr>
                <w:rFonts w:ascii="Times New Roman" w:hAnsi="Times New Roman" w:cs="Times New Roman"/>
                <w:bCs/>
                <w:sz w:val="24"/>
                <w:szCs w:val="24"/>
              </w:rPr>
              <w:t>55.2.</w:t>
            </w:r>
            <w:r w:rsidRPr="00AF7176">
              <w:rPr>
                <w:rFonts w:ascii="Times New Roman" w:hAnsi="Times New Roman" w:cs="Times New Roman"/>
                <w:bCs/>
                <w:sz w:val="24"/>
                <w:szCs w:val="24"/>
              </w:rPr>
              <w:tab/>
              <w:t>finanšu pakalpojumu veidu;</w:t>
            </w:r>
          </w:p>
          <w:p w14:paraId="22932B41" w14:textId="77777777" w:rsidR="00AF7176" w:rsidRPr="00AF7176" w:rsidRDefault="00AF7176" w:rsidP="00935455">
            <w:pPr>
              <w:tabs>
                <w:tab w:val="left" w:pos="425"/>
                <w:tab w:val="left" w:pos="636"/>
              </w:tabs>
              <w:spacing w:after="120" w:line="240" w:lineRule="auto"/>
              <w:rPr>
                <w:rFonts w:ascii="Times New Roman" w:hAnsi="Times New Roman" w:cs="Times New Roman"/>
                <w:bCs/>
                <w:sz w:val="24"/>
                <w:szCs w:val="24"/>
              </w:rPr>
            </w:pPr>
            <w:r w:rsidRPr="00AF7176">
              <w:rPr>
                <w:rFonts w:ascii="Times New Roman" w:hAnsi="Times New Roman" w:cs="Times New Roman"/>
                <w:bCs/>
                <w:sz w:val="24"/>
                <w:szCs w:val="24"/>
              </w:rPr>
              <w:t>55.3.</w:t>
            </w:r>
            <w:r w:rsidRPr="00AF7176">
              <w:rPr>
                <w:rFonts w:ascii="Times New Roman" w:hAnsi="Times New Roman" w:cs="Times New Roman"/>
                <w:bCs/>
                <w:sz w:val="24"/>
                <w:szCs w:val="24"/>
              </w:rPr>
              <w:tab/>
              <w:t>darījumu piešķiršanas un izpildes nosacījumus;</w:t>
            </w:r>
          </w:p>
          <w:p w14:paraId="02EF1D5B" w14:textId="77777777" w:rsidR="00AF7176" w:rsidRPr="00AF7176" w:rsidRDefault="00AF7176" w:rsidP="00935455">
            <w:pPr>
              <w:tabs>
                <w:tab w:val="left" w:pos="425"/>
                <w:tab w:val="left" w:pos="636"/>
              </w:tabs>
              <w:spacing w:after="120" w:line="240" w:lineRule="auto"/>
              <w:rPr>
                <w:rFonts w:ascii="Times New Roman" w:hAnsi="Times New Roman" w:cs="Times New Roman"/>
                <w:bCs/>
                <w:sz w:val="24"/>
                <w:szCs w:val="24"/>
              </w:rPr>
            </w:pPr>
            <w:r w:rsidRPr="00AF7176">
              <w:rPr>
                <w:rFonts w:ascii="Times New Roman" w:hAnsi="Times New Roman" w:cs="Times New Roman"/>
                <w:bCs/>
                <w:sz w:val="24"/>
                <w:szCs w:val="24"/>
              </w:rPr>
              <w:lastRenderedPageBreak/>
              <w:t>55.4.</w:t>
            </w:r>
            <w:r w:rsidRPr="00AF7176">
              <w:rPr>
                <w:rFonts w:ascii="Times New Roman" w:hAnsi="Times New Roman" w:cs="Times New Roman"/>
                <w:bCs/>
                <w:sz w:val="24"/>
                <w:szCs w:val="24"/>
              </w:rPr>
              <w:tab/>
              <w:t>interešu konflikta riska novērtēšanas kārtību pirms darījuma veikšanas;</w:t>
            </w:r>
          </w:p>
          <w:p w14:paraId="2A45DD23" w14:textId="77777777" w:rsidR="00AF7176" w:rsidRPr="00AF7176" w:rsidRDefault="00AF7176" w:rsidP="00935455">
            <w:pPr>
              <w:tabs>
                <w:tab w:val="left" w:pos="425"/>
                <w:tab w:val="left" w:pos="636"/>
              </w:tabs>
              <w:spacing w:after="120" w:line="240" w:lineRule="auto"/>
              <w:rPr>
                <w:rFonts w:ascii="Times New Roman" w:hAnsi="Times New Roman" w:cs="Times New Roman"/>
                <w:bCs/>
                <w:sz w:val="24"/>
                <w:szCs w:val="24"/>
              </w:rPr>
            </w:pPr>
            <w:r w:rsidRPr="00AF7176">
              <w:rPr>
                <w:rFonts w:ascii="Times New Roman" w:hAnsi="Times New Roman" w:cs="Times New Roman"/>
                <w:bCs/>
                <w:sz w:val="24"/>
                <w:szCs w:val="24"/>
              </w:rPr>
              <w:t>55.5.</w:t>
            </w:r>
            <w:r w:rsidRPr="00AF7176">
              <w:rPr>
                <w:rFonts w:ascii="Times New Roman" w:hAnsi="Times New Roman" w:cs="Times New Roman"/>
                <w:bCs/>
                <w:sz w:val="24"/>
                <w:szCs w:val="24"/>
              </w:rPr>
              <w:tab/>
              <w:t>interešu konflikta situāciju aprakstu;</w:t>
            </w:r>
          </w:p>
          <w:p w14:paraId="55416095" w14:textId="77777777" w:rsidR="00AF7176" w:rsidRPr="00AF7176" w:rsidRDefault="00AF7176" w:rsidP="00935455">
            <w:pPr>
              <w:tabs>
                <w:tab w:val="left" w:pos="425"/>
                <w:tab w:val="left" w:pos="636"/>
              </w:tabs>
              <w:spacing w:after="120" w:line="240" w:lineRule="auto"/>
              <w:rPr>
                <w:rFonts w:ascii="Times New Roman" w:hAnsi="Times New Roman" w:cs="Times New Roman"/>
                <w:bCs/>
                <w:sz w:val="24"/>
                <w:szCs w:val="24"/>
              </w:rPr>
            </w:pPr>
            <w:r w:rsidRPr="00AF7176">
              <w:rPr>
                <w:rFonts w:ascii="Times New Roman" w:hAnsi="Times New Roman" w:cs="Times New Roman"/>
                <w:bCs/>
                <w:sz w:val="24"/>
                <w:szCs w:val="24"/>
              </w:rPr>
              <w:t>55.6.</w:t>
            </w:r>
            <w:r w:rsidRPr="00AF7176">
              <w:rPr>
                <w:rFonts w:ascii="Times New Roman" w:hAnsi="Times New Roman" w:cs="Times New Roman"/>
                <w:bCs/>
                <w:sz w:val="24"/>
                <w:szCs w:val="24"/>
              </w:rPr>
              <w:tab/>
              <w:t>darījumu dokumentēšanas kārtību, kas ietver šādu informāciju:</w:t>
            </w:r>
          </w:p>
          <w:p w14:paraId="48230EF1" w14:textId="77777777" w:rsidR="00AF7176" w:rsidRPr="00AF7176" w:rsidRDefault="00AF7176" w:rsidP="00935455">
            <w:pPr>
              <w:tabs>
                <w:tab w:val="left" w:pos="425"/>
                <w:tab w:val="left" w:pos="636"/>
              </w:tabs>
              <w:spacing w:after="120" w:line="240" w:lineRule="auto"/>
              <w:rPr>
                <w:rFonts w:ascii="Times New Roman" w:hAnsi="Times New Roman" w:cs="Times New Roman"/>
                <w:bCs/>
                <w:sz w:val="24"/>
                <w:szCs w:val="24"/>
              </w:rPr>
            </w:pPr>
            <w:r w:rsidRPr="00AF7176">
              <w:rPr>
                <w:rFonts w:ascii="Times New Roman" w:hAnsi="Times New Roman" w:cs="Times New Roman"/>
                <w:bCs/>
                <w:sz w:val="24"/>
                <w:szCs w:val="24"/>
              </w:rPr>
              <w:t>55.6.1.</w:t>
            </w:r>
            <w:r w:rsidRPr="00AF7176">
              <w:rPr>
                <w:rFonts w:ascii="Times New Roman" w:hAnsi="Times New Roman" w:cs="Times New Roman"/>
                <w:bCs/>
                <w:sz w:val="24"/>
                <w:szCs w:val="24"/>
              </w:rPr>
              <w:tab/>
              <w:t>darījuma partnera vārds un uzvārds vai nosaukums un statuss (piemēram, valdes vai padomes loceklis vai ar sabiedrību saistītā persona) un ar sabiedrību saistītās personas saistība ar sabiedrības akcionāriem, dalībniekiem vai valdes vai padomes locekļiem;</w:t>
            </w:r>
          </w:p>
          <w:p w14:paraId="04011317" w14:textId="77777777" w:rsidR="00AF7176" w:rsidRPr="00AF7176" w:rsidRDefault="00AF7176" w:rsidP="00935455">
            <w:pPr>
              <w:spacing w:after="120" w:line="240" w:lineRule="auto"/>
              <w:rPr>
                <w:rFonts w:ascii="Times New Roman" w:hAnsi="Times New Roman" w:cs="Times New Roman"/>
                <w:bCs/>
                <w:sz w:val="24"/>
                <w:szCs w:val="24"/>
              </w:rPr>
            </w:pPr>
            <w:r w:rsidRPr="00AF7176">
              <w:rPr>
                <w:rFonts w:ascii="Times New Roman" w:hAnsi="Times New Roman" w:cs="Times New Roman"/>
                <w:bCs/>
                <w:sz w:val="24"/>
                <w:szCs w:val="24"/>
              </w:rPr>
              <w:t>55.6.2.</w:t>
            </w:r>
            <w:r w:rsidRPr="00AF7176">
              <w:rPr>
                <w:rFonts w:ascii="Times New Roman" w:hAnsi="Times New Roman" w:cs="Times New Roman"/>
                <w:bCs/>
                <w:sz w:val="24"/>
                <w:szCs w:val="24"/>
              </w:rPr>
              <w:tab/>
              <w:t>darījuma veids, būtība un summa;</w:t>
            </w:r>
          </w:p>
          <w:p w14:paraId="3845FD2C" w14:textId="77777777" w:rsidR="00AF7176" w:rsidRPr="00AF7176" w:rsidRDefault="00AF7176" w:rsidP="00935455">
            <w:pPr>
              <w:spacing w:after="120" w:line="240" w:lineRule="auto"/>
              <w:rPr>
                <w:rFonts w:ascii="Times New Roman" w:hAnsi="Times New Roman" w:cs="Times New Roman"/>
                <w:bCs/>
                <w:sz w:val="24"/>
                <w:szCs w:val="24"/>
              </w:rPr>
            </w:pPr>
            <w:r w:rsidRPr="00AF7176">
              <w:rPr>
                <w:rFonts w:ascii="Times New Roman" w:hAnsi="Times New Roman" w:cs="Times New Roman"/>
                <w:bCs/>
                <w:sz w:val="24"/>
                <w:szCs w:val="24"/>
              </w:rPr>
              <w:t>55.6.3.</w:t>
            </w:r>
            <w:r w:rsidRPr="00AF7176">
              <w:rPr>
                <w:rFonts w:ascii="Times New Roman" w:hAnsi="Times New Roman" w:cs="Times New Roman"/>
                <w:bCs/>
                <w:sz w:val="24"/>
                <w:szCs w:val="24"/>
              </w:rPr>
              <w:tab/>
              <w:t>darījumam piemērojamie noteikumi un nosacījumi;</w:t>
            </w:r>
          </w:p>
          <w:p w14:paraId="700E5414" w14:textId="77777777" w:rsidR="00AF7176" w:rsidRPr="00AF7176" w:rsidRDefault="00AF7176" w:rsidP="00935455">
            <w:pPr>
              <w:spacing w:after="120" w:line="240" w:lineRule="auto"/>
              <w:rPr>
                <w:rFonts w:ascii="Times New Roman" w:hAnsi="Times New Roman" w:cs="Times New Roman"/>
                <w:bCs/>
                <w:sz w:val="24"/>
                <w:szCs w:val="24"/>
              </w:rPr>
            </w:pPr>
            <w:r w:rsidRPr="00AF7176">
              <w:rPr>
                <w:rFonts w:ascii="Times New Roman" w:hAnsi="Times New Roman" w:cs="Times New Roman"/>
                <w:bCs/>
                <w:sz w:val="24"/>
                <w:szCs w:val="24"/>
              </w:rPr>
              <w:t>55.6.4.</w:t>
            </w:r>
            <w:r w:rsidRPr="00AF7176">
              <w:rPr>
                <w:rFonts w:ascii="Times New Roman" w:hAnsi="Times New Roman" w:cs="Times New Roman"/>
                <w:bCs/>
                <w:sz w:val="24"/>
                <w:szCs w:val="24"/>
              </w:rPr>
              <w:tab/>
              <w:t>darījuma apstiprināšanas datums;</w:t>
            </w:r>
          </w:p>
          <w:p w14:paraId="70BC6DF6" w14:textId="77777777" w:rsidR="00AF7176" w:rsidRPr="00AF7176" w:rsidRDefault="00AF7176" w:rsidP="00935455">
            <w:pPr>
              <w:spacing w:after="120" w:line="240" w:lineRule="auto"/>
              <w:rPr>
                <w:rFonts w:ascii="Times New Roman" w:hAnsi="Times New Roman" w:cs="Times New Roman"/>
                <w:bCs/>
                <w:sz w:val="24"/>
                <w:szCs w:val="24"/>
              </w:rPr>
            </w:pPr>
            <w:r w:rsidRPr="00AF7176">
              <w:rPr>
                <w:rFonts w:ascii="Times New Roman" w:hAnsi="Times New Roman" w:cs="Times New Roman"/>
                <w:bCs/>
                <w:sz w:val="24"/>
                <w:szCs w:val="24"/>
              </w:rPr>
              <w:t>55.6.5.</w:t>
            </w:r>
            <w:r w:rsidRPr="00AF7176">
              <w:rPr>
                <w:rFonts w:ascii="Times New Roman" w:hAnsi="Times New Roman" w:cs="Times New Roman"/>
                <w:bCs/>
                <w:sz w:val="24"/>
                <w:szCs w:val="24"/>
              </w:rPr>
              <w:tab/>
              <w:t>tās personas vārds un uzvārds vai struktūrvienības nosaukums, kura pieņēmusi lēmumu par darījuma apstiprināšanu, un lēmumā ietvertie nosacījumi;</w:t>
            </w:r>
          </w:p>
          <w:p w14:paraId="07D36963" w14:textId="77777777" w:rsidR="00AF7176" w:rsidRPr="00AF7176" w:rsidRDefault="00AF7176" w:rsidP="00935455">
            <w:pPr>
              <w:spacing w:after="120" w:line="240" w:lineRule="auto"/>
              <w:rPr>
                <w:rFonts w:ascii="Times New Roman" w:hAnsi="Times New Roman" w:cs="Times New Roman"/>
                <w:bCs/>
                <w:sz w:val="24"/>
                <w:szCs w:val="24"/>
              </w:rPr>
            </w:pPr>
            <w:r w:rsidRPr="00AF7176">
              <w:rPr>
                <w:rFonts w:ascii="Times New Roman" w:hAnsi="Times New Roman" w:cs="Times New Roman"/>
                <w:bCs/>
                <w:sz w:val="24"/>
                <w:szCs w:val="24"/>
              </w:rPr>
              <w:lastRenderedPageBreak/>
              <w:t>55.6.6.</w:t>
            </w:r>
            <w:r w:rsidRPr="00AF7176">
              <w:rPr>
                <w:rFonts w:ascii="Times New Roman" w:hAnsi="Times New Roman" w:cs="Times New Roman"/>
                <w:bCs/>
                <w:sz w:val="24"/>
                <w:szCs w:val="24"/>
              </w:rPr>
              <w:tab/>
              <w:t>informācija par to, vai darījums veikts saskaņā ar tirgus nosacījumiem;</w:t>
            </w:r>
          </w:p>
          <w:p w14:paraId="2329DDA3" w14:textId="547EA78C" w:rsidR="00E4143F" w:rsidRPr="00AF7176" w:rsidRDefault="00AF7176" w:rsidP="00935455">
            <w:pPr>
              <w:spacing w:after="120" w:line="240" w:lineRule="auto"/>
              <w:rPr>
                <w:rFonts w:ascii="Times New Roman" w:hAnsi="Times New Roman" w:cs="Times New Roman"/>
                <w:bCs/>
                <w:sz w:val="24"/>
                <w:szCs w:val="24"/>
              </w:rPr>
            </w:pPr>
            <w:r w:rsidRPr="00AF7176">
              <w:rPr>
                <w:rFonts w:ascii="Times New Roman" w:hAnsi="Times New Roman" w:cs="Times New Roman"/>
                <w:bCs/>
                <w:sz w:val="24"/>
                <w:szCs w:val="24"/>
              </w:rPr>
              <w:t>55.6.7.</w:t>
            </w:r>
            <w:r w:rsidRPr="00AF7176">
              <w:rPr>
                <w:rFonts w:ascii="Times New Roman" w:hAnsi="Times New Roman" w:cs="Times New Roman"/>
                <w:bCs/>
                <w:sz w:val="24"/>
                <w:szCs w:val="24"/>
              </w:rPr>
              <w:tab/>
              <w:t>informācija par to, vai darījums veikts saskaņā ar nosacījumiem, kas attiecināmi uz visiem sabiedrības darbiniekiem.</w:t>
            </w:r>
          </w:p>
        </w:tc>
        <w:tc>
          <w:tcPr>
            <w:tcW w:w="4192" w:type="dxa"/>
            <w:tcBorders>
              <w:top w:val="single" w:sz="4" w:space="0" w:color="auto"/>
              <w:left w:val="single" w:sz="4" w:space="0" w:color="auto"/>
              <w:bottom w:val="single" w:sz="4" w:space="0" w:color="auto"/>
              <w:right w:val="single" w:sz="4" w:space="0" w:color="auto"/>
            </w:tcBorders>
            <w:shd w:val="clear" w:color="auto" w:fill="auto"/>
          </w:tcPr>
          <w:p w14:paraId="74A746FA" w14:textId="45D6729A" w:rsidR="00AF1CDB" w:rsidRDefault="0067587D" w:rsidP="00935455">
            <w:pPr>
              <w:tabs>
                <w:tab w:val="left" w:pos="345"/>
              </w:tabs>
              <w:spacing w:after="12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AS </w:t>
            </w:r>
            <w:proofErr w:type="spellStart"/>
            <w:r w:rsidR="00AF1CDB" w:rsidRPr="00E4143F">
              <w:rPr>
                <w:rFonts w:ascii="Times New Roman" w:hAnsi="Times New Roman" w:cs="Times New Roman"/>
                <w:b/>
                <w:bCs/>
                <w:sz w:val="24"/>
                <w:szCs w:val="24"/>
              </w:rPr>
              <w:t>Mintos</w:t>
            </w:r>
            <w:proofErr w:type="spellEnd"/>
            <w:r w:rsidR="00AF1CDB" w:rsidRPr="00E4143F">
              <w:rPr>
                <w:rFonts w:ascii="Times New Roman" w:hAnsi="Times New Roman" w:cs="Times New Roman"/>
                <w:b/>
                <w:bCs/>
                <w:sz w:val="24"/>
                <w:szCs w:val="24"/>
              </w:rPr>
              <w:t xml:space="preserve"> Marketplace</w:t>
            </w:r>
          </w:p>
          <w:p w14:paraId="2F294FF4" w14:textId="77777777" w:rsidR="00E4143F" w:rsidRPr="00E559BF" w:rsidRDefault="00E4143F" w:rsidP="00935455">
            <w:pPr>
              <w:tabs>
                <w:tab w:val="left" w:pos="345"/>
              </w:tabs>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t>9.</w:t>
            </w:r>
            <w:r w:rsidRPr="00E559BF">
              <w:rPr>
                <w:rFonts w:ascii="Times New Roman" w:hAnsi="Times New Roman" w:cs="Times New Roman"/>
                <w:sz w:val="24"/>
                <w:szCs w:val="24"/>
              </w:rPr>
              <w:tab/>
              <w:t xml:space="preserve">Noteikumu 55.punkts: </w:t>
            </w:r>
          </w:p>
          <w:p w14:paraId="182889C3" w14:textId="7C582D14" w:rsidR="00E4143F" w:rsidRPr="00E559BF" w:rsidRDefault="00E4143F" w:rsidP="00935455">
            <w:pPr>
              <w:tabs>
                <w:tab w:val="left" w:pos="345"/>
              </w:tabs>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t>Ar ko ir pamatota nepi</w:t>
            </w:r>
            <w:r w:rsidR="001E2C69">
              <w:rPr>
                <w:rFonts w:ascii="Times New Roman" w:hAnsi="Times New Roman" w:cs="Times New Roman"/>
                <w:sz w:val="24"/>
                <w:szCs w:val="24"/>
              </w:rPr>
              <w:t>e</w:t>
            </w:r>
            <w:r w:rsidRPr="00E559BF">
              <w:rPr>
                <w:rFonts w:ascii="Times New Roman" w:hAnsi="Times New Roman" w:cs="Times New Roman"/>
                <w:sz w:val="24"/>
                <w:szCs w:val="24"/>
              </w:rPr>
              <w:t xml:space="preserve">ciešamība tik detalizēti izvērst prasības par dokumentēšanas kārtību? Aicinām atstāt Sabiedrības ieskatā dokumentēšanas kārtību un to neizvērst kā noteikts </w:t>
            </w:r>
            <w:r w:rsidRPr="00E559BF">
              <w:rPr>
                <w:rFonts w:ascii="Times New Roman" w:hAnsi="Times New Roman" w:cs="Times New Roman"/>
                <w:sz w:val="24"/>
                <w:szCs w:val="24"/>
              </w:rPr>
              <w:lastRenderedPageBreak/>
              <w:t>55.6.punktā, izņemot ciktāl to jau pieprasa citas regulējošās prasības.</w:t>
            </w:r>
          </w:p>
        </w:tc>
        <w:tc>
          <w:tcPr>
            <w:tcW w:w="5389" w:type="dxa"/>
            <w:tcBorders>
              <w:top w:val="single" w:sz="4" w:space="0" w:color="auto"/>
              <w:left w:val="single" w:sz="4" w:space="0" w:color="auto"/>
              <w:bottom w:val="single" w:sz="4" w:space="0" w:color="auto"/>
              <w:right w:val="single" w:sz="4" w:space="0" w:color="auto"/>
            </w:tcBorders>
            <w:shd w:val="clear" w:color="auto" w:fill="auto"/>
          </w:tcPr>
          <w:p w14:paraId="0F5283C1" w14:textId="31DE8C15" w:rsidR="00E4143F" w:rsidRDefault="00B91ED3" w:rsidP="00E06104">
            <w:pPr>
              <w:spacing w:after="120" w:line="240" w:lineRule="auto"/>
              <w:rPr>
                <w:rFonts w:ascii="Times New Roman" w:hAnsi="Times New Roman" w:cs="Times New Roman"/>
                <w:b/>
                <w:iCs/>
                <w:sz w:val="24"/>
                <w:szCs w:val="24"/>
              </w:rPr>
            </w:pPr>
            <w:r>
              <w:rPr>
                <w:rFonts w:ascii="Times New Roman" w:hAnsi="Times New Roman" w:cs="Times New Roman"/>
                <w:b/>
                <w:iCs/>
                <w:sz w:val="24"/>
                <w:szCs w:val="24"/>
              </w:rPr>
              <w:lastRenderedPageBreak/>
              <w:t>Nav ņemts vērā.</w:t>
            </w:r>
          </w:p>
          <w:p w14:paraId="6639C59F" w14:textId="247F1A01" w:rsidR="00AF7176" w:rsidRPr="00AF7176" w:rsidRDefault="00B91ED3" w:rsidP="00E06104">
            <w:pPr>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Paskaidrojam, ka prasības noteikumu projekta 5</w:t>
            </w:r>
            <w:r w:rsidR="004841C0">
              <w:rPr>
                <w:rFonts w:ascii="Times New Roman" w:hAnsi="Times New Roman" w:cs="Times New Roman"/>
                <w:bCs/>
                <w:iCs/>
                <w:sz w:val="24"/>
                <w:szCs w:val="24"/>
              </w:rPr>
              <w:t>4</w:t>
            </w:r>
            <w:r>
              <w:rPr>
                <w:rFonts w:ascii="Times New Roman" w:hAnsi="Times New Roman" w:cs="Times New Roman"/>
                <w:bCs/>
                <w:iCs/>
                <w:sz w:val="24"/>
                <w:szCs w:val="24"/>
              </w:rPr>
              <w:t>.6.</w:t>
            </w:r>
            <w:r w:rsidR="000756A5">
              <w:rPr>
                <w:rFonts w:ascii="Times New Roman" w:hAnsi="Times New Roman" w:cs="Times New Roman"/>
                <w:bCs/>
                <w:iCs/>
                <w:sz w:val="24"/>
                <w:szCs w:val="24"/>
              </w:rPr>
              <w:t> </w:t>
            </w:r>
            <w:r w:rsidR="0009595C">
              <w:rPr>
                <w:rFonts w:ascii="Times New Roman" w:hAnsi="Times New Roman" w:cs="Times New Roman"/>
                <w:bCs/>
                <w:iCs/>
                <w:sz w:val="24"/>
                <w:szCs w:val="24"/>
              </w:rPr>
              <w:t>apakš</w:t>
            </w:r>
            <w:r>
              <w:rPr>
                <w:rFonts w:ascii="Times New Roman" w:hAnsi="Times New Roman" w:cs="Times New Roman"/>
                <w:bCs/>
                <w:iCs/>
                <w:sz w:val="24"/>
                <w:szCs w:val="24"/>
              </w:rPr>
              <w:t xml:space="preserve">punktā minētās politikas un procedūras dokumentēšanas kārtībai izriet no </w:t>
            </w:r>
            <w:r w:rsidRPr="00B91ED3">
              <w:rPr>
                <w:rFonts w:ascii="Times New Roman" w:hAnsi="Times New Roman" w:cs="Times New Roman"/>
                <w:bCs/>
                <w:iCs/>
                <w:sz w:val="24"/>
                <w:szCs w:val="24"/>
              </w:rPr>
              <w:t>EBA pamatnostād</w:t>
            </w:r>
            <w:r>
              <w:rPr>
                <w:rFonts w:ascii="Times New Roman" w:hAnsi="Times New Roman" w:cs="Times New Roman"/>
                <w:bCs/>
                <w:iCs/>
                <w:sz w:val="24"/>
                <w:szCs w:val="24"/>
              </w:rPr>
              <w:t xml:space="preserve">ņu </w:t>
            </w:r>
            <w:r w:rsidRPr="00B91ED3">
              <w:rPr>
                <w:rFonts w:ascii="Times New Roman" w:hAnsi="Times New Roman" w:cs="Times New Roman"/>
                <w:bCs/>
                <w:iCs/>
                <w:sz w:val="24"/>
                <w:szCs w:val="24"/>
              </w:rPr>
              <w:t>EBA/GL/2021/14</w:t>
            </w:r>
            <w:r>
              <w:rPr>
                <w:rFonts w:ascii="Times New Roman" w:hAnsi="Times New Roman" w:cs="Times New Roman"/>
                <w:bCs/>
                <w:iCs/>
                <w:sz w:val="24"/>
                <w:szCs w:val="24"/>
              </w:rPr>
              <w:t xml:space="preserve"> 118. punktā noteiktajām prasībām</w:t>
            </w:r>
            <w:r w:rsidR="0009595C">
              <w:rPr>
                <w:rFonts w:ascii="Times New Roman" w:hAnsi="Times New Roman" w:cs="Times New Roman"/>
                <w:bCs/>
                <w:iCs/>
                <w:sz w:val="24"/>
                <w:szCs w:val="24"/>
              </w:rPr>
              <w:t>.</w:t>
            </w:r>
          </w:p>
        </w:tc>
      </w:tr>
      <w:tr w:rsidR="00E4143F" w:rsidRPr="0056522A" w14:paraId="66CFD891" w14:textId="77777777" w:rsidTr="00935455">
        <w:tc>
          <w:tcPr>
            <w:tcW w:w="0" w:type="auto"/>
            <w:tcBorders>
              <w:top w:val="single" w:sz="4" w:space="0" w:color="auto"/>
              <w:left w:val="single" w:sz="4" w:space="0" w:color="auto"/>
              <w:bottom w:val="single" w:sz="4" w:space="0" w:color="auto"/>
              <w:right w:val="single" w:sz="4" w:space="0" w:color="auto"/>
            </w:tcBorders>
          </w:tcPr>
          <w:p w14:paraId="6EA0B574" w14:textId="744CE817" w:rsidR="00E4143F" w:rsidRPr="0056522A" w:rsidRDefault="005267C2" w:rsidP="0056522A">
            <w:pPr>
              <w:spacing w:after="120" w:line="240" w:lineRule="auto"/>
              <w:ind w:left="720"/>
              <w:rPr>
                <w:rFonts w:ascii="Times New Roman" w:hAnsi="Times New Roman" w:cs="Times New Roman"/>
                <w:bCs/>
                <w:sz w:val="24"/>
                <w:szCs w:val="24"/>
              </w:rPr>
            </w:pPr>
            <w:r>
              <w:rPr>
                <w:rFonts w:ascii="Times New Roman" w:hAnsi="Times New Roman" w:cs="Times New Roman"/>
                <w:bCs/>
                <w:sz w:val="24"/>
                <w:szCs w:val="24"/>
              </w:rPr>
              <w:lastRenderedPageBreak/>
              <w:t>10.</w:t>
            </w:r>
          </w:p>
        </w:tc>
        <w:tc>
          <w:tcPr>
            <w:tcW w:w="3779" w:type="dxa"/>
            <w:tcBorders>
              <w:top w:val="single" w:sz="4" w:space="0" w:color="auto"/>
              <w:left w:val="single" w:sz="4" w:space="0" w:color="auto"/>
              <w:bottom w:val="single" w:sz="4" w:space="0" w:color="auto"/>
              <w:right w:val="single" w:sz="4" w:space="0" w:color="auto"/>
            </w:tcBorders>
            <w:shd w:val="clear" w:color="auto" w:fill="auto"/>
          </w:tcPr>
          <w:p w14:paraId="265E0C91" w14:textId="04E19500" w:rsidR="00E4143F" w:rsidRPr="00AF7176" w:rsidRDefault="00AF7176" w:rsidP="00935455">
            <w:pPr>
              <w:tabs>
                <w:tab w:val="left" w:pos="636"/>
              </w:tabs>
              <w:spacing w:after="120" w:line="240" w:lineRule="auto"/>
              <w:jc w:val="both"/>
              <w:rPr>
                <w:rFonts w:ascii="Times New Roman" w:hAnsi="Times New Roman" w:cs="Times New Roman"/>
                <w:bCs/>
                <w:sz w:val="24"/>
                <w:szCs w:val="24"/>
              </w:rPr>
            </w:pPr>
            <w:r w:rsidRPr="00AF7176">
              <w:rPr>
                <w:rFonts w:ascii="Times New Roman" w:hAnsi="Times New Roman" w:cs="Times New Roman"/>
                <w:bCs/>
                <w:sz w:val="24"/>
                <w:szCs w:val="24"/>
              </w:rPr>
              <w:t>58.3.</w:t>
            </w:r>
            <w:r w:rsidRPr="00AF7176">
              <w:rPr>
                <w:rFonts w:ascii="Times New Roman" w:hAnsi="Times New Roman" w:cs="Times New Roman"/>
                <w:bCs/>
                <w:sz w:val="24"/>
                <w:szCs w:val="24"/>
              </w:rPr>
              <w:tab/>
              <w:t>nodrošina efektīvu iekšējo komunikāciju, kas veicina risku pārvaldības jomā sniegto viedokļu kritisku izvērtēšanu;</w:t>
            </w:r>
          </w:p>
        </w:tc>
        <w:tc>
          <w:tcPr>
            <w:tcW w:w="4192" w:type="dxa"/>
            <w:tcBorders>
              <w:top w:val="single" w:sz="4" w:space="0" w:color="auto"/>
              <w:left w:val="single" w:sz="4" w:space="0" w:color="auto"/>
              <w:bottom w:val="single" w:sz="4" w:space="0" w:color="auto"/>
              <w:right w:val="single" w:sz="4" w:space="0" w:color="auto"/>
            </w:tcBorders>
            <w:shd w:val="clear" w:color="auto" w:fill="auto"/>
          </w:tcPr>
          <w:p w14:paraId="505ADA15" w14:textId="299D4155" w:rsidR="00AF1CDB" w:rsidRDefault="0067587D" w:rsidP="00E06104">
            <w:pPr>
              <w:spacing w:after="120" w:line="240" w:lineRule="auto"/>
              <w:rPr>
                <w:rFonts w:ascii="Times New Roman" w:hAnsi="Times New Roman" w:cs="Times New Roman"/>
                <w:b/>
                <w:bCs/>
                <w:sz w:val="24"/>
                <w:szCs w:val="24"/>
              </w:rPr>
            </w:pPr>
            <w:r>
              <w:rPr>
                <w:rFonts w:ascii="Times New Roman" w:hAnsi="Times New Roman" w:cs="Times New Roman"/>
                <w:b/>
                <w:bCs/>
                <w:sz w:val="24"/>
                <w:szCs w:val="24"/>
              </w:rPr>
              <w:t>AS </w:t>
            </w:r>
            <w:proofErr w:type="spellStart"/>
            <w:r w:rsidR="00AF1CDB" w:rsidRPr="00E4143F">
              <w:rPr>
                <w:rFonts w:ascii="Times New Roman" w:hAnsi="Times New Roman" w:cs="Times New Roman"/>
                <w:b/>
                <w:bCs/>
                <w:sz w:val="24"/>
                <w:szCs w:val="24"/>
              </w:rPr>
              <w:t>Mintos</w:t>
            </w:r>
            <w:proofErr w:type="spellEnd"/>
            <w:r w:rsidR="00AF1CDB" w:rsidRPr="00E4143F">
              <w:rPr>
                <w:rFonts w:ascii="Times New Roman" w:hAnsi="Times New Roman" w:cs="Times New Roman"/>
                <w:b/>
                <w:bCs/>
                <w:sz w:val="24"/>
                <w:szCs w:val="24"/>
              </w:rPr>
              <w:t xml:space="preserve"> Marketplace</w:t>
            </w:r>
          </w:p>
          <w:p w14:paraId="05606759" w14:textId="4C2FE354" w:rsidR="00E4143F" w:rsidRPr="00E559BF" w:rsidRDefault="00E4143F" w:rsidP="00935455">
            <w:pPr>
              <w:tabs>
                <w:tab w:val="left" w:pos="390"/>
              </w:tabs>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t>10.</w:t>
            </w:r>
            <w:r w:rsidRPr="00E559BF">
              <w:rPr>
                <w:rFonts w:ascii="Times New Roman" w:hAnsi="Times New Roman" w:cs="Times New Roman"/>
                <w:sz w:val="24"/>
                <w:szCs w:val="24"/>
              </w:rPr>
              <w:tab/>
              <w:t xml:space="preserve">Noteikumu 58.punkts: </w:t>
            </w:r>
          </w:p>
          <w:p w14:paraId="0114E009" w14:textId="1C67A304" w:rsidR="00E4143F" w:rsidRPr="00E559BF" w:rsidRDefault="00E4143F" w:rsidP="00E06104">
            <w:pPr>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t xml:space="preserve">Aicinām svītrot vārdu </w:t>
            </w:r>
            <w:r w:rsidR="005541EE">
              <w:rPr>
                <w:rFonts w:ascii="Times New Roman" w:hAnsi="Times New Roman" w:cs="Times New Roman"/>
                <w:sz w:val="24"/>
                <w:szCs w:val="24"/>
              </w:rPr>
              <w:t>"</w:t>
            </w:r>
            <w:r w:rsidRPr="00E559BF">
              <w:rPr>
                <w:rFonts w:ascii="Times New Roman" w:hAnsi="Times New Roman" w:cs="Times New Roman"/>
                <w:sz w:val="24"/>
                <w:szCs w:val="24"/>
              </w:rPr>
              <w:t>efektīvu</w:t>
            </w:r>
            <w:r w:rsidR="005541EE">
              <w:rPr>
                <w:rFonts w:ascii="Times New Roman" w:hAnsi="Times New Roman" w:cs="Times New Roman"/>
                <w:sz w:val="24"/>
                <w:szCs w:val="24"/>
              </w:rPr>
              <w:t>"</w:t>
            </w:r>
            <w:r w:rsidRPr="00E559BF">
              <w:rPr>
                <w:rFonts w:ascii="Times New Roman" w:hAnsi="Times New Roman" w:cs="Times New Roman"/>
                <w:sz w:val="24"/>
                <w:szCs w:val="24"/>
              </w:rPr>
              <w:t xml:space="preserve"> 58.3.apakšpunktā, ņemot vērā, ka nav saprotams, kā regulējošo prasību kontekstā tiktu novērtētā efektivitāte un neskaidrību kā šo efektivitātes prasību ievērot.</w:t>
            </w:r>
          </w:p>
        </w:tc>
        <w:tc>
          <w:tcPr>
            <w:tcW w:w="5389" w:type="dxa"/>
            <w:tcBorders>
              <w:top w:val="single" w:sz="4" w:space="0" w:color="auto"/>
              <w:left w:val="single" w:sz="4" w:space="0" w:color="auto"/>
              <w:bottom w:val="single" w:sz="4" w:space="0" w:color="auto"/>
              <w:right w:val="single" w:sz="4" w:space="0" w:color="auto"/>
            </w:tcBorders>
            <w:shd w:val="clear" w:color="auto" w:fill="auto"/>
          </w:tcPr>
          <w:p w14:paraId="612C6E10" w14:textId="3C97B7CB" w:rsidR="00E4143F" w:rsidRDefault="0009595C" w:rsidP="00E06104">
            <w:pPr>
              <w:spacing w:after="120" w:line="240" w:lineRule="auto"/>
              <w:rPr>
                <w:rFonts w:ascii="Times New Roman" w:hAnsi="Times New Roman" w:cs="Times New Roman"/>
                <w:b/>
                <w:iCs/>
                <w:sz w:val="24"/>
                <w:szCs w:val="24"/>
              </w:rPr>
            </w:pPr>
            <w:r>
              <w:rPr>
                <w:rFonts w:ascii="Times New Roman" w:hAnsi="Times New Roman" w:cs="Times New Roman"/>
                <w:b/>
                <w:iCs/>
                <w:sz w:val="24"/>
                <w:szCs w:val="24"/>
              </w:rPr>
              <w:t>Nav ņemts vērā.</w:t>
            </w:r>
          </w:p>
          <w:p w14:paraId="18E36614" w14:textId="453B63C3" w:rsidR="0009595C" w:rsidRPr="0056522A" w:rsidRDefault="0009595C" w:rsidP="00E06104">
            <w:pPr>
              <w:spacing w:after="120" w:line="240" w:lineRule="auto"/>
              <w:jc w:val="both"/>
              <w:rPr>
                <w:rFonts w:ascii="Times New Roman" w:hAnsi="Times New Roman" w:cs="Times New Roman"/>
                <w:b/>
                <w:iCs/>
                <w:sz w:val="24"/>
                <w:szCs w:val="24"/>
              </w:rPr>
            </w:pPr>
            <w:r w:rsidRPr="00015A06">
              <w:rPr>
                <w:rFonts w:ascii="Times New Roman" w:hAnsi="Times New Roman" w:cs="Times New Roman"/>
                <w:bCs/>
                <w:iCs/>
                <w:sz w:val="24"/>
                <w:szCs w:val="24"/>
              </w:rPr>
              <w:t xml:space="preserve">Minētā prasība izriet no </w:t>
            </w:r>
            <w:r w:rsidRPr="0009595C">
              <w:rPr>
                <w:rFonts w:ascii="Times New Roman" w:hAnsi="Times New Roman" w:cs="Times New Roman"/>
                <w:bCs/>
                <w:iCs/>
                <w:sz w:val="24"/>
                <w:szCs w:val="24"/>
              </w:rPr>
              <w:t>EBA pamatnostād</w:t>
            </w:r>
            <w:r>
              <w:rPr>
                <w:rFonts w:ascii="Times New Roman" w:hAnsi="Times New Roman" w:cs="Times New Roman"/>
                <w:bCs/>
                <w:iCs/>
                <w:sz w:val="24"/>
                <w:szCs w:val="24"/>
              </w:rPr>
              <w:t xml:space="preserve">ņu </w:t>
            </w:r>
            <w:r w:rsidRPr="0009595C">
              <w:rPr>
                <w:rFonts w:ascii="Times New Roman" w:hAnsi="Times New Roman" w:cs="Times New Roman"/>
                <w:bCs/>
                <w:iCs/>
                <w:sz w:val="24"/>
                <w:szCs w:val="24"/>
              </w:rPr>
              <w:t>EBA/GL/2021/14 89. punkta c</w:t>
            </w:r>
            <w:r w:rsidR="004841C0">
              <w:rPr>
                <w:rFonts w:ascii="Times New Roman" w:hAnsi="Times New Roman" w:cs="Times New Roman"/>
                <w:bCs/>
                <w:iCs/>
                <w:sz w:val="24"/>
                <w:szCs w:val="24"/>
              </w:rPr>
              <w:t>)</w:t>
            </w:r>
            <w:r w:rsidRPr="0009595C">
              <w:rPr>
                <w:rFonts w:ascii="Times New Roman" w:hAnsi="Times New Roman" w:cs="Times New Roman"/>
                <w:bCs/>
                <w:iCs/>
                <w:sz w:val="24"/>
                <w:szCs w:val="24"/>
              </w:rPr>
              <w:t> apakšpunktā minētā principa</w:t>
            </w:r>
            <w:r>
              <w:rPr>
                <w:rFonts w:ascii="Times New Roman" w:hAnsi="Times New Roman" w:cs="Times New Roman"/>
                <w:bCs/>
                <w:iCs/>
                <w:sz w:val="24"/>
                <w:szCs w:val="24"/>
              </w:rPr>
              <w:t>.</w:t>
            </w:r>
            <w:r w:rsidR="00003AA2">
              <w:rPr>
                <w:rFonts w:ascii="Times New Roman" w:hAnsi="Times New Roman" w:cs="Times New Roman"/>
                <w:bCs/>
                <w:iCs/>
                <w:sz w:val="24"/>
                <w:szCs w:val="24"/>
              </w:rPr>
              <w:t xml:space="preserve"> Efektīvu iekšējo komunikāciju raksturo, piemēram, sabiedrības veiktie pasākumi, kas veicina </w:t>
            </w:r>
            <w:r w:rsidR="00003AA2" w:rsidRPr="00003AA2">
              <w:rPr>
                <w:rFonts w:ascii="Times New Roman" w:hAnsi="Times New Roman" w:cs="Times New Roman"/>
                <w:bCs/>
                <w:iCs/>
                <w:sz w:val="24"/>
                <w:szCs w:val="24"/>
              </w:rPr>
              <w:t>darbiniek</w:t>
            </w:r>
            <w:r w:rsidR="00003AA2">
              <w:rPr>
                <w:rFonts w:ascii="Times New Roman" w:hAnsi="Times New Roman" w:cs="Times New Roman"/>
                <w:bCs/>
                <w:iCs/>
                <w:sz w:val="24"/>
                <w:szCs w:val="24"/>
              </w:rPr>
              <w:t xml:space="preserve">u informētību </w:t>
            </w:r>
            <w:r w:rsidR="00003AA2" w:rsidRPr="00003AA2">
              <w:rPr>
                <w:rFonts w:ascii="Times New Roman" w:hAnsi="Times New Roman" w:cs="Times New Roman"/>
                <w:bCs/>
                <w:iCs/>
                <w:sz w:val="24"/>
                <w:szCs w:val="24"/>
              </w:rPr>
              <w:t xml:space="preserve">par </w:t>
            </w:r>
            <w:r w:rsidR="00003AA2">
              <w:rPr>
                <w:rFonts w:ascii="Times New Roman" w:hAnsi="Times New Roman" w:cs="Times New Roman"/>
                <w:bCs/>
                <w:iCs/>
                <w:sz w:val="24"/>
                <w:szCs w:val="24"/>
              </w:rPr>
              <w:t xml:space="preserve">sabiedrības </w:t>
            </w:r>
            <w:r w:rsidR="00003AA2" w:rsidRPr="00003AA2">
              <w:rPr>
                <w:rFonts w:ascii="Times New Roman" w:hAnsi="Times New Roman" w:cs="Times New Roman"/>
                <w:bCs/>
                <w:iCs/>
                <w:sz w:val="24"/>
                <w:szCs w:val="24"/>
              </w:rPr>
              <w:t>mērķiem, stratēģij</w:t>
            </w:r>
            <w:r w:rsidR="00003AA2">
              <w:rPr>
                <w:rFonts w:ascii="Times New Roman" w:hAnsi="Times New Roman" w:cs="Times New Roman"/>
                <w:bCs/>
                <w:iCs/>
                <w:sz w:val="24"/>
                <w:szCs w:val="24"/>
              </w:rPr>
              <w:t xml:space="preserve">u </w:t>
            </w:r>
            <w:r w:rsidR="00003AA2" w:rsidRPr="00003AA2">
              <w:rPr>
                <w:rFonts w:ascii="Times New Roman" w:hAnsi="Times New Roman" w:cs="Times New Roman"/>
                <w:bCs/>
                <w:iCs/>
                <w:sz w:val="24"/>
                <w:szCs w:val="24"/>
              </w:rPr>
              <w:t xml:space="preserve">un </w:t>
            </w:r>
            <w:r w:rsidR="00003AA2">
              <w:rPr>
                <w:rFonts w:ascii="Times New Roman" w:hAnsi="Times New Roman" w:cs="Times New Roman"/>
                <w:bCs/>
                <w:iCs/>
                <w:sz w:val="24"/>
                <w:szCs w:val="24"/>
              </w:rPr>
              <w:t>risku pārvaldību,</w:t>
            </w:r>
            <w:r w:rsidR="0071591F">
              <w:t xml:space="preserve"> </w:t>
            </w:r>
            <w:r w:rsidR="00133247" w:rsidRPr="00133247">
              <w:rPr>
                <w:rFonts w:ascii="Times New Roman" w:hAnsi="Times New Roman" w:cs="Times New Roman"/>
                <w:bCs/>
                <w:iCs/>
                <w:sz w:val="24"/>
                <w:szCs w:val="24"/>
              </w:rPr>
              <w:t xml:space="preserve">vai </w:t>
            </w:r>
            <w:r w:rsidR="0071591F" w:rsidRPr="005B15D8">
              <w:rPr>
                <w:rFonts w:ascii="Times New Roman" w:hAnsi="Times New Roman" w:cs="Times New Roman"/>
                <w:bCs/>
                <w:iCs/>
                <w:sz w:val="24"/>
                <w:szCs w:val="24"/>
              </w:rPr>
              <w:t>lēmumu pieņemšanas proces</w:t>
            </w:r>
            <w:r w:rsidR="0071591F">
              <w:rPr>
                <w:rFonts w:ascii="Times New Roman" w:hAnsi="Times New Roman" w:cs="Times New Roman"/>
                <w:bCs/>
                <w:iCs/>
                <w:sz w:val="24"/>
                <w:szCs w:val="24"/>
              </w:rPr>
              <w:t xml:space="preserve">s, kurā tiek ņemta vērā </w:t>
            </w:r>
            <w:r w:rsidR="0071591F" w:rsidRPr="0071591F">
              <w:rPr>
                <w:rFonts w:ascii="Times New Roman" w:hAnsi="Times New Roman" w:cs="Times New Roman"/>
                <w:bCs/>
                <w:iCs/>
                <w:sz w:val="24"/>
                <w:szCs w:val="24"/>
              </w:rPr>
              <w:t>konstruktīv</w:t>
            </w:r>
            <w:r w:rsidR="0071591F">
              <w:rPr>
                <w:rFonts w:ascii="Times New Roman" w:hAnsi="Times New Roman" w:cs="Times New Roman"/>
                <w:bCs/>
                <w:iCs/>
                <w:sz w:val="24"/>
                <w:szCs w:val="24"/>
              </w:rPr>
              <w:t xml:space="preserve">a un </w:t>
            </w:r>
            <w:r w:rsidR="0071591F" w:rsidRPr="0071591F">
              <w:rPr>
                <w:rFonts w:ascii="Times New Roman" w:hAnsi="Times New Roman" w:cs="Times New Roman"/>
                <w:bCs/>
                <w:iCs/>
                <w:sz w:val="24"/>
                <w:szCs w:val="24"/>
              </w:rPr>
              <w:t>kritisk</w:t>
            </w:r>
            <w:r w:rsidR="0071591F">
              <w:rPr>
                <w:rFonts w:ascii="Times New Roman" w:hAnsi="Times New Roman" w:cs="Times New Roman"/>
                <w:bCs/>
                <w:iCs/>
                <w:sz w:val="24"/>
                <w:szCs w:val="24"/>
              </w:rPr>
              <w:t xml:space="preserve">a </w:t>
            </w:r>
            <w:r w:rsidR="0071591F" w:rsidRPr="0071591F">
              <w:rPr>
                <w:rFonts w:ascii="Times New Roman" w:hAnsi="Times New Roman" w:cs="Times New Roman"/>
                <w:bCs/>
                <w:iCs/>
                <w:sz w:val="24"/>
                <w:szCs w:val="24"/>
              </w:rPr>
              <w:t>attieksm</w:t>
            </w:r>
            <w:r w:rsidR="0071591F">
              <w:rPr>
                <w:rFonts w:ascii="Times New Roman" w:hAnsi="Times New Roman" w:cs="Times New Roman"/>
                <w:bCs/>
                <w:iCs/>
                <w:sz w:val="24"/>
                <w:szCs w:val="24"/>
              </w:rPr>
              <w:t>e pret viedokļu dažādību sabiedrībā.</w:t>
            </w:r>
          </w:p>
        </w:tc>
      </w:tr>
      <w:tr w:rsidR="00E4143F" w:rsidRPr="0056522A" w14:paraId="4A69DB74" w14:textId="77777777" w:rsidTr="00935455">
        <w:tc>
          <w:tcPr>
            <w:tcW w:w="0" w:type="auto"/>
            <w:tcBorders>
              <w:top w:val="single" w:sz="4" w:space="0" w:color="auto"/>
              <w:left w:val="single" w:sz="4" w:space="0" w:color="auto"/>
              <w:bottom w:val="single" w:sz="4" w:space="0" w:color="auto"/>
              <w:right w:val="single" w:sz="4" w:space="0" w:color="auto"/>
            </w:tcBorders>
          </w:tcPr>
          <w:p w14:paraId="0F423F86" w14:textId="5C35493A" w:rsidR="00E4143F" w:rsidRPr="0056522A" w:rsidRDefault="005267C2" w:rsidP="0056522A">
            <w:pPr>
              <w:spacing w:after="120" w:line="240" w:lineRule="auto"/>
              <w:ind w:left="720"/>
              <w:rPr>
                <w:rFonts w:ascii="Times New Roman" w:hAnsi="Times New Roman" w:cs="Times New Roman"/>
                <w:bCs/>
                <w:sz w:val="24"/>
                <w:szCs w:val="24"/>
              </w:rPr>
            </w:pPr>
            <w:r>
              <w:rPr>
                <w:rFonts w:ascii="Times New Roman" w:hAnsi="Times New Roman" w:cs="Times New Roman"/>
                <w:bCs/>
                <w:sz w:val="24"/>
                <w:szCs w:val="24"/>
              </w:rPr>
              <w:t>11.</w:t>
            </w:r>
          </w:p>
        </w:tc>
        <w:tc>
          <w:tcPr>
            <w:tcW w:w="3779" w:type="dxa"/>
            <w:tcBorders>
              <w:top w:val="single" w:sz="4" w:space="0" w:color="auto"/>
              <w:left w:val="single" w:sz="4" w:space="0" w:color="auto"/>
              <w:bottom w:val="single" w:sz="4" w:space="0" w:color="auto"/>
              <w:right w:val="single" w:sz="4" w:space="0" w:color="auto"/>
            </w:tcBorders>
            <w:shd w:val="clear" w:color="auto" w:fill="auto"/>
          </w:tcPr>
          <w:p w14:paraId="444B93C0" w14:textId="77777777" w:rsidR="00AF7176" w:rsidRPr="00AF7176" w:rsidRDefault="00AF7176" w:rsidP="00935455">
            <w:pPr>
              <w:tabs>
                <w:tab w:val="left" w:pos="460"/>
                <w:tab w:val="left" w:pos="632"/>
              </w:tabs>
              <w:spacing w:after="120" w:line="240" w:lineRule="auto"/>
              <w:jc w:val="both"/>
              <w:rPr>
                <w:rFonts w:ascii="Times New Roman" w:hAnsi="Times New Roman" w:cs="Times New Roman"/>
                <w:bCs/>
                <w:sz w:val="24"/>
                <w:szCs w:val="24"/>
              </w:rPr>
            </w:pPr>
            <w:r w:rsidRPr="00AF7176">
              <w:rPr>
                <w:rFonts w:ascii="Times New Roman" w:hAnsi="Times New Roman" w:cs="Times New Roman"/>
                <w:bCs/>
                <w:sz w:val="24"/>
                <w:szCs w:val="24"/>
              </w:rPr>
              <w:t>65.</w:t>
            </w:r>
            <w:r w:rsidRPr="00AF7176">
              <w:rPr>
                <w:rFonts w:ascii="Times New Roman" w:hAnsi="Times New Roman" w:cs="Times New Roman"/>
                <w:bCs/>
                <w:sz w:val="24"/>
                <w:szCs w:val="24"/>
              </w:rPr>
              <w:tab/>
              <w:t>Sabiedrība nodrošina, ka būtisko risku identificēšanai tiek izmantoti atbilstoši kvantitatīvie kritēriji, tai skaitā stresa testēšana, un kvalitatīvie kritēriji. Sabiedrība dokumentē veiktā novērtējuma rezultātus un nodrošina, ka tajā ietvertie secinājumi ir pamatoti un atbilstoši sabiedrības darbības specifikai tiek izvērtēti vismaz šādi riski:</w:t>
            </w:r>
          </w:p>
          <w:p w14:paraId="22701534" w14:textId="77777777" w:rsidR="00AF7176" w:rsidRPr="00AF7176" w:rsidRDefault="00AF7176" w:rsidP="00935455">
            <w:pPr>
              <w:tabs>
                <w:tab w:val="left" w:pos="460"/>
                <w:tab w:val="left" w:pos="632"/>
              </w:tabs>
              <w:spacing w:after="120" w:line="240" w:lineRule="auto"/>
              <w:rPr>
                <w:rFonts w:ascii="Times New Roman" w:hAnsi="Times New Roman" w:cs="Times New Roman"/>
                <w:bCs/>
                <w:sz w:val="24"/>
                <w:szCs w:val="24"/>
              </w:rPr>
            </w:pPr>
            <w:r w:rsidRPr="00AF7176">
              <w:rPr>
                <w:rFonts w:ascii="Times New Roman" w:hAnsi="Times New Roman" w:cs="Times New Roman"/>
                <w:bCs/>
                <w:sz w:val="24"/>
                <w:szCs w:val="24"/>
              </w:rPr>
              <w:t>65.1.</w:t>
            </w:r>
            <w:r w:rsidRPr="00AF7176">
              <w:rPr>
                <w:rFonts w:ascii="Times New Roman" w:hAnsi="Times New Roman" w:cs="Times New Roman"/>
                <w:bCs/>
                <w:sz w:val="24"/>
                <w:szCs w:val="24"/>
              </w:rPr>
              <w:tab/>
              <w:t>ar klientiem saistītais risks;</w:t>
            </w:r>
          </w:p>
          <w:p w14:paraId="40EA274F" w14:textId="77777777" w:rsidR="00AF7176" w:rsidRPr="00AF7176" w:rsidRDefault="00AF7176" w:rsidP="00935455">
            <w:pPr>
              <w:tabs>
                <w:tab w:val="left" w:pos="460"/>
                <w:tab w:val="left" w:pos="632"/>
              </w:tabs>
              <w:spacing w:after="120" w:line="240" w:lineRule="auto"/>
              <w:rPr>
                <w:rFonts w:ascii="Times New Roman" w:hAnsi="Times New Roman" w:cs="Times New Roman"/>
                <w:bCs/>
                <w:sz w:val="24"/>
                <w:szCs w:val="24"/>
              </w:rPr>
            </w:pPr>
            <w:r w:rsidRPr="00AF7176">
              <w:rPr>
                <w:rFonts w:ascii="Times New Roman" w:hAnsi="Times New Roman" w:cs="Times New Roman"/>
                <w:bCs/>
                <w:sz w:val="24"/>
                <w:szCs w:val="24"/>
              </w:rPr>
              <w:t>65.2.</w:t>
            </w:r>
            <w:r w:rsidRPr="00AF7176">
              <w:rPr>
                <w:rFonts w:ascii="Times New Roman" w:hAnsi="Times New Roman" w:cs="Times New Roman"/>
                <w:bCs/>
                <w:sz w:val="24"/>
                <w:szCs w:val="24"/>
              </w:rPr>
              <w:tab/>
              <w:t>ar tirgu saistītais risks;</w:t>
            </w:r>
          </w:p>
          <w:p w14:paraId="71F2DD1C" w14:textId="77777777" w:rsidR="00AF7176" w:rsidRPr="00AF7176" w:rsidRDefault="00AF7176" w:rsidP="00935455">
            <w:pPr>
              <w:tabs>
                <w:tab w:val="left" w:pos="460"/>
                <w:tab w:val="left" w:pos="632"/>
              </w:tabs>
              <w:spacing w:after="120" w:line="240" w:lineRule="auto"/>
              <w:rPr>
                <w:rFonts w:ascii="Times New Roman" w:hAnsi="Times New Roman" w:cs="Times New Roman"/>
                <w:bCs/>
                <w:sz w:val="24"/>
                <w:szCs w:val="24"/>
              </w:rPr>
            </w:pPr>
            <w:r w:rsidRPr="00AF7176">
              <w:rPr>
                <w:rFonts w:ascii="Times New Roman" w:hAnsi="Times New Roman" w:cs="Times New Roman"/>
                <w:bCs/>
                <w:sz w:val="24"/>
                <w:szCs w:val="24"/>
              </w:rPr>
              <w:lastRenderedPageBreak/>
              <w:t>65.3.</w:t>
            </w:r>
            <w:r w:rsidRPr="00AF7176">
              <w:rPr>
                <w:rFonts w:ascii="Times New Roman" w:hAnsi="Times New Roman" w:cs="Times New Roman"/>
                <w:bCs/>
                <w:sz w:val="24"/>
                <w:szCs w:val="24"/>
              </w:rPr>
              <w:tab/>
              <w:t>ar sabiedrību saistītais risks;</w:t>
            </w:r>
          </w:p>
          <w:p w14:paraId="0D196C18" w14:textId="77777777" w:rsidR="00AF7176" w:rsidRPr="00AF7176" w:rsidRDefault="00AF7176" w:rsidP="00935455">
            <w:pPr>
              <w:tabs>
                <w:tab w:val="left" w:pos="460"/>
                <w:tab w:val="left" w:pos="632"/>
              </w:tabs>
              <w:spacing w:after="120" w:line="240" w:lineRule="auto"/>
              <w:rPr>
                <w:rFonts w:ascii="Times New Roman" w:hAnsi="Times New Roman" w:cs="Times New Roman"/>
                <w:bCs/>
                <w:sz w:val="24"/>
                <w:szCs w:val="24"/>
              </w:rPr>
            </w:pPr>
            <w:r w:rsidRPr="00AF7176">
              <w:rPr>
                <w:rFonts w:ascii="Times New Roman" w:hAnsi="Times New Roman" w:cs="Times New Roman"/>
                <w:bCs/>
                <w:sz w:val="24"/>
                <w:szCs w:val="24"/>
              </w:rPr>
              <w:t>65.4.</w:t>
            </w:r>
            <w:r w:rsidRPr="00AF7176">
              <w:rPr>
                <w:rFonts w:ascii="Times New Roman" w:hAnsi="Times New Roman" w:cs="Times New Roman"/>
                <w:bCs/>
                <w:sz w:val="24"/>
                <w:szCs w:val="24"/>
              </w:rPr>
              <w:tab/>
              <w:t>likviditātes risks;</w:t>
            </w:r>
          </w:p>
          <w:p w14:paraId="23547E02" w14:textId="77777777" w:rsidR="00AF7176" w:rsidRPr="00AF7176" w:rsidRDefault="00AF7176" w:rsidP="00935455">
            <w:pPr>
              <w:tabs>
                <w:tab w:val="left" w:pos="460"/>
                <w:tab w:val="left" w:pos="632"/>
              </w:tabs>
              <w:spacing w:after="120" w:line="240" w:lineRule="auto"/>
              <w:rPr>
                <w:rFonts w:ascii="Times New Roman" w:hAnsi="Times New Roman" w:cs="Times New Roman"/>
                <w:bCs/>
                <w:sz w:val="24"/>
                <w:szCs w:val="24"/>
              </w:rPr>
            </w:pPr>
            <w:r w:rsidRPr="00AF7176">
              <w:rPr>
                <w:rFonts w:ascii="Times New Roman" w:hAnsi="Times New Roman" w:cs="Times New Roman"/>
                <w:bCs/>
                <w:sz w:val="24"/>
                <w:szCs w:val="24"/>
              </w:rPr>
              <w:t>65.5.</w:t>
            </w:r>
            <w:r w:rsidRPr="00AF7176">
              <w:rPr>
                <w:rFonts w:ascii="Times New Roman" w:hAnsi="Times New Roman" w:cs="Times New Roman"/>
                <w:bCs/>
                <w:sz w:val="24"/>
                <w:szCs w:val="24"/>
              </w:rPr>
              <w:tab/>
              <w:t>operacionālais risks;</w:t>
            </w:r>
          </w:p>
          <w:p w14:paraId="7B72C96C" w14:textId="77777777" w:rsidR="00AF7176" w:rsidRPr="00AF7176" w:rsidRDefault="00AF7176" w:rsidP="00935455">
            <w:pPr>
              <w:tabs>
                <w:tab w:val="left" w:pos="460"/>
                <w:tab w:val="left" w:pos="632"/>
              </w:tabs>
              <w:spacing w:after="120" w:line="240" w:lineRule="auto"/>
              <w:rPr>
                <w:rFonts w:ascii="Times New Roman" w:hAnsi="Times New Roman" w:cs="Times New Roman"/>
                <w:bCs/>
                <w:sz w:val="24"/>
                <w:szCs w:val="24"/>
              </w:rPr>
            </w:pPr>
            <w:r w:rsidRPr="00AF7176">
              <w:rPr>
                <w:rFonts w:ascii="Times New Roman" w:hAnsi="Times New Roman" w:cs="Times New Roman"/>
                <w:bCs/>
                <w:sz w:val="24"/>
                <w:szCs w:val="24"/>
              </w:rPr>
              <w:t>65.6.</w:t>
            </w:r>
            <w:r w:rsidRPr="00AF7176">
              <w:rPr>
                <w:rFonts w:ascii="Times New Roman" w:hAnsi="Times New Roman" w:cs="Times New Roman"/>
                <w:bCs/>
                <w:sz w:val="24"/>
                <w:szCs w:val="24"/>
              </w:rPr>
              <w:tab/>
              <w:t>noziedzīgi iegūtu līdzekļu legalizācijas un terorisma un proliferācijas finansēšanas risks un sankciju risks;</w:t>
            </w:r>
          </w:p>
          <w:p w14:paraId="7B8BA250" w14:textId="7DA624FF" w:rsidR="00E4143F" w:rsidRPr="00AF7176" w:rsidRDefault="00AF7176" w:rsidP="00935455">
            <w:pPr>
              <w:tabs>
                <w:tab w:val="left" w:pos="460"/>
                <w:tab w:val="left" w:pos="632"/>
              </w:tabs>
              <w:spacing w:after="120" w:line="240" w:lineRule="auto"/>
              <w:rPr>
                <w:rFonts w:ascii="Times New Roman" w:hAnsi="Times New Roman" w:cs="Times New Roman"/>
                <w:bCs/>
                <w:sz w:val="24"/>
                <w:szCs w:val="24"/>
              </w:rPr>
            </w:pPr>
            <w:r w:rsidRPr="00AF7176">
              <w:rPr>
                <w:rFonts w:ascii="Times New Roman" w:hAnsi="Times New Roman" w:cs="Times New Roman"/>
                <w:bCs/>
                <w:sz w:val="24"/>
                <w:szCs w:val="24"/>
              </w:rPr>
              <w:t>65.7.</w:t>
            </w:r>
            <w:r w:rsidRPr="00AF7176">
              <w:rPr>
                <w:rFonts w:ascii="Times New Roman" w:hAnsi="Times New Roman" w:cs="Times New Roman"/>
                <w:bCs/>
                <w:sz w:val="24"/>
                <w:szCs w:val="24"/>
              </w:rPr>
              <w:tab/>
              <w:t>pārējie sabiedrības darbību ietekmējošie riski.</w:t>
            </w:r>
          </w:p>
        </w:tc>
        <w:tc>
          <w:tcPr>
            <w:tcW w:w="4192" w:type="dxa"/>
            <w:tcBorders>
              <w:top w:val="single" w:sz="4" w:space="0" w:color="auto"/>
              <w:left w:val="single" w:sz="4" w:space="0" w:color="auto"/>
              <w:bottom w:val="single" w:sz="4" w:space="0" w:color="auto"/>
              <w:right w:val="single" w:sz="4" w:space="0" w:color="auto"/>
            </w:tcBorders>
            <w:shd w:val="clear" w:color="auto" w:fill="auto"/>
          </w:tcPr>
          <w:p w14:paraId="486D3BCF" w14:textId="7A82706A" w:rsidR="00AF1CDB" w:rsidRDefault="0067587D" w:rsidP="00E06104">
            <w:pPr>
              <w:spacing w:after="12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AS </w:t>
            </w:r>
            <w:proofErr w:type="spellStart"/>
            <w:r w:rsidR="00AF1CDB" w:rsidRPr="00E4143F">
              <w:rPr>
                <w:rFonts w:ascii="Times New Roman" w:hAnsi="Times New Roman" w:cs="Times New Roman"/>
                <w:b/>
                <w:bCs/>
                <w:sz w:val="24"/>
                <w:szCs w:val="24"/>
              </w:rPr>
              <w:t>Mintos</w:t>
            </w:r>
            <w:proofErr w:type="spellEnd"/>
            <w:r w:rsidR="00AF1CDB" w:rsidRPr="00E4143F">
              <w:rPr>
                <w:rFonts w:ascii="Times New Roman" w:hAnsi="Times New Roman" w:cs="Times New Roman"/>
                <w:b/>
                <w:bCs/>
                <w:sz w:val="24"/>
                <w:szCs w:val="24"/>
              </w:rPr>
              <w:t xml:space="preserve"> Marketplace</w:t>
            </w:r>
          </w:p>
          <w:p w14:paraId="74587C71" w14:textId="7D809A06" w:rsidR="00E4143F" w:rsidRPr="00E559BF" w:rsidRDefault="00E4143F" w:rsidP="00935455">
            <w:pPr>
              <w:tabs>
                <w:tab w:val="left" w:pos="356"/>
              </w:tabs>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t>11.</w:t>
            </w:r>
            <w:r w:rsidRPr="00E559BF">
              <w:rPr>
                <w:rFonts w:ascii="Times New Roman" w:hAnsi="Times New Roman" w:cs="Times New Roman"/>
                <w:sz w:val="24"/>
                <w:szCs w:val="24"/>
              </w:rPr>
              <w:tab/>
              <w:t>Noteikumu 65.punkts:</w:t>
            </w:r>
          </w:p>
          <w:p w14:paraId="36DEBE77" w14:textId="7429A53F" w:rsidR="00E4143F" w:rsidRPr="00E559BF" w:rsidRDefault="00E4143F" w:rsidP="00E06104">
            <w:pPr>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t xml:space="preserve">Punktā minētie risku jēdzieni ir no IFR, kur tiek izmantots šāds risku dalījums kapitāla aprēķina vajadzībām un katram no šiem riskiem ir konkrēta formula to aprēķinam. Tomēr nav līdz galam saprotams, kā to interpretēt būtisko risku identificēšanas kontekstā. Vai tiek sagaidīts identisks aprēķins kā kapitāla pietiekamības aprēķinā? Turklāt tālāk, saskaņā ar Noteikumiem, visiem būtiskajiem riskiem ir nepieciešams </w:t>
            </w:r>
            <w:r w:rsidRPr="00E559BF">
              <w:rPr>
                <w:rFonts w:ascii="Times New Roman" w:hAnsi="Times New Roman" w:cs="Times New Roman"/>
                <w:sz w:val="24"/>
                <w:szCs w:val="24"/>
              </w:rPr>
              <w:lastRenderedPageBreak/>
              <w:t>izstrādāt politikas un procedūras to pārvaldībai, taču augstāk minētie riski nav viens atsevišķs risks klasiskajā risku izpratnē, bet ir kombinācija no, piemēram, tirgus riska, koncentrācijas riska, operacionālā riska. Attiecīgi nav līdz galam skaidrs, kādā formātā šo risku izvērtēt un pēc tam izstrādāt politikas to pārvaldīšanai. Vēlētos lūgt Latvijas Bankas skaidrojumu šajā jautājumā.</w:t>
            </w:r>
          </w:p>
        </w:tc>
        <w:tc>
          <w:tcPr>
            <w:tcW w:w="5389" w:type="dxa"/>
            <w:tcBorders>
              <w:top w:val="single" w:sz="4" w:space="0" w:color="auto"/>
              <w:left w:val="single" w:sz="4" w:space="0" w:color="auto"/>
              <w:bottom w:val="single" w:sz="4" w:space="0" w:color="auto"/>
              <w:right w:val="single" w:sz="4" w:space="0" w:color="auto"/>
            </w:tcBorders>
            <w:shd w:val="clear" w:color="auto" w:fill="auto"/>
          </w:tcPr>
          <w:p w14:paraId="0C6C0BC2" w14:textId="61FECD32" w:rsidR="000A1124" w:rsidRDefault="000A1124" w:rsidP="00E06104">
            <w:pPr>
              <w:spacing w:after="120" w:line="240" w:lineRule="auto"/>
              <w:rPr>
                <w:rFonts w:ascii="Times New Roman" w:hAnsi="Times New Roman" w:cs="Times New Roman"/>
                <w:b/>
                <w:iCs/>
                <w:sz w:val="24"/>
                <w:szCs w:val="24"/>
              </w:rPr>
            </w:pPr>
            <w:r>
              <w:rPr>
                <w:rFonts w:ascii="Times New Roman" w:hAnsi="Times New Roman" w:cs="Times New Roman"/>
                <w:b/>
                <w:iCs/>
                <w:sz w:val="24"/>
                <w:szCs w:val="24"/>
              </w:rPr>
              <w:lastRenderedPageBreak/>
              <w:t>Ņemts vērā.</w:t>
            </w:r>
          </w:p>
          <w:p w14:paraId="43423D10" w14:textId="04540632" w:rsidR="00F743E2" w:rsidRDefault="00AF7176" w:rsidP="00E06104">
            <w:pPr>
              <w:spacing w:after="120" w:line="240" w:lineRule="auto"/>
              <w:jc w:val="both"/>
              <w:rPr>
                <w:rFonts w:ascii="Times New Roman" w:hAnsi="Times New Roman" w:cs="Times New Roman"/>
                <w:bCs/>
                <w:iCs/>
                <w:sz w:val="24"/>
                <w:szCs w:val="24"/>
              </w:rPr>
            </w:pPr>
            <w:r w:rsidRPr="00015A06">
              <w:rPr>
                <w:rFonts w:ascii="Times New Roman" w:hAnsi="Times New Roman" w:cs="Times New Roman"/>
                <w:bCs/>
                <w:iCs/>
                <w:sz w:val="24"/>
                <w:szCs w:val="24"/>
              </w:rPr>
              <w:t>Noteikumu projekt</w:t>
            </w:r>
            <w:r w:rsidR="00F743E2">
              <w:rPr>
                <w:rFonts w:ascii="Times New Roman" w:hAnsi="Times New Roman" w:cs="Times New Roman"/>
                <w:bCs/>
                <w:iCs/>
                <w:sz w:val="24"/>
                <w:szCs w:val="24"/>
              </w:rPr>
              <w:t>a 6</w:t>
            </w:r>
            <w:r w:rsidR="004841C0">
              <w:rPr>
                <w:rFonts w:ascii="Times New Roman" w:hAnsi="Times New Roman" w:cs="Times New Roman"/>
                <w:bCs/>
                <w:iCs/>
                <w:sz w:val="24"/>
                <w:szCs w:val="24"/>
              </w:rPr>
              <w:t>4</w:t>
            </w:r>
            <w:r w:rsidR="00F743E2">
              <w:rPr>
                <w:rFonts w:ascii="Times New Roman" w:hAnsi="Times New Roman" w:cs="Times New Roman"/>
                <w:bCs/>
                <w:iCs/>
                <w:sz w:val="24"/>
                <w:szCs w:val="24"/>
              </w:rPr>
              <w:t xml:space="preserve">. punkts izteikts jaunā redakcijā: </w:t>
            </w:r>
          </w:p>
          <w:p w14:paraId="5D43DB47" w14:textId="3449F744" w:rsidR="00F743E2" w:rsidRPr="00F743E2" w:rsidRDefault="00F743E2" w:rsidP="00D266CC">
            <w:pPr>
              <w:tabs>
                <w:tab w:val="left" w:pos="602"/>
              </w:tabs>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w:t>
            </w:r>
            <w:r>
              <w:t xml:space="preserve"> </w:t>
            </w:r>
            <w:r w:rsidRPr="00F743E2">
              <w:rPr>
                <w:rFonts w:ascii="Times New Roman" w:hAnsi="Times New Roman" w:cs="Times New Roman"/>
                <w:bCs/>
                <w:iCs/>
                <w:sz w:val="24"/>
                <w:szCs w:val="24"/>
              </w:rPr>
              <w:t>6</w:t>
            </w:r>
            <w:r w:rsidR="004841C0">
              <w:rPr>
                <w:rFonts w:ascii="Times New Roman" w:hAnsi="Times New Roman" w:cs="Times New Roman"/>
                <w:bCs/>
                <w:iCs/>
                <w:sz w:val="24"/>
                <w:szCs w:val="24"/>
              </w:rPr>
              <w:t>4</w:t>
            </w:r>
            <w:r w:rsidRPr="00F743E2">
              <w:rPr>
                <w:rFonts w:ascii="Times New Roman" w:hAnsi="Times New Roman" w:cs="Times New Roman"/>
                <w:bCs/>
                <w:iCs/>
                <w:sz w:val="24"/>
                <w:szCs w:val="24"/>
              </w:rPr>
              <w:t>.</w:t>
            </w:r>
            <w:r w:rsidRPr="00F743E2">
              <w:rPr>
                <w:rFonts w:ascii="Times New Roman" w:hAnsi="Times New Roman" w:cs="Times New Roman"/>
                <w:bCs/>
                <w:iCs/>
                <w:sz w:val="24"/>
                <w:szCs w:val="24"/>
              </w:rPr>
              <w:tab/>
              <w:t>Sabiedrība nodrošina, ka būtisko risku identificēšanai tiek izmantoti atbilstoši kvantitatīvie kritēriji, tai skaitā stresa testēšana, un kvalitatīvie kritēriji. Sabiedrība dokumentē veiktā novērtējuma rezultātus un nodrošina, ka tajā ietvertie secinājumi ir pamatoti un atbilstoši sabiedrības darbības specifikai tiek izvērtēti vismaz šādi riski:</w:t>
            </w:r>
          </w:p>
          <w:p w14:paraId="3F00DFB9" w14:textId="49BE9A57" w:rsidR="00F743E2" w:rsidRPr="00F743E2" w:rsidRDefault="00F743E2" w:rsidP="00D266CC">
            <w:pPr>
              <w:tabs>
                <w:tab w:val="left" w:pos="602"/>
              </w:tabs>
              <w:spacing w:after="0" w:line="240" w:lineRule="auto"/>
              <w:jc w:val="both"/>
              <w:rPr>
                <w:rFonts w:ascii="Times New Roman" w:hAnsi="Times New Roman" w:cs="Times New Roman"/>
                <w:bCs/>
                <w:iCs/>
                <w:sz w:val="24"/>
                <w:szCs w:val="24"/>
              </w:rPr>
            </w:pPr>
            <w:r w:rsidRPr="00F743E2">
              <w:rPr>
                <w:rFonts w:ascii="Times New Roman" w:hAnsi="Times New Roman" w:cs="Times New Roman"/>
                <w:bCs/>
                <w:iCs/>
                <w:sz w:val="24"/>
                <w:szCs w:val="24"/>
              </w:rPr>
              <w:t>6</w:t>
            </w:r>
            <w:r w:rsidR="004841C0">
              <w:rPr>
                <w:rFonts w:ascii="Times New Roman" w:hAnsi="Times New Roman" w:cs="Times New Roman"/>
                <w:bCs/>
                <w:iCs/>
                <w:sz w:val="24"/>
                <w:szCs w:val="24"/>
              </w:rPr>
              <w:t>4</w:t>
            </w:r>
            <w:r w:rsidRPr="00F743E2">
              <w:rPr>
                <w:rFonts w:ascii="Times New Roman" w:hAnsi="Times New Roman" w:cs="Times New Roman"/>
                <w:bCs/>
                <w:iCs/>
                <w:sz w:val="24"/>
                <w:szCs w:val="24"/>
              </w:rPr>
              <w:t>.1.</w:t>
            </w:r>
            <w:r w:rsidRPr="00F743E2">
              <w:rPr>
                <w:rFonts w:ascii="Times New Roman" w:hAnsi="Times New Roman" w:cs="Times New Roman"/>
                <w:bCs/>
                <w:iCs/>
                <w:sz w:val="24"/>
                <w:szCs w:val="24"/>
              </w:rPr>
              <w:tab/>
              <w:t>kredītrisks, kas ietver arī darījumu partneru kredītrisku;</w:t>
            </w:r>
          </w:p>
          <w:p w14:paraId="1F938C15" w14:textId="3E6B3320" w:rsidR="00F743E2" w:rsidRPr="00F743E2" w:rsidRDefault="00F743E2" w:rsidP="006A3717">
            <w:pPr>
              <w:tabs>
                <w:tab w:val="left" w:pos="563"/>
              </w:tabs>
              <w:spacing w:after="0" w:line="240" w:lineRule="auto"/>
              <w:jc w:val="both"/>
              <w:rPr>
                <w:rFonts w:ascii="Times New Roman" w:hAnsi="Times New Roman" w:cs="Times New Roman"/>
                <w:bCs/>
                <w:iCs/>
                <w:sz w:val="24"/>
                <w:szCs w:val="24"/>
              </w:rPr>
            </w:pPr>
            <w:r w:rsidRPr="00F743E2">
              <w:rPr>
                <w:rFonts w:ascii="Times New Roman" w:hAnsi="Times New Roman" w:cs="Times New Roman"/>
                <w:bCs/>
                <w:iCs/>
                <w:sz w:val="24"/>
                <w:szCs w:val="24"/>
              </w:rPr>
              <w:lastRenderedPageBreak/>
              <w:t>6</w:t>
            </w:r>
            <w:r w:rsidR="004841C0">
              <w:rPr>
                <w:rFonts w:ascii="Times New Roman" w:hAnsi="Times New Roman" w:cs="Times New Roman"/>
                <w:bCs/>
                <w:iCs/>
                <w:sz w:val="24"/>
                <w:szCs w:val="24"/>
              </w:rPr>
              <w:t>4</w:t>
            </w:r>
            <w:r w:rsidRPr="00F743E2">
              <w:rPr>
                <w:rFonts w:ascii="Times New Roman" w:hAnsi="Times New Roman" w:cs="Times New Roman"/>
                <w:bCs/>
                <w:iCs/>
                <w:sz w:val="24"/>
                <w:szCs w:val="24"/>
              </w:rPr>
              <w:t>.2.</w:t>
            </w:r>
            <w:r w:rsidRPr="00F743E2">
              <w:rPr>
                <w:rFonts w:ascii="Times New Roman" w:hAnsi="Times New Roman" w:cs="Times New Roman"/>
                <w:bCs/>
                <w:iCs/>
                <w:sz w:val="24"/>
                <w:szCs w:val="24"/>
              </w:rPr>
              <w:tab/>
              <w:t>tirgus risks, kas ietver ārvalstu valūtu risku tirdzniecības portfelī un netirdzniecības portfelī, pozīciju risku tirdzniecības portfeli un preču risku tirdzniecības portfelī un netirdzniecības portfelī;</w:t>
            </w:r>
          </w:p>
          <w:p w14:paraId="7A71CD3A" w14:textId="26C9E0F3" w:rsidR="00F743E2" w:rsidRPr="00F743E2" w:rsidRDefault="00F743E2" w:rsidP="006A3717">
            <w:pPr>
              <w:tabs>
                <w:tab w:val="left" w:pos="563"/>
              </w:tabs>
              <w:spacing w:after="0" w:line="240" w:lineRule="auto"/>
              <w:jc w:val="both"/>
              <w:rPr>
                <w:rFonts w:ascii="Times New Roman" w:hAnsi="Times New Roman" w:cs="Times New Roman"/>
                <w:bCs/>
                <w:iCs/>
                <w:sz w:val="24"/>
                <w:szCs w:val="24"/>
              </w:rPr>
            </w:pPr>
            <w:r w:rsidRPr="00F743E2">
              <w:rPr>
                <w:rFonts w:ascii="Times New Roman" w:hAnsi="Times New Roman" w:cs="Times New Roman"/>
                <w:bCs/>
                <w:iCs/>
                <w:sz w:val="24"/>
                <w:szCs w:val="24"/>
              </w:rPr>
              <w:t>6</w:t>
            </w:r>
            <w:r w:rsidR="004841C0">
              <w:rPr>
                <w:rFonts w:ascii="Times New Roman" w:hAnsi="Times New Roman" w:cs="Times New Roman"/>
                <w:bCs/>
                <w:iCs/>
                <w:sz w:val="24"/>
                <w:szCs w:val="24"/>
              </w:rPr>
              <w:t>4</w:t>
            </w:r>
            <w:r w:rsidRPr="00F743E2">
              <w:rPr>
                <w:rFonts w:ascii="Times New Roman" w:hAnsi="Times New Roman" w:cs="Times New Roman"/>
                <w:bCs/>
                <w:iCs/>
                <w:sz w:val="24"/>
                <w:szCs w:val="24"/>
              </w:rPr>
              <w:t>.3.</w:t>
            </w:r>
            <w:r w:rsidRPr="00F743E2">
              <w:rPr>
                <w:rFonts w:ascii="Times New Roman" w:hAnsi="Times New Roman" w:cs="Times New Roman"/>
                <w:bCs/>
                <w:iCs/>
                <w:sz w:val="24"/>
                <w:szCs w:val="24"/>
              </w:rPr>
              <w:tab/>
              <w:t>koncentrācijas risks;</w:t>
            </w:r>
          </w:p>
          <w:p w14:paraId="17B78E64" w14:textId="29BB79B0" w:rsidR="00F743E2" w:rsidRPr="00F743E2" w:rsidRDefault="00F743E2" w:rsidP="006A3717">
            <w:pPr>
              <w:tabs>
                <w:tab w:val="left" w:pos="563"/>
              </w:tabs>
              <w:spacing w:after="0" w:line="240" w:lineRule="auto"/>
              <w:jc w:val="both"/>
              <w:rPr>
                <w:rFonts w:ascii="Times New Roman" w:hAnsi="Times New Roman" w:cs="Times New Roman"/>
                <w:bCs/>
                <w:iCs/>
                <w:sz w:val="24"/>
                <w:szCs w:val="24"/>
              </w:rPr>
            </w:pPr>
            <w:r w:rsidRPr="00F743E2">
              <w:rPr>
                <w:rFonts w:ascii="Times New Roman" w:hAnsi="Times New Roman" w:cs="Times New Roman"/>
                <w:bCs/>
                <w:iCs/>
                <w:sz w:val="24"/>
                <w:szCs w:val="24"/>
              </w:rPr>
              <w:t>6</w:t>
            </w:r>
            <w:r w:rsidR="004841C0">
              <w:rPr>
                <w:rFonts w:ascii="Times New Roman" w:hAnsi="Times New Roman" w:cs="Times New Roman"/>
                <w:bCs/>
                <w:iCs/>
                <w:sz w:val="24"/>
                <w:szCs w:val="24"/>
              </w:rPr>
              <w:t>4</w:t>
            </w:r>
            <w:r w:rsidRPr="00F743E2">
              <w:rPr>
                <w:rFonts w:ascii="Times New Roman" w:hAnsi="Times New Roman" w:cs="Times New Roman"/>
                <w:bCs/>
                <w:iCs/>
                <w:sz w:val="24"/>
                <w:szCs w:val="24"/>
              </w:rPr>
              <w:t>.4.</w:t>
            </w:r>
            <w:r w:rsidRPr="00F743E2">
              <w:rPr>
                <w:rFonts w:ascii="Times New Roman" w:hAnsi="Times New Roman" w:cs="Times New Roman"/>
                <w:bCs/>
                <w:iCs/>
                <w:sz w:val="24"/>
                <w:szCs w:val="24"/>
              </w:rPr>
              <w:tab/>
              <w:t>procentu likmju risks netirdzniecības portfelī;</w:t>
            </w:r>
          </w:p>
          <w:p w14:paraId="77DE499F" w14:textId="0B31E74E" w:rsidR="00F743E2" w:rsidRPr="00F743E2" w:rsidRDefault="00F743E2" w:rsidP="006A3717">
            <w:pPr>
              <w:tabs>
                <w:tab w:val="left" w:pos="563"/>
              </w:tabs>
              <w:spacing w:after="0" w:line="240" w:lineRule="auto"/>
              <w:jc w:val="both"/>
              <w:rPr>
                <w:rFonts w:ascii="Times New Roman" w:hAnsi="Times New Roman" w:cs="Times New Roman"/>
                <w:bCs/>
                <w:iCs/>
                <w:sz w:val="24"/>
                <w:szCs w:val="24"/>
              </w:rPr>
            </w:pPr>
            <w:r w:rsidRPr="00F743E2">
              <w:rPr>
                <w:rFonts w:ascii="Times New Roman" w:hAnsi="Times New Roman" w:cs="Times New Roman"/>
                <w:bCs/>
                <w:iCs/>
                <w:sz w:val="24"/>
                <w:szCs w:val="24"/>
              </w:rPr>
              <w:t>6</w:t>
            </w:r>
            <w:r w:rsidR="004841C0">
              <w:rPr>
                <w:rFonts w:ascii="Times New Roman" w:hAnsi="Times New Roman" w:cs="Times New Roman"/>
                <w:bCs/>
                <w:iCs/>
                <w:sz w:val="24"/>
                <w:szCs w:val="24"/>
              </w:rPr>
              <w:t>4</w:t>
            </w:r>
            <w:r w:rsidRPr="00F743E2">
              <w:rPr>
                <w:rFonts w:ascii="Times New Roman" w:hAnsi="Times New Roman" w:cs="Times New Roman"/>
                <w:bCs/>
                <w:iCs/>
                <w:sz w:val="24"/>
                <w:szCs w:val="24"/>
              </w:rPr>
              <w:t>.5.</w:t>
            </w:r>
            <w:r w:rsidRPr="00F743E2">
              <w:rPr>
                <w:rFonts w:ascii="Times New Roman" w:hAnsi="Times New Roman" w:cs="Times New Roman"/>
                <w:bCs/>
                <w:iCs/>
                <w:sz w:val="24"/>
                <w:szCs w:val="24"/>
              </w:rPr>
              <w:tab/>
              <w:t>likviditātes risks;</w:t>
            </w:r>
          </w:p>
          <w:p w14:paraId="25BB5AEA" w14:textId="6F802A13" w:rsidR="00F743E2" w:rsidRPr="00F743E2" w:rsidRDefault="00F743E2" w:rsidP="006A3717">
            <w:pPr>
              <w:tabs>
                <w:tab w:val="left" w:pos="563"/>
              </w:tabs>
              <w:spacing w:after="0" w:line="240" w:lineRule="auto"/>
              <w:jc w:val="both"/>
              <w:rPr>
                <w:rFonts w:ascii="Times New Roman" w:hAnsi="Times New Roman" w:cs="Times New Roman"/>
                <w:bCs/>
                <w:iCs/>
                <w:sz w:val="24"/>
                <w:szCs w:val="24"/>
              </w:rPr>
            </w:pPr>
            <w:r w:rsidRPr="00F743E2">
              <w:rPr>
                <w:rFonts w:ascii="Times New Roman" w:hAnsi="Times New Roman" w:cs="Times New Roman"/>
                <w:bCs/>
                <w:iCs/>
                <w:sz w:val="24"/>
                <w:szCs w:val="24"/>
              </w:rPr>
              <w:t>6</w:t>
            </w:r>
            <w:r w:rsidR="004841C0">
              <w:rPr>
                <w:rFonts w:ascii="Times New Roman" w:hAnsi="Times New Roman" w:cs="Times New Roman"/>
                <w:bCs/>
                <w:iCs/>
                <w:sz w:val="24"/>
                <w:szCs w:val="24"/>
              </w:rPr>
              <w:t>4</w:t>
            </w:r>
            <w:r w:rsidRPr="00F743E2">
              <w:rPr>
                <w:rFonts w:ascii="Times New Roman" w:hAnsi="Times New Roman" w:cs="Times New Roman"/>
                <w:bCs/>
                <w:iCs/>
                <w:sz w:val="24"/>
                <w:szCs w:val="24"/>
              </w:rPr>
              <w:t>.6.</w:t>
            </w:r>
            <w:r w:rsidRPr="00F743E2">
              <w:rPr>
                <w:rFonts w:ascii="Times New Roman" w:hAnsi="Times New Roman" w:cs="Times New Roman"/>
                <w:bCs/>
                <w:iCs/>
                <w:sz w:val="24"/>
                <w:szCs w:val="24"/>
              </w:rPr>
              <w:tab/>
              <w:t>operacionālais risks;</w:t>
            </w:r>
          </w:p>
          <w:p w14:paraId="1F9B8A1E" w14:textId="5E548DC6" w:rsidR="00F743E2" w:rsidRPr="00F743E2" w:rsidRDefault="00F743E2" w:rsidP="006A3717">
            <w:pPr>
              <w:tabs>
                <w:tab w:val="left" w:pos="563"/>
              </w:tabs>
              <w:spacing w:after="0" w:line="240" w:lineRule="auto"/>
              <w:jc w:val="both"/>
              <w:rPr>
                <w:rFonts w:ascii="Times New Roman" w:hAnsi="Times New Roman" w:cs="Times New Roman"/>
                <w:bCs/>
                <w:iCs/>
                <w:sz w:val="24"/>
                <w:szCs w:val="24"/>
              </w:rPr>
            </w:pPr>
            <w:r w:rsidRPr="00F743E2">
              <w:rPr>
                <w:rFonts w:ascii="Times New Roman" w:hAnsi="Times New Roman" w:cs="Times New Roman"/>
                <w:bCs/>
                <w:iCs/>
                <w:sz w:val="24"/>
                <w:szCs w:val="24"/>
              </w:rPr>
              <w:t>6</w:t>
            </w:r>
            <w:r w:rsidR="004841C0">
              <w:rPr>
                <w:rFonts w:ascii="Times New Roman" w:hAnsi="Times New Roman" w:cs="Times New Roman"/>
                <w:bCs/>
                <w:iCs/>
                <w:sz w:val="24"/>
                <w:szCs w:val="24"/>
              </w:rPr>
              <w:t>4</w:t>
            </w:r>
            <w:r w:rsidRPr="00F743E2">
              <w:rPr>
                <w:rFonts w:ascii="Times New Roman" w:hAnsi="Times New Roman" w:cs="Times New Roman"/>
                <w:bCs/>
                <w:iCs/>
                <w:sz w:val="24"/>
                <w:szCs w:val="24"/>
              </w:rPr>
              <w:t>.7.</w:t>
            </w:r>
            <w:r w:rsidRPr="00F743E2">
              <w:rPr>
                <w:rFonts w:ascii="Times New Roman" w:hAnsi="Times New Roman" w:cs="Times New Roman"/>
                <w:bCs/>
                <w:iCs/>
                <w:sz w:val="24"/>
                <w:szCs w:val="24"/>
              </w:rPr>
              <w:tab/>
              <w:t>noziedzīgi iegūtu līdzekļu legalizācijas un terorisma un proliferācijas finansēšanas risks un sankciju risks;</w:t>
            </w:r>
          </w:p>
          <w:p w14:paraId="3066D4AF" w14:textId="21CC898A" w:rsidR="009A06B7" w:rsidRDefault="00F743E2" w:rsidP="00D266CC">
            <w:pPr>
              <w:tabs>
                <w:tab w:val="left" w:pos="554"/>
              </w:tabs>
              <w:spacing w:after="120" w:line="240" w:lineRule="auto"/>
              <w:jc w:val="both"/>
              <w:rPr>
                <w:rFonts w:ascii="Times New Roman" w:hAnsi="Times New Roman" w:cs="Times New Roman"/>
                <w:bCs/>
                <w:iCs/>
                <w:sz w:val="24"/>
                <w:szCs w:val="24"/>
              </w:rPr>
            </w:pPr>
            <w:r w:rsidRPr="00F743E2">
              <w:rPr>
                <w:rFonts w:ascii="Times New Roman" w:hAnsi="Times New Roman" w:cs="Times New Roman"/>
                <w:bCs/>
                <w:iCs/>
                <w:sz w:val="24"/>
                <w:szCs w:val="24"/>
              </w:rPr>
              <w:t>6</w:t>
            </w:r>
            <w:r w:rsidR="004841C0">
              <w:rPr>
                <w:rFonts w:ascii="Times New Roman" w:hAnsi="Times New Roman" w:cs="Times New Roman"/>
                <w:bCs/>
                <w:iCs/>
                <w:sz w:val="24"/>
                <w:szCs w:val="24"/>
              </w:rPr>
              <w:t>4</w:t>
            </w:r>
            <w:r w:rsidRPr="00F743E2">
              <w:rPr>
                <w:rFonts w:ascii="Times New Roman" w:hAnsi="Times New Roman" w:cs="Times New Roman"/>
                <w:bCs/>
                <w:iCs/>
                <w:sz w:val="24"/>
                <w:szCs w:val="24"/>
              </w:rPr>
              <w:t>.8.</w:t>
            </w:r>
            <w:r w:rsidRPr="00F743E2">
              <w:rPr>
                <w:rFonts w:ascii="Times New Roman" w:hAnsi="Times New Roman" w:cs="Times New Roman"/>
                <w:bCs/>
                <w:iCs/>
                <w:sz w:val="24"/>
                <w:szCs w:val="24"/>
              </w:rPr>
              <w:tab/>
              <w:t>pārējie sabiedrības darbību ietekmējošie riski.</w:t>
            </w:r>
            <w:r>
              <w:rPr>
                <w:rFonts w:ascii="Times New Roman" w:hAnsi="Times New Roman" w:cs="Times New Roman"/>
                <w:bCs/>
                <w:iCs/>
                <w:sz w:val="24"/>
                <w:szCs w:val="24"/>
              </w:rPr>
              <w:t>"</w:t>
            </w:r>
          </w:p>
          <w:p w14:paraId="6694DAD2" w14:textId="3D8EC030" w:rsidR="0071591F" w:rsidRPr="0071591F" w:rsidRDefault="0051545D" w:rsidP="00E06104">
            <w:pPr>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Paskaidrojam, ka </w:t>
            </w:r>
            <w:r w:rsidR="005C3894">
              <w:rPr>
                <w:rFonts w:ascii="Times New Roman" w:hAnsi="Times New Roman" w:cs="Times New Roman"/>
                <w:bCs/>
                <w:iCs/>
                <w:sz w:val="24"/>
                <w:szCs w:val="24"/>
              </w:rPr>
              <w:t>sabiedrība</w:t>
            </w:r>
            <w:r>
              <w:rPr>
                <w:rFonts w:ascii="Times New Roman" w:hAnsi="Times New Roman" w:cs="Times New Roman"/>
                <w:bCs/>
                <w:iCs/>
                <w:sz w:val="24"/>
                <w:szCs w:val="24"/>
              </w:rPr>
              <w:t xml:space="preserve"> </w:t>
            </w:r>
            <w:r w:rsidR="00D91A80" w:rsidRPr="005C3894">
              <w:rPr>
                <w:rFonts w:ascii="Times New Roman" w:hAnsi="Times New Roman" w:cs="Times New Roman"/>
                <w:bCs/>
                <w:iCs/>
                <w:sz w:val="24"/>
                <w:szCs w:val="24"/>
              </w:rPr>
              <w:t>izstrādā, dokumentē un īsteno atbilstošas risku pārvaldīšanas politikas un procedūras</w:t>
            </w:r>
            <w:r w:rsidR="00D91A80">
              <w:rPr>
                <w:rFonts w:ascii="Times New Roman" w:hAnsi="Times New Roman" w:cs="Times New Roman"/>
                <w:bCs/>
                <w:iCs/>
                <w:sz w:val="24"/>
                <w:szCs w:val="24"/>
              </w:rPr>
              <w:t xml:space="preserve"> vismaz noteikumu projekta 6</w:t>
            </w:r>
            <w:r w:rsidR="004841C0">
              <w:rPr>
                <w:rFonts w:ascii="Times New Roman" w:hAnsi="Times New Roman" w:cs="Times New Roman"/>
                <w:bCs/>
                <w:iCs/>
                <w:sz w:val="24"/>
                <w:szCs w:val="24"/>
              </w:rPr>
              <w:t>4</w:t>
            </w:r>
            <w:r w:rsidR="00D91A80">
              <w:rPr>
                <w:rFonts w:ascii="Times New Roman" w:hAnsi="Times New Roman" w:cs="Times New Roman"/>
                <w:bCs/>
                <w:iCs/>
                <w:sz w:val="24"/>
                <w:szCs w:val="24"/>
              </w:rPr>
              <w:t>. punktā minētajiem riskiem ar mērķi nodrošināt, ka šādi riski sabiedrībā tiek pastāvīgi pārvaldīti.</w:t>
            </w:r>
          </w:p>
          <w:p w14:paraId="1A3DA82F" w14:textId="6C11D1EF" w:rsidR="00E4143F" w:rsidRPr="0056522A" w:rsidRDefault="00E06680" w:rsidP="00E06104">
            <w:pPr>
              <w:spacing w:after="120" w:line="240" w:lineRule="auto"/>
              <w:jc w:val="both"/>
              <w:rPr>
                <w:rFonts w:ascii="Times New Roman" w:hAnsi="Times New Roman" w:cs="Times New Roman"/>
                <w:b/>
                <w:iCs/>
                <w:sz w:val="24"/>
                <w:szCs w:val="24"/>
              </w:rPr>
            </w:pPr>
            <w:r w:rsidRPr="00015A06">
              <w:rPr>
                <w:rFonts w:ascii="Times New Roman" w:hAnsi="Times New Roman" w:cs="Times New Roman"/>
                <w:bCs/>
                <w:iCs/>
                <w:sz w:val="24"/>
                <w:szCs w:val="24"/>
              </w:rPr>
              <w:t xml:space="preserve">Latvijas Banka </w:t>
            </w:r>
            <w:r w:rsidR="00B67F77" w:rsidRPr="00015A06">
              <w:rPr>
                <w:rFonts w:ascii="Times New Roman" w:hAnsi="Times New Roman" w:cs="Times New Roman"/>
                <w:bCs/>
                <w:iCs/>
                <w:sz w:val="24"/>
                <w:szCs w:val="24"/>
              </w:rPr>
              <w:t>2025.</w:t>
            </w:r>
            <w:r w:rsidR="000756A5">
              <w:rPr>
                <w:rFonts w:ascii="Times New Roman" w:hAnsi="Times New Roman" w:cs="Times New Roman"/>
                <w:bCs/>
                <w:iCs/>
                <w:sz w:val="24"/>
                <w:szCs w:val="24"/>
              </w:rPr>
              <w:t> </w:t>
            </w:r>
            <w:r w:rsidR="00B67F77" w:rsidRPr="00015A06">
              <w:rPr>
                <w:rFonts w:ascii="Times New Roman" w:hAnsi="Times New Roman" w:cs="Times New Roman"/>
                <w:bCs/>
                <w:iCs/>
                <w:sz w:val="24"/>
                <w:szCs w:val="24"/>
              </w:rPr>
              <w:t xml:space="preserve">gadā </w:t>
            </w:r>
            <w:r w:rsidRPr="00015A06">
              <w:rPr>
                <w:rFonts w:ascii="Times New Roman" w:hAnsi="Times New Roman" w:cs="Times New Roman"/>
                <w:bCs/>
                <w:iCs/>
                <w:sz w:val="24"/>
                <w:szCs w:val="24"/>
              </w:rPr>
              <w:t>atbilstoši Ieguldījumu brokeru sabiedrību likum</w:t>
            </w:r>
            <w:r w:rsidR="00DE6604" w:rsidRPr="00015A06">
              <w:rPr>
                <w:rFonts w:ascii="Times New Roman" w:hAnsi="Times New Roman" w:cs="Times New Roman"/>
                <w:bCs/>
                <w:iCs/>
                <w:sz w:val="24"/>
                <w:szCs w:val="24"/>
              </w:rPr>
              <w:t xml:space="preserve">a 31. panta pirmās daļas </w:t>
            </w:r>
            <w:r w:rsidR="000756A5">
              <w:rPr>
                <w:rFonts w:ascii="Times New Roman" w:hAnsi="Times New Roman" w:cs="Times New Roman"/>
                <w:bCs/>
                <w:iCs/>
                <w:sz w:val="24"/>
                <w:szCs w:val="24"/>
              </w:rPr>
              <w:t>3. </w:t>
            </w:r>
            <w:r w:rsidR="00DE6604" w:rsidRPr="00015A06">
              <w:rPr>
                <w:rFonts w:ascii="Times New Roman" w:hAnsi="Times New Roman" w:cs="Times New Roman"/>
                <w:bCs/>
                <w:iCs/>
                <w:sz w:val="24"/>
                <w:szCs w:val="24"/>
              </w:rPr>
              <w:t xml:space="preserve">punktā </w:t>
            </w:r>
            <w:r w:rsidR="00AA0E51" w:rsidRPr="00015A06">
              <w:rPr>
                <w:rFonts w:ascii="Times New Roman" w:hAnsi="Times New Roman" w:cs="Times New Roman"/>
                <w:bCs/>
                <w:iCs/>
                <w:sz w:val="24"/>
                <w:szCs w:val="24"/>
              </w:rPr>
              <w:t>ietvertajam deleģējumam izd</w:t>
            </w:r>
            <w:r w:rsidR="00DE6604" w:rsidRPr="00015A06">
              <w:rPr>
                <w:rFonts w:ascii="Times New Roman" w:hAnsi="Times New Roman" w:cs="Times New Roman"/>
                <w:bCs/>
                <w:iCs/>
                <w:sz w:val="24"/>
                <w:szCs w:val="24"/>
              </w:rPr>
              <w:t xml:space="preserve">os </w:t>
            </w:r>
            <w:r w:rsidR="00AA0E51" w:rsidRPr="00015A06">
              <w:rPr>
                <w:rFonts w:ascii="Times New Roman" w:hAnsi="Times New Roman" w:cs="Times New Roman"/>
                <w:bCs/>
                <w:iCs/>
                <w:sz w:val="24"/>
                <w:szCs w:val="24"/>
              </w:rPr>
              <w:t>noteikumus par kapitāla un likviditātes pietiekamības</w:t>
            </w:r>
            <w:r w:rsidR="00DE6604" w:rsidRPr="00015A06">
              <w:rPr>
                <w:rFonts w:ascii="Times New Roman" w:hAnsi="Times New Roman" w:cs="Times New Roman"/>
                <w:bCs/>
                <w:iCs/>
                <w:sz w:val="24"/>
                <w:szCs w:val="24"/>
              </w:rPr>
              <w:t xml:space="preserve"> novērtēšanas procesa izveides </w:t>
            </w:r>
            <w:r w:rsidR="00AA0E51" w:rsidRPr="00015A06">
              <w:rPr>
                <w:rFonts w:ascii="Times New Roman" w:hAnsi="Times New Roman" w:cs="Times New Roman"/>
                <w:bCs/>
                <w:iCs/>
                <w:sz w:val="24"/>
                <w:szCs w:val="24"/>
              </w:rPr>
              <w:t>prasībām.</w:t>
            </w:r>
          </w:p>
        </w:tc>
      </w:tr>
      <w:tr w:rsidR="00E4143F" w:rsidRPr="0056522A" w14:paraId="0C077B38" w14:textId="77777777" w:rsidTr="00935455">
        <w:tc>
          <w:tcPr>
            <w:tcW w:w="0" w:type="auto"/>
            <w:tcBorders>
              <w:top w:val="single" w:sz="4" w:space="0" w:color="auto"/>
              <w:left w:val="single" w:sz="4" w:space="0" w:color="auto"/>
              <w:bottom w:val="single" w:sz="4" w:space="0" w:color="auto"/>
              <w:right w:val="single" w:sz="4" w:space="0" w:color="auto"/>
            </w:tcBorders>
          </w:tcPr>
          <w:p w14:paraId="17641C4F" w14:textId="01EC5EE5" w:rsidR="00E4143F" w:rsidRPr="0056522A" w:rsidRDefault="005267C2" w:rsidP="0056522A">
            <w:pPr>
              <w:spacing w:after="120" w:line="240" w:lineRule="auto"/>
              <w:ind w:left="720"/>
              <w:rPr>
                <w:rFonts w:ascii="Times New Roman" w:hAnsi="Times New Roman" w:cs="Times New Roman"/>
                <w:bCs/>
                <w:sz w:val="24"/>
                <w:szCs w:val="24"/>
              </w:rPr>
            </w:pPr>
            <w:r>
              <w:rPr>
                <w:rFonts w:ascii="Times New Roman" w:hAnsi="Times New Roman" w:cs="Times New Roman"/>
                <w:bCs/>
                <w:sz w:val="24"/>
                <w:szCs w:val="24"/>
              </w:rPr>
              <w:lastRenderedPageBreak/>
              <w:t>12.</w:t>
            </w:r>
          </w:p>
        </w:tc>
        <w:tc>
          <w:tcPr>
            <w:tcW w:w="3779" w:type="dxa"/>
            <w:tcBorders>
              <w:top w:val="single" w:sz="4" w:space="0" w:color="auto"/>
              <w:left w:val="single" w:sz="4" w:space="0" w:color="auto"/>
              <w:bottom w:val="single" w:sz="4" w:space="0" w:color="auto"/>
              <w:right w:val="single" w:sz="4" w:space="0" w:color="auto"/>
            </w:tcBorders>
            <w:shd w:val="clear" w:color="auto" w:fill="auto"/>
          </w:tcPr>
          <w:p w14:paraId="769ED125" w14:textId="57F9BD9A" w:rsidR="00E4143F" w:rsidRPr="009A06B7" w:rsidRDefault="009A06B7" w:rsidP="00935455">
            <w:pPr>
              <w:tabs>
                <w:tab w:val="left" w:pos="425"/>
              </w:tabs>
              <w:spacing w:after="120" w:line="240" w:lineRule="auto"/>
              <w:jc w:val="both"/>
              <w:rPr>
                <w:rFonts w:ascii="Times New Roman" w:hAnsi="Times New Roman" w:cs="Times New Roman"/>
                <w:bCs/>
                <w:sz w:val="24"/>
                <w:szCs w:val="24"/>
              </w:rPr>
            </w:pPr>
            <w:r w:rsidRPr="009A06B7">
              <w:rPr>
                <w:rFonts w:ascii="Times New Roman" w:hAnsi="Times New Roman" w:cs="Times New Roman"/>
                <w:bCs/>
                <w:sz w:val="24"/>
                <w:szCs w:val="24"/>
              </w:rPr>
              <w:t>70.</w:t>
            </w:r>
            <w:r w:rsidRPr="009A06B7">
              <w:rPr>
                <w:rFonts w:ascii="Times New Roman" w:hAnsi="Times New Roman" w:cs="Times New Roman"/>
                <w:bCs/>
                <w:sz w:val="24"/>
                <w:szCs w:val="24"/>
              </w:rPr>
              <w:tab/>
              <w:t xml:space="preserve">Sabiedrība regulāri, bet ne retāk kā reizi gadā pārskata un pilnveido risku identificēšanas un pārvaldīšanas politikas un procedūras atbilstoši pārmaiņām sabiedrības darbībā un sabiedrības darbību ietekmējošajos ārējos apstākļos. Sabiedrība izvērtē tās darbības atbilstību risku identificēšanas un </w:t>
            </w:r>
            <w:r w:rsidRPr="009A06B7">
              <w:rPr>
                <w:rFonts w:ascii="Times New Roman" w:hAnsi="Times New Roman" w:cs="Times New Roman"/>
                <w:bCs/>
                <w:sz w:val="24"/>
                <w:szCs w:val="24"/>
              </w:rPr>
              <w:lastRenderedPageBreak/>
              <w:t>pārvaldīšanas politikās un procedūrās noteiktajam, šo politiku un procedūru piemērotību un efektivitāti, kā arī to pasākumu piemērotību un efektivitāti, kurus sabiedrība ir veikusi, lai novērstu šo politiku un procedūru piemērošanā atklātos trūkumus.</w:t>
            </w:r>
          </w:p>
        </w:tc>
        <w:tc>
          <w:tcPr>
            <w:tcW w:w="4192" w:type="dxa"/>
            <w:tcBorders>
              <w:top w:val="single" w:sz="4" w:space="0" w:color="auto"/>
              <w:left w:val="single" w:sz="4" w:space="0" w:color="auto"/>
              <w:bottom w:val="single" w:sz="4" w:space="0" w:color="auto"/>
              <w:right w:val="single" w:sz="4" w:space="0" w:color="auto"/>
            </w:tcBorders>
            <w:shd w:val="clear" w:color="auto" w:fill="auto"/>
          </w:tcPr>
          <w:p w14:paraId="219C486C" w14:textId="4127DF80" w:rsidR="00AF1CDB" w:rsidRDefault="0067587D" w:rsidP="00E06104">
            <w:pPr>
              <w:spacing w:after="12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AS </w:t>
            </w:r>
            <w:proofErr w:type="spellStart"/>
            <w:r w:rsidR="00AF1CDB" w:rsidRPr="00E4143F">
              <w:rPr>
                <w:rFonts w:ascii="Times New Roman" w:hAnsi="Times New Roman" w:cs="Times New Roman"/>
                <w:b/>
                <w:bCs/>
                <w:sz w:val="24"/>
                <w:szCs w:val="24"/>
              </w:rPr>
              <w:t>Mintos</w:t>
            </w:r>
            <w:proofErr w:type="spellEnd"/>
            <w:r w:rsidR="00AF1CDB" w:rsidRPr="00E4143F">
              <w:rPr>
                <w:rFonts w:ascii="Times New Roman" w:hAnsi="Times New Roman" w:cs="Times New Roman"/>
                <w:b/>
                <w:bCs/>
                <w:sz w:val="24"/>
                <w:szCs w:val="24"/>
              </w:rPr>
              <w:t xml:space="preserve"> Marketplace</w:t>
            </w:r>
          </w:p>
          <w:p w14:paraId="1FC95C42" w14:textId="77777777" w:rsidR="00E559BF" w:rsidRPr="00E559BF" w:rsidRDefault="00E559BF" w:rsidP="00935455">
            <w:pPr>
              <w:tabs>
                <w:tab w:val="left" w:pos="345"/>
              </w:tabs>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t>12.</w:t>
            </w:r>
            <w:r w:rsidRPr="00E559BF">
              <w:rPr>
                <w:rFonts w:ascii="Times New Roman" w:hAnsi="Times New Roman" w:cs="Times New Roman"/>
                <w:sz w:val="24"/>
                <w:szCs w:val="24"/>
              </w:rPr>
              <w:tab/>
              <w:t xml:space="preserve">Noteikumu 70.punkts: </w:t>
            </w:r>
          </w:p>
          <w:p w14:paraId="45CA7F76" w14:textId="5905DD69" w:rsidR="00E4143F" w:rsidRPr="00E559BF" w:rsidRDefault="00E559BF" w:rsidP="00E06104">
            <w:pPr>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t xml:space="preserve"> Kā tieši ir paredzēts, ka ieguldījumu brokeru sabiedrības izpilda šī punkta prasības </w:t>
            </w:r>
            <w:r w:rsidR="005541EE">
              <w:rPr>
                <w:rFonts w:ascii="Times New Roman" w:hAnsi="Times New Roman" w:cs="Times New Roman"/>
                <w:sz w:val="24"/>
                <w:szCs w:val="24"/>
              </w:rPr>
              <w:t>"</w:t>
            </w:r>
            <w:r w:rsidRPr="00E559BF">
              <w:rPr>
                <w:rFonts w:ascii="Times New Roman" w:hAnsi="Times New Roman" w:cs="Times New Roman"/>
                <w:sz w:val="24"/>
                <w:szCs w:val="24"/>
              </w:rPr>
              <w:t xml:space="preserve">Sabiedrība izvērtē tās darbības atbilstību risku identificēšanas un pārvaldīšanas politikās un procedūrās noteiktajam, šo politiku un procedūru </w:t>
            </w:r>
            <w:r w:rsidRPr="00E559BF">
              <w:rPr>
                <w:rFonts w:ascii="Times New Roman" w:hAnsi="Times New Roman" w:cs="Times New Roman"/>
                <w:sz w:val="24"/>
                <w:szCs w:val="24"/>
              </w:rPr>
              <w:lastRenderedPageBreak/>
              <w:t>piemērotību un efektivitāti, kā arī to pasākumu piemērotību un efektivitāti, kurus sabiedrība ir veikusi, lai novērstu šo politiku un procedūru piemērošanā atklātos trūkumus.</w:t>
            </w:r>
            <w:r w:rsidR="005541EE">
              <w:rPr>
                <w:rFonts w:ascii="Times New Roman" w:hAnsi="Times New Roman" w:cs="Times New Roman"/>
                <w:sz w:val="24"/>
                <w:szCs w:val="24"/>
              </w:rPr>
              <w:t>"</w:t>
            </w:r>
            <w:r w:rsidRPr="00E559BF">
              <w:rPr>
                <w:rFonts w:ascii="Times New Roman" w:hAnsi="Times New Roman" w:cs="Times New Roman"/>
                <w:sz w:val="24"/>
                <w:szCs w:val="24"/>
              </w:rPr>
              <w:t>? Ja ar šo tiek sagaidīts, ka Sabiedrība atsevišķi dokumentē izvērtēšanu, ar ko ir pamatota šāda nepieciešamība? Pie tam, šis punkts, šķiet, dublē prasības, kas ietvertas noteikumos Nr.227.</w:t>
            </w:r>
          </w:p>
        </w:tc>
        <w:tc>
          <w:tcPr>
            <w:tcW w:w="5389" w:type="dxa"/>
            <w:tcBorders>
              <w:top w:val="single" w:sz="4" w:space="0" w:color="auto"/>
              <w:left w:val="single" w:sz="4" w:space="0" w:color="auto"/>
              <w:bottom w:val="single" w:sz="4" w:space="0" w:color="auto"/>
              <w:right w:val="single" w:sz="4" w:space="0" w:color="auto"/>
            </w:tcBorders>
            <w:shd w:val="clear" w:color="auto" w:fill="auto"/>
          </w:tcPr>
          <w:p w14:paraId="5F0C65A6" w14:textId="413CB43B" w:rsidR="00E4143F" w:rsidRDefault="00AA0E51" w:rsidP="00E06104">
            <w:pPr>
              <w:spacing w:after="120" w:line="240" w:lineRule="auto"/>
              <w:rPr>
                <w:rFonts w:ascii="Times New Roman" w:hAnsi="Times New Roman" w:cs="Times New Roman"/>
                <w:b/>
                <w:iCs/>
                <w:sz w:val="24"/>
                <w:szCs w:val="24"/>
              </w:rPr>
            </w:pPr>
            <w:r>
              <w:rPr>
                <w:rFonts w:ascii="Times New Roman" w:hAnsi="Times New Roman" w:cs="Times New Roman"/>
                <w:b/>
                <w:iCs/>
                <w:sz w:val="24"/>
                <w:szCs w:val="24"/>
              </w:rPr>
              <w:lastRenderedPageBreak/>
              <w:t>Ņemts vērā.</w:t>
            </w:r>
          </w:p>
          <w:p w14:paraId="0488B800" w14:textId="19771700" w:rsidR="009A06B7" w:rsidRPr="009A06B7" w:rsidRDefault="00AA0E51" w:rsidP="00E06104">
            <w:pPr>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Paskaidrojam, ka p</w:t>
            </w:r>
            <w:r w:rsidR="009A06B7" w:rsidRPr="009A06B7">
              <w:rPr>
                <w:rFonts w:ascii="Times New Roman" w:hAnsi="Times New Roman" w:cs="Times New Roman"/>
                <w:bCs/>
                <w:iCs/>
                <w:sz w:val="24"/>
                <w:szCs w:val="24"/>
              </w:rPr>
              <w:t>rocedūru un politiku regulāra pārskatīšana ir viens no efektīvas pārvaldības sistēmas darbības pamatprincipiem, lai nodrošinātu to aktualitāti un atbilstību izmaiņām ārējos vai iekšējo</w:t>
            </w:r>
            <w:r w:rsidR="00E06104">
              <w:rPr>
                <w:rFonts w:ascii="Times New Roman" w:hAnsi="Times New Roman" w:cs="Times New Roman"/>
                <w:bCs/>
                <w:iCs/>
                <w:sz w:val="24"/>
                <w:szCs w:val="24"/>
              </w:rPr>
              <w:t>s</w:t>
            </w:r>
            <w:r w:rsidR="009A06B7" w:rsidRPr="009A06B7">
              <w:rPr>
                <w:rFonts w:ascii="Times New Roman" w:hAnsi="Times New Roman" w:cs="Times New Roman"/>
                <w:bCs/>
                <w:iCs/>
                <w:sz w:val="24"/>
                <w:szCs w:val="24"/>
              </w:rPr>
              <w:t xml:space="preserve"> procesos, kuri ietekmē sabiedrības darbību. Šāda procedūru un politiku pārskatīšanas dokumentēšana ietver, piemēram, </w:t>
            </w:r>
            <w:r w:rsidR="009A06B7">
              <w:rPr>
                <w:rFonts w:ascii="Times New Roman" w:hAnsi="Times New Roman" w:cs="Times New Roman"/>
                <w:bCs/>
                <w:iCs/>
                <w:sz w:val="24"/>
                <w:szCs w:val="24"/>
              </w:rPr>
              <w:t>š</w:t>
            </w:r>
            <w:r w:rsidR="00E06104">
              <w:rPr>
                <w:rFonts w:ascii="Times New Roman" w:hAnsi="Times New Roman" w:cs="Times New Roman"/>
                <w:bCs/>
                <w:iCs/>
                <w:sz w:val="24"/>
                <w:szCs w:val="24"/>
              </w:rPr>
              <w:t>ā</w:t>
            </w:r>
            <w:r w:rsidR="009A06B7">
              <w:rPr>
                <w:rFonts w:ascii="Times New Roman" w:hAnsi="Times New Roman" w:cs="Times New Roman"/>
                <w:bCs/>
                <w:iCs/>
                <w:sz w:val="24"/>
                <w:szCs w:val="24"/>
              </w:rPr>
              <w:t xml:space="preserve"> jautājuma izskatīšanu valdes vai padomes sēdē vai iekšējās kontroles funkciju sniegto </w:t>
            </w:r>
            <w:r w:rsidR="009A06B7">
              <w:rPr>
                <w:rFonts w:ascii="Times New Roman" w:hAnsi="Times New Roman" w:cs="Times New Roman"/>
                <w:bCs/>
                <w:iCs/>
                <w:sz w:val="24"/>
                <w:szCs w:val="24"/>
              </w:rPr>
              <w:lastRenderedPageBreak/>
              <w:t xml:space="preserve">rekomendāciju ieviešanu. </w:t>
            </w:r>
            <w:r>
              <w:rPr>
                <w:rFonts w:ascii="Times New Roman" w:hAnsi="Times New Roman" w:cs="Times New Roman"/>
                <w:bCs/>
                <w:iCs/>
                <w:sz w:val="24"/>
                <w:szCs w:val="24"/>
              </w:rPr>
              <w:t xml:space="preserve">Šāda prasība izriet arī no </w:t>
            </w:r>
            <w:r w:rsidRPr="00AA0E51">
              <w:rPr>
                <w:rFonts w:ascii="Times New Roman" w:hAnsi="Times New Roman" w:cs="Times New Roman"/>
                <w:bCs/>
                <w:iCs/>
                <w:sz w:val="24"/>
                <w:szCs w:val="24"/>
              </w:rPr>
              <w:t>EBA pamatnostād</w:t>
            </w:r>
            <w:r>
              <w:rPr>
                <w:rFonts w:ascii="Times New Roman" w:hAnsi="Times New Roman" w:cs="Times New Roman"/>
                <w:bCs/>
                <w:iCs/>
                <w:sz w:val="24"/>
                <w:szCs w:val="24"/>
              </w:rPr>
              <w:t>ņu</w:t>
            </w:r>
            <w:r w:rsidR="005541EE">
              <w:t> </w:t>
            </w:r>
            <w:r w:rsidR="0073454A" w:rsidRPr="0073454A">
              <w:rPr>
                <w:rFonts w:ascii="Times New Roman" w:hAnsi="Times New Roman" w:cs="Times New Roman"/>
                <w:bCs/>
                <w:iCs/>
                <w:sz w:val="24"/>
                <w:szCs w:val="24"/>
              </w:rPr>
              <w:t>EBA/GL/2021/14</w:t>
            </w:r>
            <w:r>
              <w:rPr>
                <w:rFonts w:ascii="Times New Roman" w:hAnsi="Times New Roman" w:cs="Times New Roman"/>
                <w:bCs/>
                <w:iCs/>
                <w:sz w:val="24"/>
                <w:szCs w:val="24"/>
              </w:rPr>
              <w:t xml:space="preserve"> 134. punktā noteiktā.</w:t>
            </w:r>
          </w:p>
        </w:tc>
      </w:tr>
      <w:tr w:rsidR="00E559BF" w:rsidRPr="0056522A" w14:paraId="28A301A3" w14:textId="77777777" w:rsidTr="00935455">
        <w:tc>
          <w:tcPr>
            <w:tcW w:w="0" w:type="auto"/>
            <w:tcBorders>
              <w:top w:val="single" w:sz="4" w:space="0" w:color="auto"/>
              <w:left w:val="single" w:sz="4" w:space="0" w:color="auto"/>
              <w:bottom w:val="single" w:sz="4" w:space="0" w:color="auto"/>
              <w:right w:val="single" w:sz="4" w:space="0" w:color="auto"/>
            </w:tcBorders>
          </w:tcPr>
          <w:p w14:paraId="3763FD50" w14:textId="48B775D1" w:rsidR="00E559BF" w:rsidRPr="0056522A" w:rsidRDefault="005267C2" w:rsidP="0056522A">
            <w:pPr>
              <w:spacing w:after="120" w:line="240" w:lineRule="auto"/>
              <w:ind w:left="720"/>
              <w:rPr>
                <w:rFonts w:ascii="Times New Roman" w:hAnsi="Times New Roman" w:cs="Times New Roman"/>
                <w:bCs/>
                <w:sz w:val="24"/>
                <w:szCs w:val="24"/>
              </w:rPr>
            </w:pPr>
            <w:r>
              <w:rPr>
                <w:rFonts w:ascii="Times New Roman" w:hAnsi="Times New Roman" w:cs="Times New Roman"/>
                <w:bCs/>
                <w:sz w:val="24"/>
                <w:szCs w:val="24"/>
              </w:rPr>
              <w:lastRenderedPageBreak/>
              <w:t>13.</w:t>
            </w:r>
          </w:p>
        </w:tc>
        <w:tc>
          <w:tcPr>
            <w:tcW w:w="3779" w:type="dxa"/>
            <w:tcBorders>
              <w:top w:val="single" w:sz="4" w:space="0" w:color="auto"/>
              <w:left w:val="single" w:sz="4" w:space="0" w:color="auto"/>
              <w:bottom w:val="single" w:sz="4" w:space="0" w:color="auto"/>
              <w:right w:val="single" w:sz="4" w:space="0" w:color="auto"/>
            </w:tcBorders>
            <w:shd w:val="clear" w:color="auto" w:fill="auto"/>
          </w:tcPr>
          <w:p w14:paraId="11F9AD9F" w14:textId="68AFEA41" w:rsidR="00E559BF" w:rsidRPr="0056522A" w:rsidRDefault="009A06B7" w:rsidP="00935455">
            <w:pPr>
              <w:tabs>
                <w:tab w:val="left" w:pos="448"/>
              </w:tabs>
              <w:spacing w:after="120" w:line="240" w:lineRule="auto"/>
              <w:jc w:val="both"/>
              <w:rPr>
                <w:rFonts w:ascii="Times New Roman" w:hAnsi="Times New Roman" w:cs="Times New Roman"/>
                <w:b/>
                <w:sz w:val="24"/>
                <w:szCs w:val="24"/>
              </w:rPr>
            </w:pPr>
            <w:r w:rsidRPr="009A06B7">
              <w:rPr>
                <w:rFonts w:ascii="Times New Roman" w:hAnsi="Times New Roman" w:cs="Times New Roman"/>
                <w:bCs/>
                <w:sz w:val="24"/>
                <w:szCs w:val="24"/>
              </w:rPr>
              <w:t>88.</w:t>
            </w:r>
            <w:r w:rsidRPr="009A06B7">
              <w:rPr>
                <w:rFonts w:ascii="Times New Roman" w:hAnsi="Times New Roman" w:cs="Times New Roman"/>
                <w:bCs/>
                <w:sz w:val="24"/>
                <w:szCs w:val="24"/>
              </w:rPr>
              <w:tab/>
              <w:t>Sabiedrība nodrošina, ka katru dienu tiek apstrādāti visi darījumi un katras darba dienas beigās tiek sagatavota vismaz bilance un peļņas vai zaudējumu aprēķins.</w:t>
            </w:r>
          </w:p>
        </w:tc>
        <w:tc>
          <w:tcPr>
            <w:tcW w:w="4192" w:type="dxa"/>
            <w:tcBorders>
              <w:top w:val="single" w:sz="4" w:space="0" w:color="auto"/>
              <w:left w:val="single" w:sz="4" w:space="0" w:color="auto"/>
              <w:bottom w:val="single" w:sz="4" w:space="0" w:color="auto"/>
              <w:right w:val="single" w:sz="4" w:space="0" w:color="auto"/>
            </w:tcBorders>
            <w:shd w:val="clear" w:color="auto" w:fill="auto"/>
          </w:tcPr>
          <w:p w14:paraId="2772F5E1" w14:textId="2A238417" w:rsidR="00AF1CDB" w:rsidRDefault="0067587D" w:rsidP="00E06104">
            <w:pPr>
              <w:spacing w:after="120" w:line="240" w:lineRule="auto"/>
              <w:rPr>
                <w:rFonts w:ascii="Times New Roman" w:hAnsi="Times New Roman" w:cs="Times New Roman"/>
                <w:b/>
                <w:bCs/>
                <w:sz w:val="24"/>
                <w:szCs w:val="24"/>
              </w:rPr>
            </w:pPr>
            <w:r>
              <w:rPr>
                <w:rFonts w:ascii="Times New Roman" w:hAnsi="Times New Roman" w:cs="Times New Roman"/>
                <w:b/>
                <w:bCs/>
                <w:sz w:val="24"/>
                <w:szCs w:val="24"/>
              </w:rPr>
              <w:t>AS </w:t>
            </w:r>
            <w:proofErr w:type="spellStart"/>
            <w:r w:rsidR="00AF1CDB" w:rsidRPr="00E4143F">
              <w:rPr>
                <w:rFonts w:ascii="Times New Roman" w:hAnsi="Times New Roman" w:cs="Times New Roman"/>
                <w:b/>
                <w:bCs/>
                <w:sz w:val="24"/>
                <w:szCs w:val="24"/>
              </w:rPr>
              <w:t>Mintos</w:t>
            </w:r>
            <w:proofErr w:type="spellEnd"/>
            <w:r w:rsidR="00AF1CDB" w:rsidRPr="00E4143F">
              <w:rPr>
                <w:rFonts w:ascii="Times New Roman" w:hAnsi="Times New Roman" w:cs="Times New Roman"/>
                <w:b/>
                <w:bCs/>
                <w:sz w:val="24"/>
                <w:szCs w:val="24"/>
              </w:rPr>
              <w:t xml:space="preserve"> Marketplace</w:t>
            </w:r>
          </w:p>
          <w:p w14:paraId="68729F19" w14:textId="77777777" w:rsidR="00E559BF" w:rsidRPr="00E559BF" w:rsidRDefault="00E559BF" w:rsidP="00935455">
            <w:pPr>
              <w:tabs>
                <w:tab w:val="left" w:pos="403"/>
              </w:tabs>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t>13.</w:t>
            </w:r>
            <w:r w:rsidRPr="00E559BF">
              <w:rPr>
                <w:rFonts w:ascii="Times New Roman" w:hAnsi="Times New Roman" w:cs="Times New Roman"/>
                <w:sz w:val="24"/>
                <w:szCs w:val="24"/>
              </w:rPr>
              <w:tab/>
              <w:t xml:space="preserve">Noteikumu 88.punkts: </w:t>
            </w:r>
          </w:p>
          <w:p w14:paraId="32867225" w14:textId="059A632C" w:rsidR="00E559BF" w:rsidRPr="00E559BF" w:rsidRDefault="00E559BF" w:rsidP="00E06104">
            <w:pPr>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t>Esošā redakcija analoģiskā punktā nosaka, ka ir nepieciešams dienas beigā</w:t>
            </w:r>
            <w:r w:rsidR="0073454A">
              <w:rPr>
                <w:rFonts w:ascii="Times New Roman" w:hAnsi="Times New Roman" w:cs="Times New Roman"/>
                <w:sz w:val="24"/>
                <w:szCs w:val="24"/>
              </w:rPr>
              <w:t>s</w:t>
            </w:r>
            <w:r w:rsidRPr="00E559BF">
              <w:rPr>
                <w:rFonts w:ascii="Times New Roman" w:hAnsi="Times New Roman" w:cs="Times New Roman"/>
                <w:sz w:val="24"/>
                <w:szCs w:val="24"/>
              </w:rPr>
              <w:t xml:space="preserve"> sagatavot bilanci. Jaunā redakcija nosaka, ka ir nepieciešams sagatavot </w:t>
            </w:r>
            <w:r w:rsidR="005541EE">
              <w:rPr>
                <w:rFonts w:ascii="Times New Roman" w:hAnsi="Times New Roman" w:cs="Times New Roman"/>
                <w:sz w:val="24"/>
                <w:szCs w:val="24"/>
              </w:rPr>
              <w:t>"</w:t>
            </w:r>
            <w:r w:rsidRPr="0073454A">
              <w:rPr>
                <w:rFonts w:ascii="Times New Roman" w:hAnsi="Times New Roman" w:cs="Times New Roman"/>
                <w:sz w:val="24"/>
                <w:szCs w:val="24"/>
              </w:rPr>
              <w:t>vismaz</w:t>
            </w:r>
            <w:r w:rsidR="005541EE">
              <w:rPr>
                <w:rFonts w:ascii="Times New Roman" w:hAnsi="Times New Roman" w:cs="Times New Roman"/>
                <w:sz w:val="24"/>
                <w:szCs w:val="24"/>
              </w:rPr>
              <w:t>"</w:t>
            </w:r>
            <w:r w:rsidRPr="00E559BF">
              <w:rPr>
                <w:rFonts w:ascii="Times New Roman" w:hAnsi="Times New Roman" w:cs="Times New Roman"/>
                <w:sz w:val="24"/>
                <w:szCs w:val="24"/>
              </w:rPr>
              <w:t xml:space="preserve"> bilanci un peļņas un zaudējumu aprēķinu katras dienas beigās. Aicinām izvērtēt samērīgumu šādi formulēt prasības ieguldījumu brokeru sabiedrībām attiecībām uz katru dienu veicamajām darbībām.</w:t>
            </w:r>
          </w:p>
        </w:tc>
        <w:tc>
          <w:tcPr>
            <w:tcW w:w="5389" w:type="dxa"/>
            <w:tcBorders>
              <w:top w:val="single" w:sz="4" w:space="0" w:color="auto"/>
              <w:left w:val="single" w:sz="4" w:space="0" w:color="auto"/>
              <w:bottom w:val="single" w:sz="4" w:space="0" w:color="auto"/>
              <w:right w:val="single" w:sz="4" w:space="0" w:color="auto"/>
            </w:tcBorders>
            <w:shd w:val="clear" w:color="auto" w:fill="auto"/>
          </w:tcPr>
          <w:p w14:paraId="11C0F717" w14:textId="3E0B1254" w:rsidR="00E559BF" w:rsidRPr="00015A06" w:rsidRDefault="00256264" w:rsidP="00E06104">
            <w:pPr>
              <w:spacing w:after="120" w:line="240" w:lineRule="auto"/>
              <w:rPr>
                <w:rFonts w:ascii="Times New Roman" w:hAnsi="Times New Roman" w:cs="Times New Roman"/>
                <w:b/>
                <w:iCs/>
                <w:sz w:val="24"/>
                <w:szCs w:val="24"/>
              </w:rPr>
            </w:pPr>
            <w:r>
              <w:rPr>
                <w:rFonts w:ascii="Times New Roman" w:hAnsi="Times New Roman" w:cs="Times New Roman"/>
                <w:b/>
                <w:iCs/>
                <w:sz w:val="24"/>
                <w:szCs w:val="24"/>
              </w:rPr>
              <w:t>Ņ</w:t>
            </w:r>
            <w:r w:rsidR="00AA0E51" w:rsidRPr="00015A06">
              <w:rPr>
                <w:rFonts w:ascii="Times New Roman" w:hAnsi="Times New Roman" w:cs="Times New Roman"/>
                <w:b/>
                <w:iCs/>
                <w:sz w:val="24"/>
                <w:szCs w:val="24"/>
              </w:rPr>
              <w:t>emts vērā.</w:t>
            </w:r>
          </w:p>
          <w:p w14:paraId="000D90C9" w14:textId="77777777" w:rsidR="00D30457" w:rsidRDefault="00C663E9" w:rsidP="00E06104">
            <w:pPr>
              <w:spacing w:after="120" w:line="240" w:lineRule="auto"/>
              <w:jc w:val="both"/>
              <w:rPr>
                <w:rFonts w:ascii="Times New Roman" w:hAnsi="Times New Roman" w:cs="Times New Roman"/>
                <w:bCs/>
                <w:iCs/>
                <w:sz w:val="24"/>
                <w:szCs w:val="24"/>
              </w:rPr>
            </w:pPr>
            <w:r w:rsidRPr="00015A06">
              <w:rPr>
                <w:rFonts w:ascii="Times New Roman" w:hAnsi="Times New Roman" w:cs="Times New Roman"/>
                <w:bCs/>
                <w:iCs/>
                <w:sz w:val="24"/>
                <w:szCs w:val="24"/>
              </w:rPr>
              <w:t xml:space="preserve">Paskaidrojam, ka sabiedrības bilance sniedz informāciju par sabiedrības aktīviem, saistībām un pašu kapitālu noteiktā brīdī, bet peļņas </w:t>
            </w:r>
            <w:r w:rsidR="00E06104">
              <w:rPr>
                <w:rFonts w:ascii="Times New Roman" w:hAnsi="Times New Roman" w:cs="Times New Roman"/>
                <w:bCs/>
                <w:iCs/>
                <w:sz w:val="24"/>
                <w:szCs w:val="24"/>
              </w:rPr>
              <w:t>vai</w:t>
            </w:r>
            <w:r w:rsidRPr="00015A06">
              <w:rPr>
                <w:rFonts w:ascii="Times New Roman" w:hAnsi="Times New Roman" w:cs="Times New Roman"/>
                <w:bCs/>
                <w:iCs/>
                <w:sz w:val="24"/>
                <w:szCs w:val="24"/>
              </w:rPr>
              <w:t xml:space="preserve"> zaudējumu aprēķins atspoguļo sabiedrības finansiālo sniegumu noteiktā laika periodā un abi šie finanšu pārskati ir savstarpēji saistīti un kopā </w:t>
            </w:r>
            <w:r w:rsidR="00935455">
              <w:rPr>
                <w:rFonts w:ascii="Times New Roman" w:hAnsi="Times New Roman" w:cs="Times New Roman"/>
                <w:bCs/>
                <w:iCs/>
                <w:sz w:val="24"/>
                <w:szCs w:val="24"/>
              </w:rPr>
              <w:t>atspoguļo</w:t>
            </w:r>
            <w:r w:rsidR="00935455" w:rsidRPr="00015A06">
              <w:rPr>
                <w:rFonts w:ascii="Times New Roman" w:hAnsi="Times New Roman" w:cs="Times New Roman"/>
                <w:bCs/>
                <w:iCs/>
                <w:sz w:val="24"/>
                <w:szCs w:val="24"/>
              </w:rPr>
              <w:t xml:space="preserve"> </w:t>
            </w:r>
            <w:r w:rsidRPr="00015A06">
              <w:rPr>
                <w:rFonts w:ascii="Times New Roman" w:hAnsi="Times New Roman" w:cs="Times New Roman"/>
                <w:bCs/>
                <w:iCs/>
                <w:sz w:val="24"/>
                <w:szCs w:val="24"/>
              </w:rPr>
              <w:t>pilnīgu sabiedrības finansiālā stāvokļa ainu</w:t>
            </w:r>
            <w:r w:rsidR="001F5C3D">
              <w:rPr>
                <w:rFonts w:ascii="Times New Roman" w:hAnsi="Times New Roman" w:cs="Times New Roman"/>
                <w:bCs/>
                <w:iCs/>
                <w:sz w:val="24"/>
                <w:szCs w:val="24"/>
              </w:rPr>
              <w:t>. T</w:t>
            </w:r>
            <w:r w:rsidR="00DB7E60">
              <w:rPr>
                <w:rFonts w:ascii="Times New Roman" w:hAnsi="Times New Roman" w:cs="Times New Roman"/>
                <w:bCs/>
                <w:iCs/>
                <w:sz w:val="24"/>
                <w:szCs w:val="24"/>
              </w:rPr>
              <w:t xml:space="preserve">ādēļ noteikumu projekts papildināts ar atsauci uz peļņas </w:t>
            </w:r>
            <w:r w:rsidR="00E06104">
              <w:rPr>
                <w:rFonts w:ascii="Times New Roman" w:hAnsi="Times New Roman" w:cs="Times New Roman"/>
                <w:bCs/>
                <w:iCs/>
                <w:sz w:val="24"/>
                <w:szCs w:val="24"/>
              </w:rPr>
              <w:t>vai</w:t>
            </w:r>
            <w:r w:rsidR="00DB7E60">
              <w:rPr>
                <w:rFonts w:ascii="Times New Roman" w:hAnsi="Times New Roman" w:cs="Times New Roman"/>
                <w:bCs/>
                <w:iCs/>
                <w:sz w:val="24"/>
                <w:szCs w:val="24"/>
              </w:rPr>
              <w:t xml:space="preserve"> zaudējumu aprēķinu</w:t>
            </w:r>
            <w:r w:rsidR="00256264">
              <w:rPr>
                <w:rFonts w:ascii="Times New Roman" w:hAnsi="Times New Roman" w:cs="Times New Roman"/>
                <w:bCs/>
                <w:iCs/>
                <w:sz w:val="24"/>
                <w:szCs w:val="24"/>
              </w:rPr>
              <w:t>, norādot, ka tiek sagatavots kopsavilkums</w:t>
            </w:r>
            <w:r w:rsidRPr="00015A06">
              <w:rPr>
                <w:rFonts w:ascii="Times New Roman" w:hAnsi="Times New Roman" w:cs="Times New Roman"/>
                <w:bCs/>
                <w:iCs/>
                <w:sz w:val="24"/>
                <w:szCs w:val="24"/>
              </w:rPr>
              <w:t>.</w:t>
            </w:r>
          </w:p>
          <w:p w14:paraId="4EE7EB6F" w14:textId="42651495" w:rsidR="00256264" w:rsidRDefault="00256264" w:rsidP="00E06104">
            <w:pPr>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8</w:t>
            </w:r>
            <w:r w:rsidR="004841C0">
              <w:rPr>
                <w:rFonts w:ascii="Times New Roman" w:hAnsi="Times New Roman" w:cs="Times New Roman"/>
                <w:bCs/>
                <w:iCs/>
                <w:sz w:val="24"/>
                <w:szCs w:val="24"/>
              </w:rPr>
              <w:t>7</w:t>
            </w:r>
            <w:r w:rsidRPr="00256264">
              <w:rPr>
                <w:rFonts w:ascii="Times New Roman" w:hAnsi="Times New Roman" w:cs="Times New Roman"/>
                <w:bCs/>
                <w:iCs/>
                <w:sz w:val="24"/>
                <w:szCs w:val="24"/>
              </w:rPr>
              <w:t>. punkts izteikts jaunā redakcijā:</w:t>
            </w:r>
          </w:p>
          <w:p w14:paraId="6AD5D6EC" w14:textId="72BAAEE1" w:rsidR="00256264" w:rsidRPr="00015A06" w:rsidRDefault="00256264" w:rsidP="006A3717">
            <w:pPr>
              <w:tabs>
                <w:tab w:val="left" w:pos="432"/>
              </w:tabs>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w:t>
            </w:r>
            <w:r w:rsidRPr="00256264">
              <w:rPr>
                <w:rFonts w:ascii="Times New Roman" w:hAnsi="Times New Roman" w:cs="Times New Roman"/>
                <w:bCs/>
                <w:iCs/>
                <w:sz w:val="24"/>
                <w:szCs w:val="24"/>
              </w:rPr>
              <w:t>8</w:t>
            </w:r>
            <w:r w:rsidR="004841C0">
              <w:rPr>
                <w:rFonts w:ascii="Times New Roman" w:hAnsi="Times New Roman" w:cs="Times New Roman"/>
                <w:bCs/>
                <w:iCs/>
                <w:sz w:val="24"/>
                <w:szCs w:val="24"/>
              </w:rPr>
              <w:t>7</w:t>
            </w:r>
            <w:r w:rsidRPr="00256264">
              <w:rPr>
                <w:rFonts w:ascii="Times New Roman" w:hAnsi="Times New Roman" w:cs="Times New Roman"/>
                <w:bCs/>
                <w:iCs/>
                <w:sz w:val="24"/>
                <w:szCs w:val="24"/>
              </w:rPr>
              <w:t>.</w:t>
            </w:r>
            <w:r w:rsidRPr="00256264">
              <w:rPr>
                <w:rFonts w:ascii="Times New Roman" w:hAnsi="Times New Roman" w:cs="Times New Roman"/>
                <w:bCs/>
                <w:iCs/>
                <w:sz w:val="24"/>
                <w:szCs w:val="24"/>
              </w:rPr>
              <w:tab/>
              <w:t>Sabiedrība nodrošina, ka katru dienu tiek apstrādāti visi darījumi un katras darba dienas beigās tiek sagatavota vismaz bilance un peļņas vai zaudējumu aprēķin</w:t>
            </w:r>
            <w:r w:rsidR="004B4022">
              <w:rPr>
                <w:rFonts w:ascii="Times New Roman" w:hAnsi="Times New Roman" w:cs="Times New Roman"/>
                <w:bCs/>
                <w:iCs/>
                <w:sz w:val="24"/>
                <w:szCs w:val="24"/>
              </w:rPr>
              <w:t>a kopsavilkum</w:t>
            </w:r>
            <w:r w:rsidRPr="00256264">
              <w:rPr>
                <w:rFonts w:ascii="Times New Roman" w:hAnsi="Times New Roman" w:cs="Times New Roman"/>
                <w:bCs/>
                <w:iCs/>
                <w:sz w:val="24"/>
                <w:szCs w:val="24"/>
              </w:rPr>
              <w:t>s.</w:t>
            </w:r>
            <w:r w:rsidR="004B4022">
              <w:rPr>
                <w:rFonts w:ascii="Times New Roman" w:hAnsi="Times New Roman" w:cs="Times New Roman"/>
                <w:bCs/>
                <w:iCs/>
                <w:sz w:val="24"/>
                <w:szCs w:val="24"/>
              </w:rPr>
              <w:t>"</w:t>
            </w:r>
          </w:p>
        </w:tc>
      </w:tr>
      <w:tr w:rsidR="00E559BF" w:rsidRPr="0056522A" w14:paraId="01F8CACC" w14:textId="77777777" w:rsidTr="00935455">
        <w:tc>
          <w:tcPr>
            <w:tcW w:w="0" w:type="auto"/>
            <w:tcBorders>
              <w:top w:val="single" w:sz="4" w:space="0" w:color="auto"/>
              <w:left w:val="single" w:sz="4" w:space="0" w:color="auto"/>
              <w:bottom w:val="single" w:sz="4" w:space="0" w:color="auto"/>
              <w:right w:val="single" w:sz="4" w:space="0" w:color="auto"/>
            </w:tcBorders>
          </w:tcPr>
          <w:p w14:paraId="6DCE35E6" w14:textId="2C0C7264" w:rsidR="00E559BF" w:rsidRPr="0056522A" w:rsidRDefault="005267C2" w:rsidP="0056522A">
            <w:pPr>
              <w:spacing w:after="120" w:line="240" w:lineRule="auto"/>
              <w:ind w:left="720"/>
              <w:rPr>
                <w:rFonts w:ascii="Times New Roman" w:hAnsi="Times New Roman" w:cs="Times New Roman"/>
                <w:bCs/>
                <w:sz w:val="24"/>
                <w:szCs w:val="24"/>
              </w:rPr>
            </w:pPr>
            <w:r>
              <w:rPr>
                <w:rFonts w:ascii="Times New Roman" w:hAnsi="Times New Roman" w:cs="Times New Roman"/>
                <w:bCs/>
                <w:sz w:val="24"/>
                <w:szCs w:val="24"/>
              </w:rPr>
              <w:t>14.</w:t>
            </w:r>
          </w:p>
        </w:tc>
        <w:tc>
          <w:tcPr>
            <w:tcW w:w="3779" w:type="dxa"/>
            <w:tcBorders>
              <w:top w:val="single" w:sz="4" w:space="0" w:color="auto"/>
              <w:left w:val="single" w:sz="4" w:space="0" w:color="auto"/>
              <w:bottom w:val="single" w:sz="4" w:space="0" w:color="auto"/>
              <w:right w:val="single" w:sz="4" w:space="0" w:color="auto"/>
            </w:tcBorders>
            <w:shd w:val="clear" w:color="auto" w:fill="auto"/>
          </w:tcPr>
          <w:p w14:paraId="4462C869" w14:textId="77777777" w:rsidR="009561E7" w:rsidRPr="009561E7" w:rsidRDefault="009561E7" w:rsidP="00935455">
            <w:pPr>
              <w:tabs>
                <w:tab w:val="left" w:pos="494"/>
              </w:tabs>
              <w:spacing w:after="120" w:line="240" w:lineRule="auto"/>
              <w:jc w:val="both"/>
              <w:rPr>
                <w:rFonts w:ascii="Times New Roman" w:hAnsi="Times New Roman" w:cs="Times New Roman"/>
                <w:bCs/>
                <w:sz w:val="24"/>
                <w:szCs w:val="24"/>
              </w:rPr>
            </w:pPr>
            <w:r w:rsidRPr="009561E7">
              <w:rPr>
                <w:rFonts w:ascii="Times New Roman" w:hAnsi="Times New Roman" w:cs="Times New Roman"/>
                <w:bCs/>
                <w:sz w:val="24"/>
                <w:szCs w:val="24"/>
              </w:rPr>
              <w:t>90.</w:t>
            </w:r>
            <w:r w:rsidRPr="009561E7">
              <w:rPr>
                <w:rFonts w:ascii="Times New Roman" w:hAnsi="Times New Roman" w:cs="Times New Roman"/>
                <w:bCs/>
                <w:sz w:val="24"/>
                <w:szCs w:val="24"/>
              </w:rPr>
              <w:tab/>
              <w:t>Vadības informācija aptver vismaz:</w:t>
            </w:r>
          </w:p>
          <w:p w14:paraId="1CAF2E2D" w14:textId="77777777" w:rsidR="009561E7" w:rsidRPr="009561E7" w:rsidRDefault="009561E7" w:rsidP="00935455">
            <w:pPr>
              <w:tabs>
                <w:tab w:val="left" w:pos="636"/>
              </w:tabs>
              <w:spacing w:after="120" w:line="240" w:lineRule="auto"/>
              <w:jc w:val="both"/>
              <w:rPr>
                <w:rFonts w:ascii="Times New Roman" w:hAnsi="Times New Roman" w:cs="Times New Roman"/>
                <w:bCs/>
                <w:sz w:val="24"/>
                <w:szCs w:val="24"/>
              </w:rPr>
            </w:pPr>
            <w:r w:rsidRPr="009561E7">
              <w:rPr>
                <w:rFonts w:ascii="Times New Roman" w:hAnsi="Times New Roman" w:cs="Times New Roman"/>
                <w:bCs/>
                <w:sz w:val="24"/>
                <w:szCs w:val="24"/>
              </w:rPr>
              <w:t>90.1.</w:t>
            </w:r>
            <w:r w:rsidRPr="009561E7">
              <w:rPr>
                <w:rFonts w:ascii="Times New Roman" w:hAnsi="Times New Roman" w:cs="Times New Roman"/>
                <w:bCs/>
                <w:sz w:val="24"/>
                <w:szCs w:val="24"/>
              </w:rPr>
              <w:tab/>
              <w:t xml:space="preserve">sabiedrības pašreizējo stāvokli un darbības rezultātus salīdzinājumā </w:t>
            </w:r>
            <w:r w:rsidRPr="009561E7">
              <w:rPr>
                <w:rFonts w:ascii="Times New Roman" w:hAnsi="Times New Roman" w:cs="Times New Roman"/>
                <w:bCs/>
                <w:sz w:val="24"/>
                <w:szCs w:val="24"/>
              </w:rPr>
              <w:lastRenderedPageBreak/>
              <w:t>ar iepriekšējiem periodiem un darbības plāna šo noteikumu 12. punkta izpratnē rādītājiem;</w:t>
            </w:r>
          </w:p>
          <w:p w14:paraId="1AF6B65D" w14:textId="078B3983" w:rsidR="00E559BF" w:rsidRPr="0056522A" w:rsidRDefault="009561E7" w:rsidP="00935455">
            <w:pPr>
              <w:tabs>
                <w:tab w:val="left" w:pos="636"/>
              </w:tabs>
              <w:spacing w:after="120" w:line="240" w:lineRule="auto"/>
              <w:jc w:val="both"/>
              <w:rPr>
                <w:rFonts w:ascii="Times New Roman" w:hAnsi="Times New Roman" w:cs="Times New Roman"/>
                <w:b/>
                <w:sz w:val="24"/>
                <w:szCs w:val="24"/>
              </w:rPr>
            </w:pPr>
            <w:r w:rsidRPr="009561E7">
              <w:rPr>
                <w:rFonts w:ascii="Times New Roman" w:hAnsi="Times New Roman" w:cs="Times New Roman"/>
                <w:bCs/>
                <w:sz w:val="24"/>
                <w:szCs w:val="24"/>
              </w:rPr>
              <w:t>90.2.</w:t>
            </w:r>
            <w:r w:rsidRPr="009561E7">
              <w:rPr>
                <w:rFonts w:ascii="Times New Roman" w:hAnsi="Times New Roman" w:cs="Times New Roman"/>
                <w:bCs/>
                <w:sz w:val="24"/>
                <w:szCs w:val="24"/>
              </w:rPr>
              <w:tab/>
              <w:t>aktīvu, pasīvu un ārpusbilances posteņu analīzi, norādot, kā tie ir novērtēti;</w:t>
            </w:r>
          </w:p>
        </w:tc>
        <w:tc>
          <w:tcPr>
            <w:tcW w:w="4192" w:type="dxa"/>
            <w:tcBorders>
              <w:top w:val="single" w:sz="4" w:space="0" w:color="auto"/>
              <w:left w:val="single" w:sz="4" w:space="0" w:color="auto"/>
              <w:bottom w:val="single" w:sz="4" w:space="0" w:color="auto"/>
              <w:right w:val="single" w:sz="4" w:space="0" w:color="auto"/>
            </w:tcBorders>
            <w:shd w:val="clear" w:color="auto" w:fill="auto"/>
          </w:tcPr>
          <w:p w14:paraId="2C1B3EAE" w14:textId="3332B5BC" w:rsidR="00AF1CDB" w:rsidRDefault="0067587D" w:rsidP="00E06104">
            <w:pPr>
              <w:spacing w:after="120" w:line="240" w:lineRule="auto"/>
              <w:rPr>
                <w:rFonts w:ascii="Times New Roman" w:hAnsi="Times New Roman" w:cs="Times New Roman"/>
                <w:b/>
                <w:bCs/>
                <w:sz w:val="24"/>
                <w:szCs w:val="24"/>
              </w:rPr>
            </w:pPr>
            <w:r w:rsidRPr="00935455">
              <w:rPr>
                <w:rFonts w:ascii="Times New Roman" w:hAnsi="Times New Roman" w:cs="Times New Roman"/>
                <w:b/>
                <w:bCs/>
                <w:sz w:val="24"/>
                <w:szCs w:val="24"/>
              </w:rPr>
              <w:lastRenderedPageBreak/>
              <w:t>AS </w:t>
            </w:r>
            <w:proofErr w:type="spellStart"/>
            <w:r w:rsidR="00AF1CDB" w:rsidRPr="00E4143F">
              <w:rPr>
                <w:rFonts w:ascii="Times New Roman" w:hAnsi="Times New Roman" w:cs="Times New Roman"/>
                <w:b/>
                <w:bCs/>
                <w:sz w:val="24"/>
                <w:szCs w:val="24"/>
              </w:rPr>
              <w:t>Mintos</w:t>
            </w:r>
            <w:proofErr w:type="spellEnd"/>
            <w:r w:rsidR="00AF1CDB" w:rsidRPr="00E4143F">
              <w:rPr>
                <w:rFonts w:ascii="Times New Roman" w:hAnsi="Times New Roman" w:cs="Times New Roman"/>
                <w:b/>
                <w:bCs/>
                <w:sz w:val="24"/>
                <w:szCs w:val="24"/>
              </w:rPr>
              <w:t xml:space="preserve"> Marketplace</w:t>
            </w:r>
          </w:p>
          <w:p w14:paraId="4132F22D" w14:textId="2DB411CA" w:rsidR="00E559BF" w:rsidRPr="00E559BF" w:rsidRDefault="00E559BF" w:rsidP="00935455">
            <w:pPr>
              <w:tabs>
                <w:tab w:val="left" w:pos="403"/>
              </w:tabs>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t>14.</w:t>
            </w:r>
            <w:r w:rsidRPr="00E559BF">
              <w:rPr>
                <w:rFonts w:ascii="Times New Roman" w:hAnsi="Times New Roman" w:cs="Times New Roman"/>
                <w:sz w:val="24"/>
                <w:szCs w:val="24"/>
              </w:rPr>
              <w:tab/>
              <w:t xml:space="preserve">Noteikumu 90.2.punkts: </w:t>
            </w:r>
          </w:p>
          <w:p w14:paraId="05BEC05E" w14:textId="44BB3CA6" w:rsidR="00E559BF" w:rsidRPr="00E559BF" w:rsidRDefault="00E559BF" w:rsidP="00E06104">
            <w:pPr>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lastRenderedPageBreak/>
              <w:t xml:space="preserve">Punktā tiek lietots termins </w:t>
            </w:r>
            <w:r w:rsidR="005541EE">
              <w:rPr>
                <w:rFonts w:ascii="Times New Roman" w:hAnsi="Times New Roman" w:cs="Times New Roman"/>
                <w:sz w:val="24"/>
                <w:szCs w:val="24"/>
              </w:rPr>
              <w:t>"</w:t>
            </w:r>
            <w:r w:rsidRPr="00E559BF">
              <w:rPr>
                <w:rFonts w:ascii="Times New Roman" w:hAnsi="Times New Roman" w:cs="Times New Roman"/>
                <w:sz w:val="24"/>
                <w:szCs w:val="24"/>
              </w:rPr>
              <w:t>analīze</w:t>
            </w:r>
            <w:r w:rsidR="005541EE">
              <w:rPr>
                <w:rFonts w:ascii="Times New Roman" w:hAnsi="Times New Roman" w:cs="Times New Roman"/>
                <w:sz w:val="24"/>
                <w:szCs w:val="24"/>
              </w:rPr>
              <w:t>"</w:t>
            </w:r>
            <w:r w:rsidRPr="00E559BF">
              <w:rPr>
                <w:rFonts w:ascii="Times New Roman" w:hAnsi="Times New Roman" w:cs="Times New Roman"/>
                <w:sz w:val="24"/>
                <w:szCs w:val="24"/>
              </w:rPr>
              <w:t xml:space="preserve">, kā arī citur tāds sastopams. Būtu pateicīgi par Latvijas Bankas skaidrojumu, kas ir saprotams ar </w:t>
            </w:r>
            <w:r w:rsidR="005541EE">
              <w:rPr>
                <w:rFonts w:ascii="Times New Roman" w:hAnsi="Times New Roman" w:cs="Times New Roman"/>
                <w:sz w:val="24"/>
                <w:szCs w:val="24"/>
              </w:rPr>
              <w:t>"</w:t>
            </w:r>
            <w:r w:rsidRPr="00E559BF">
              <w:rPr>
                <w:rFonts w:ascii="Times New Roman" w:hAnsi="Times New Roman" w:cs="Times New Roman"/>
                <w:sz w:val="24"/>
                <w:szCs w:val="24"/>
              </w:rPr>
              <w:t>analīzi</w:t>
            </w:r>
            <w:r w:rsidR="005541EE">
              <w:rPr>
                <w:rFonts w:ascii="Times New Roman" w:hAnsi="Times New Roman" w:cs="Times New Roman"/>
                <w:sz w:val="24"/>
                <w:szCs w:val="24"/>
              </w:rPr>
              <w:t>"</w:t>
            </w:r>
            <w:r w:rsidRPr="00E559BF">
              <w:rPr>
                <w:rFonts w:ascii="Times New Roman" w:hAnsi="Times New Roman" w:cs="Times New Roman"/>
                <w:sz w:val="24"/>
                <w:szCs w:val="24"/>
              </w:rPr>
              <w:t>, lai būtu skaidrāks, kā šī prasība būtu izpildāma.</w:t>
            </w:r>
          </w:p>
        </w:tc>
        <w:tc>
          <w:tcPr>
            <w:tcW w:w="5389" w:type="dxa"/>
            <w:tcBorders>
              <w:top w:val="single" w:sz="4" w:space="0" w:color="auto"/>
              <w:left w:val="single" w:sz="4" w:space="0" w:color="auto"/>
              <w:bottom w:val="single" w:sz="4" w:space="0" w:color="auto"/>
              <w:right w:val="single" w:sz="4" w:space="0" w:color="auto"/>
            </w:tcBorders>
            <w:shd w:val="clear" w:color="auto" w:fill="auto"/>
          </w:tcPr>
          <w:p w14:paraId="2F4E6A3B" w14:textId="77777777" w:rsidR="00D30457" w:rsidRDefault="00D30457" w:rsidP="00E06104">
            <w:pPr>
              <w:spacing w:after="120" w:line="240" w:lineRule="auto"/>
              <w:rPr>
                <w:rFonts w:ascii="Times New Roman" w:hAnsi="Times New Roman" w:cs="Times New Roman"/>
                <w:b/>
                <w:iCs/>
                <w:sz w:val="24"/>
                <w:szCs w:val="24"/>
              </w:rPr>
            </w:pPr>
            <w:r>
              <w:rPr>
                <w:rFonts w:ascii="Times New Roman" w:hAnsi="Times New Roman" w:cs="Times New Roman"/>
                <w:b/>
                <w:iCs/>
                <w:sz w:val="24"/>
                <w:szCs w:val="24"/>
              </w:rPr>
              <w:lastRenderedPageBreak/>
              <w:t>Ņemts vērā.</w:t>
            </w:r>
          </w:p>
          <w:p w14:paraId="01E67A91" w14:textId="22C6BC76" w:rsidR="00E559BF" w:rsidRPr="009561E7" w:rsidRDefault="00D30457" w:rsidP="00E06104">
            <w:pPr>
              <w:spacing w:after="120" w:line="240" w:lineRule="auto"/>
              <w:jc w:val="both"/>
              <w:rPr>
                <w:rFonts w:ascii="Times New Roman" w:hAnsi="Times New Roman" w:cs="Times New Roman"/>
                <w:bCs/>
                <w:iCs/>
                <w:sz w:val="24"/>
                <w:szCs w:val="24"/>
              </w:rPr>
            </w:pPr>
            <w:r w:rsidRPr="00015A06">
              <w:rPr>
                <w:rFonts w:ascii="Times New Roman" w:hAnsi="Times New Roman" w:cs="Times New Roman"/>
                <w:bCs/>
                <w:iCs/>
                <w:sz w:val="24"/>
                <w:szCs w:val="24"/>
              </w:rPr>
              <w:t>Paskaidrojam, ka</w:t>
            </w:r>
            <w:r>
              <w:rPr>
                <w:rFonts w:ascii="Times New Roman" w:hAnsi="Times New Roman" w:cs="Times New Roman"/>
                <w:bCs/>
                <w:iCs/>
                <w:sz w:val="24"/>
                <w:szCs w:val="24"/>
              </w:rPr>
              <w:t xml:space="preserve"> analīze ietver </w:t>
            </w:r>
            <w:r w:rsidR="009561E7" w:rsidRPr="00D30457">
              <w:rPr>
                <w:rFonts w:ascii="Times New Roman" w:hAnsi="Times New Roman" w:cs="Times New Roman"/>
                <w:bCs/>
                <w:iCs/>
                <w:sz w:val="24"/>
                <w:szCs w:val="24"/>
              </w:rPr>
              <w:t xml:space="preserve">aktīvu, pasīvu un ārpusbilances posteņu </w:t>
            </w:r>
            <w:r>
              <w:rPr>
                <w:rFonts w:ascii="Times New Roman" w:hAnsi="Times New Roman" w:cs="Times New Roman"/>
                <w:bCs/>
                <w:iCs/>
                <w:sz w:val="24"/>
                <w:szCs w:val="24"/>
              </w:rPr>
              <w:t>izmaiņas un šo izmaiņu</w:t>
            </w:r>
            <w:r w:rsidR="009561E7" w:rsidRPr="00D30457">
              <w:rPr>
                <w:rFonts w:ascii="Times New Roman" w:hAnsi="Times New Roman" w:cs="Times New Roman"/>
                <w:bCs/>
                <w:iCs/>
                <w:sz w:val="24"/>
                <w:szCs w:val="24"/>
              </w:rPr>
              <w:t xml:space="preserve"> novērtē</w:t>
            </w:r>
            <w:r>
              <w:rPr>
                <w:rFonts w:ascii="Times New Roman" w:hAnsi="Times New Roman" w:cs="Times New Roman"/>
                <w:bCs/>
                <w:iCs/>
                <w:sz w:val="24"/>
                <w:szCs w:val="24"/>
              </w:rPr>
              <w:t>jumu</w:t>
            </w:r>
            <w:r w:rsidR="00645DCF">
              <w:rPr>
                <w:rFonts w:ascii="Times New Roman" w:hAnsi="Times New Roman" w:cs="Times New Roman"/>
                <w:bCs/>
                <w:iCs/>
                <w:sz w:val="24"/>
                <w:szCs w:val="24"/>
              </w:rPr>
              <w:t xml:space="preserve">, lai sabiedrība varētu </w:t>
            </w:r>
            <w:r w:rsidR="00645DCF" w:rsidRPr="00645DCF">
              <w:rPr>
                <w:rFonts w:ascii="Times New Roman" w:hAnsi="Times New Roman" w:cs="Times New Roman"/>
                <w:bCs/>
                <w:iCs/>
                <w:sz w:val="24"/>
                <w:szCs w:val="24"/>
              </w:rPr>
              <w:t xml:space="preserve">labāk izprast savu </w:t>
            </w:r>
            <w:r w:rsidR="00645DCF" w:rsidRPr="00645DCF">
              <w:rPr>
                <w:rFonts w:ascii="Times New Roman" w:hAnsi="Times New Roman" w:cs="Times New Roman"/>
                <w:bCs/>
                <w:iCs/>
                <w:sz w:val="24"/>
                <w:szCs w:val="24"/>
              </w:rPr>
              <w:lastRenderedPageBreak/>
              <w:t xml:space="preserve">finansiālo stāvokli, identificēt </w:t>
            </w:r>
            <w:r w:rsidR="00256264">
              <w:rPr>
                <w:rFonts w:ascii="Times New Roman" w:hAnsi="Times New Roman" w:cs="Times New Roman"/>
                <w:bCs/>
                <w:iCs/>
                <w:sz w:val="24"/>
                <w:szCs w:val="24"/>
              </w:rPr>
              <w:t xml:space="preserve">būtiskākos </w:t>
            </w:r>
            <w:r w:rsidR="00645DCF" w:rsidRPr="00645DCF">
              <w:rPr>
                <w:rFonts w:ascii="Times New Roman" w:hAnsi="Times New Roman" w:cs="Times New Roman"/>
                <w:bCs/>
                <w:iCs/>
                <w:sz w:val="24"/>
                <w:szCs w:val="24"/>
              </w:rPr>
              <w:t xml:space="preserve">potenciālos riskus un pieņemt </w:t>
            </w:r>
            <w:r w:rsidR="00645DCF">
              <w:rPr>
                <w:rFonts w:ascii="Times New Roman" w:hAnsi="Times New Roman" w:cs="Times New Roman"/>
                <w:bCs/>
                <w:iCs/>
                <w:sz w:val="24"/>
                <w:szCs w:val="24"/>
              </w:rPr>
              <w:t xml:space="preserve">pamatotus </w:t>
            </w:r>
            <w:r w:rsidR="00645DCF" w:rsidRPr="00645DCF">
              <w:rPr>
                <w:rFonts w:ascii="Times New Roman" w:hAnsi="Times New Roman" w:cs="Times New Roman"/>
                <w:bCs/>
                <w:iCs/>
                <w:sz w:val="24"/>
                <w:szCs w:val="24"/>
              </w:rPr>
              <w:t>lēmumus</w:t>
            </w:r>
            <w:r w:rsidR="00645DCF">
              <w:rPr>
                <w:rFonts w:ascii="Times New Roman" w:hAnsi="Times New Roman" w:cs="Times New Roman"/>
                <w:bCs/>
                <w:iCs/>
                <w:sz w:val="24"/>
                <w:szCs w:val="24"/>
              </w:rPr>
              <w:t>.</w:t>
            </w:r>
          </w:p>
        </w:tc>
      </w:tr>
      <w:tr w:rsidR="00E559BF" w:rsidRPr="0056522A" w14:paraId="0A1DF5E1" w14:textId="77777777" w:rsidTr="00935455">
        <w:tc>
          <w:tcPr>
            <w:tcW w:w="0" w:type="auto"/>
            <w:tcBorders>
              <w:top w:val="single" w:sz="4" w:space="0" w:color="auto"/>
              <w:left w:val="single" w:sz="4" w:space="0" w:color="auto"/>
              <w:bottom w:val="single" w:sz="4" w:space="0" w:color="auto"/>
              <w:right w:val="single" w:sz="4" w:space="0" w:color="auto"/>
            </w:tcBorders>
          </w:tcPr>
          <w:p w14:paraId="7F9FCF34" w14:textId="3A914ACA" w:rsidR="00E559BF" w:rsidRPr="0056522A" w:rsidRDefault="005267C2" w:rsidP="0056522A">
            <w:pPr>
              <w:spacing w:after="120" w:line="240" w:lineRule="auto"/>
              <w:ind w:left="720"/>
              <w:rPr>
                <w:rFonts w:ascii="Times New Roman" w:hAnsi="Times New Roman" w:cs="Times New Roman"/>
                <w:bCs/>
                <w:sz w:val="24"/>
                <w:szCs w:val="24"/>
              </w:rPr>
            </w:pPr>
            <w:r>
              <w:rPr>
                <w:rFonts w:ascii="Times New Roman" w:hAnsi="Times New Roman" w:cs="Times New Roman"/>
                <w:bCs/>
                <w:sz w:val="24"/>
                <w:szCs w:val="24"/>
              </w:rPr>
              <w:lastRenderedPageBreak/>
              <w:t>15.</w:t>
            </w:r>
          </w:p>
        </w:tc>
        <w:tc>
          <w:tcPr>
            <w:tcW w:w="3779" w:type="dxa"/>
            <w:tcBorders>
              <w:top w:val="single" w:sz="4" w:space="0" w:color="auto"/>
              <w:left w:val="single" w:sz="4" w:space="0" w:color="auto"/>
              <w:bottom w:val="single" w:sz="4" w:space="0" w:color="auto"/>
              <w:right w:val="single" w:sz="4" w:space="0" w:color="auto"/>
            </w:tcBorders>
            <w:shd w:val="clear" w:color="auto" w:fill="auto"/>
          </w:tcPr>
          <w:p w14:paraId="1C93C216" w14:textId="77777777" w:rsidR="00E559BF" w:rsidRPr="009561E7" w:rsidRDefault="009561E7" w:rsidP="00935455">
            <w:pPr>
              <w:tabs>
                <w:tab w:val="left" w:pos="598"/>
              </w:tabs>
              <w:spacing w:after="120" w:line="240" w:lineRule="auto"/>
              <w:jc w:val="both"/>
              <w:rPr>
                <w:rFonts w:ascii="Times New Roman" w:hAnsi="Times New Roman" w:cs="Times New Roman"/>
                <w:bCs/>
                <w:sz w:val="24"/>
                <w:szCs w:val="24"/>
              </w:rPr>
            </w:pPr>
            <w:r w:rsidRPr="009561E7">
              <w:rPr>
                <w:rFonts w:ascii="Times New Roman" w:hAnsi="Times New Roman" w:cs="Times New Roman"/>
                <w:bCs/>
                <w:sz w:val="24"/>
                <w:szCs w:val="24"/>
              </w:rPr>
              <w:t>95.8.</w:t>
            </w:r>
            <w:r w:rsidRPr="009561E7">
              <w:rPr>
                <w:rFonts w:ascii="Times New Roman" w:hAnsi="Times New Roman" w:cs="Times New Roman"/>
                <w:bCs/>
                <w:sz w:val="24"/>
                <w:szCs w:val="24"/>
              </w:rPr>
              <w:tab/>
              <w:t>uzrauga sabiedrības risku kultūras nodrošināšanu atbilstoši šo noteikumu 8. nodaļā noteiktajam;</w:t>
            </w:r>
          </w:p>
          <w:p w14:paraId="6609E943" w14:textId="77777777" w:rsidR="009561E7" w:rsidRPr="009561E7" w:rsidRDefault="009561E7" w:rsidP="00E06104">
            <w:pPr>
              <w:spacing w:after="120" w:line="240" w:lineRule="auto"/>
              <w:jc w:val="both"/>
              <w:rPr>
                <w:rFonts w:ascii="Times New Roman" w:hAnsi="Times New Roman" w:cs="Times New Roman"/>
                <w:bCs/>
                <w:sz w:val="24"/>
                <w:szCs w:val="24"/>
              </w:rPr>
            </w:pPr>
            <w:r w:rsidRPr="009561E7">
              <w:rPr>
                <w:rFonts w:ascii="Times New Roman" w:hAnsi="Times New Roman" w:cs="Times New Roman"/>
                <w:bCs/>
                <w:sz w:val="24"/>
                <w:szCs w:val="24"/>
              </w:rPr>
              <w:t>95.11.</w:t>
            </w:r>
            <w:r w:rsidRPr="009561E7">
              <w:rPr>
                <w:rFonts w:ascii="Times New Roman" w:hAnsi="Times New Roman" w:cs="Times New Roman"/>
                <w:bCs/>
                <w:sz w:val="24"/>
                <w:szCs w:val="24"/>
              </w:rPr>
              <w:tab/>
              <w:t>uzrauga efektīvas vadības informācijas sistēmas funkcionēšanu, informācijas atklāšanu un komunikāciju;</w:t>
            </w:r>
          </w:p>
          <w:p w14:paraId="2CF6F047" w14:textId="77777777" w:rsidR="009561E7" w:rsidRPr="009561E7" w:rsidRDefault="009561E7" w:rsidP="00E06104">
            <w:pPr>
              <w:spacing w:after="120" w:line="240" w:lineRule="auto"/>
              <w:jc w:val="both"/>
              <w:rPr>
                <w:rFonts w:ascii="Times New Roman" w:hAnsi="Times New Roman" w:cs="Times New Roman"/>
                <w:bCs/>
                <w:sz w:val="24"/>
                <w:szCs w:val="24"/>
              </w:rPr>
            </w:pPr>
            <w:r w:rsidRPr="009561E7">
              <w:rPr>
                <w:rFonts w:ascii="Times New Roman" w:hAnsi="Times New Roman" w:cs="Times New Roman"/>
                <w:bCs/>
                <w:sz w:val="24"/>
                <w:szCs w:val="24"/>
              </w:rPr>
              <w:t>95.12.</w:t>
            </w:r>
            <w:r w:rsidRPr="009561E7">
              <w:rPr>
                <w:rFonts w:ascii="Times New Roman" w:hAnsi="Times New Roman" w:cs="Times New Roman"/>
                <w:bCs/>
                <w:sz w:val="24"/>
                <w:szCs w:val="24"/>
              </w:rPr>
              <w:tab/>
              <w:t>uzrauga, vai risku kontroles funkcija, darbības atbilstības kontroles funkcija un iekšējā audita funkcija ir skaidri noteikta, vai šīm funkcijām ir piemērota vieta sabiedrības organizatoriskajā struktūrā un noteikta loma sabiedrības pārvaldīšanas procesā, vai tās ir nodrošinātas ar kvalificētu personālu un darbojas efektīvi;</w:t>
            </w:r>
          </w:p>
          <w:p w14:paraId="30DCFBD9" w14:textId="186C9F19" w:rsidR="009561E7" w:rsidRPr="009561E7" w:rsidRDefault="009561E7" w:rsidP="00E06104">
            <w:pPr>
              <w:spacing w:after="120" w:line="240" w:lineRule="auto"/>
              <w:jc w:val="both"/>
              <w:rPr>
                <w:rFonts w:ascii="Times New Roman" w:hAnsi="Times New Roman" w:cs="Times New Roman"/>
                <w:bCs/>
                <w:sz w:val="24"/>
                <w:szCs w:val="24"/>
              </w:rPr>
            </w:pPr>
            <w:r w:rsidRPr="009561E7">
              <w:rPr>
                <w:rFonts w:ascii="Times New Roman" w:hAnsi="Times New Roman" w:cs="Times New Roman"/>
                <w:bCs/>
                <w:sz w:val="24"/>
                <w:szCs w:val="24"/>
              </w:rPr>
              <w:t>95.13.</w:t>
            </w:r>
            <w:r w:rsidRPr="009561E7">
              <w:rPr>
                <w:rFonts w:ascii="Times New Roman" w:hAnsi="Times New Roman" w:cs="Times New Roman"/>
                <w:bCs/>
                <w:sz w:val="24"/>
                <w:szCs w:val="24"/>
              </w:rPr>
              <w:tab/>
              <w:t>uzrauga pārvaldības sistēmas periodisku pilnveidošanu atbilstoši pārmaiņām sabiedrības darbībā un sabiedrības darbību ietekmējošajos ārējos apstākļos;</w:t>
            </w:r>
          </w:p>
        </w:tc>
        <w:tc>
          <w:tcPr>
            <w:tcW w:w="4192" w:type="dxa"/>
            <w:tcBorders>
              <w:top w:val="single" w:sz="4" w:space="0" w:color="auto"/>
              <w:left w:val="single" w:sz="4" w:space="0" w:color="auto"/>
              <w:bottom w:val="single" w:sz="4" w:space="0" w:color="auto"/>
              <w:right w:val="single" w:sz="4" w:space="0" w:color="auto"/>
            </w:tcBorders>
            <w:shd w:val="clear" w:color="auto" w:fill="auto"/>
          </w:tcPr>
          <w:p w14:paraId="3D31C66D" w14:textId="37481B94" w:rsidR="00AF1CDB" w:rsidRDefault="0067587D" w:rsidP="00E06104">
            <w:pPr>
              <w:spacing w:after="120" w:line="240" w:lineRule="auto"/>
              <w:rPr>
                <w:rFonts w:ascii="Times New Roman" w:hAnsi="Times New Roman" w:cs="Times New Roman"/>
                <w:b/>
                <w:bCs/>
                <w:sz w:val="24"/>
                <w:szCs w:val="24"/>
              </w:rPr>
            </w:pPr>
            <w:r>
              <w:rPr>
                <w:rFonts w:ascii="Times New Roman" w:hAnsi="Times New Roman" w:cs="Times New Roman"/>
                <w:b/>
                <w:bCs/>
                <w:sz w:val="24"/>
                <w:szCs w:val="24"/>
              </w:rPr>
              <w:t>AS </w:t>
            </w:r>
            <w:proofErr w:type="spellStart"/>
            <w:r w:rsidR="00AF1CDB" w:rsidRPr="00E4143F">
              <w:rPr>
                <w:rFonts w:ascii="Times New Roman" w:hAnsi="Times New Roman" w:cs="Times New Roman"/>
                <w:b/>
                <w:bCs/>
                <w:sz w:val="24"/>
                <w:szCs w:val="24"/>
              </w:rPr>
              <w:t>Mintos</w:t>
            </w:r>
            <w:proofErr w:type="spellEnd"/>
            <w:r w:rsidR="00AF1CDB" w:rsidRPr="00E4143F">
              <w:rPr>
                <w:rFonts w:ascii="Times New Roman" w:hAnsi="Times New Roman" w:cs="Times New Roman"/>
                <w:b/>
                <w:bCs/>
                <w:sz w:val="24"/>
                <w:szCs w:val="24"/>
              </w:rPr>
              <w:t xml:space="preserve"> Marketplace</w:t>
            </w:r>
          </w:p>
          <w:p w14:paraId="03E8F13E" w14:textId="61EBFC84" w:rsidR="00E559BF" w:rsidRPr="00E559BF" w:rsidRDefault="00E559BF" w:rsidP="00935455">
            <w:pPr>
              <w:tabs>
                <w:tab w:val="left" w:pos="391"/>
              </w:tabs>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t>15.</w:t>
            </w:r>
            <w:r w:rsidRPr="00E559BF">
              <w:rPr>
                <w:rFonts w:ascii="Times New Roman" w:hAnsi="Times New Roman" w:cs="Times New Roman"/>
                <w:sz w:val="24"/>
                <w:szCs w:val="24"/>
              </w:rPr>
              <w:tab/>
              <w:t xml:space="preserve">Noteikumu 95.punkts: </w:t>
            </w:r>
          </w:p>
          <w:p w14:paraId="0E6E293F" w14:textId="2F7C69DE" w:rsidR="00E559BF" w:rsidRPr="00E559BF" w:rsidRDefault="00E559BF" w:rsidP="00E06104">
            <w:pPr>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t>Esam to norādījuši jau pie vispārīgajiem komentāriem, tomēr vēlamies piebilst, ka šis Noteikumu punkts jo īpaši rada jautājumus par dublēšanos pēc būtības ar to, kas jau noteikts citās regulējošās prasībās (konkrēti noteikumos Nr.227). Papildus vēlamies norādīt</w:t>
            </w:r>
            <w:r w:rsidRPr="000A6A4F">
              <w:rPr>
                <w:rFonts w:ascii="Times New Roman" w:hAnsi="Times New Roman" w:cs="Times New Roman"/>
                <w:sz w:val="24"/>
                <w:szCs w:val="24"/>
              </w:rPr>
              <w:t xml:space="preserve">, </w:t>
            </w:r>
            <w:r w:rsidRPr="00015A06">
              <w:rPr>
                <w:rFonts w:ascii="Times New Roman" w:hAnsi="Times New Roman" w:cs="Times New Roman"/>
                <w:sz w:val="24"/>
                <w:szCs w:val="24"/>
              </w:rPr>
              <w:t>ka nav saprotams, kas varētu apliecināt, ka padome izpilda</w:t>
            </w:r>
            <w:r w:rsidRPr="000A6A4F">
              <w:rPr>
                <w:rFonts w:ascii="Times New Roman" w:hAnsi="Times New Roman" w:cs="Times New Roman"/>
                <w:sz w:val="24"/>
                <w:szCs w:val="24"/>
              </w:rPr>
              <w:t xml:space="preserve"> 95.8., 95.11., 95.12., 95.13.punkta prasības attiecībā uz uzraudzību.</w:t>
            </w:r>
            <w:r w:rsidRPr="00E559BF">
              <w:rPr>
                <w:rFonts w:ascii="Times New Roman" w:hAnsi="Times New Roman" w:cs="Times New Roman"/>
                <w:sz w:val="24"/>
                <w:szCs w:val="24"/>
              </w:rPr>
              <w:t xml:space="preserve"> </w:t>
            </w:r>
          </w:p>
          <w:p w14:paraId="28B67459" w14:textId="43B8B32D" w:rsidR="00E559BF" w:rsidRPr="00E559BF" w:rsidRDefault="00E559BF" w:rsidP="00E06104">
            <w:pPr>
              <w:spacing w:after="120" w:line="240" w:lineRule="auto"/>
              <w:jc w:val="both"/>
              <w:rPr>
                <w:rFonts w:ascii="Times New Roman" w:hAnsi="Times New Roman" w:cs="Times New Roman"/>
                <w:sz w:val="24"/>
                <w:szCs w:val="24"/>
              </w:rPr>
            </w:pPr>
            <w:r w:rsidRPr="00E559BF">
              <w:rPr>
                <w:rFonts w:ascii="Times New Roman" w:hAnsi="Times New Roman" w:cs="Times New Roman"/>
                <w:sz w:val="24"/>
                <w:szCs w:val="24"/>
              </w:rPr>
              <w:t>Mintos minētie komentāri un jautājumi nav uzskatāmi par izsmeļošiem jautājumiem saistībā ar šiem Noteikumiem, bet gan būtiskākais, ņemot vērā ši</w:t>
            </w:r>
            <w:r w:rsidR="001F5C3D">
              <w:rPr>
                <w:rFonts w:ascii="Times New Roman" w:hAnsi="Times New Roman" w:cs="Times New Roman"/>
                <w:sz w:val="24"/>
                <w:szCs w:val="24"/>
              </w:rPr>
              <w:t>e</w:t>
            </w:r>
            <w:r w:rsidRPr="00E559BF">
              <w:rPr>
                <w:rFonts w:ascii="Times New Roman" w:hAnsi="Times New Roman" w:cs="Times New Roman"/>
                <w:sz w:val="24"/>
                <w:szCs w:val="24"/>
              </w:rPr>
              <w:t xml:space="preserve">m jautājumiem pieejamos resursus. Būsim pateicīgi par mūsu komentāru ņemšanu vērā, kā arī par skaidrojumu sniegšanu uz paustajiem jautājumiem, lai arī atbalstām regulācijas subjektu, tai skaitā Mintos, rīcības brīvību patstāvīgi lemt par to, kā ir izpildāmas </w:t>
            </w:r>
            <w:r w:rsidRPr="00E559BF">
              <w:rPr>
                <w:rFonts w:ascii="Times New Roman" w:hAnsi="Times New Roman" w:cs="Times New Roman"/>
                <w:sz w:val="24"/>
                <w:szCs w:val="24"/>
              </w:rPr>
              <w:lastRenderedPageBreak/>
              <w:t>regulējošās prasības, ciktāl tās jau nav noteiktas ar ārējiem normatīvajiem aktiem.</w:t>
            </w:r>
          </w:p>
        </w:tc>
        <w:tc>
          <w:tcPr>
            <w:tcW w:w="5389" w:type="dxa"/>
            <w:tcBorders>
              <w:top w:val="single" w:sz="4" w:space="0" w:color="auto"/>
              <w:left w:val="single" w:sz="4" w:space="0" w:color="auto"/>
              <w:bottom w:val="single" w:sz="4" w:space="0" w:color="auto"/>
              <w:right w:val="single" w:sz="4" w:space="0" w:color="auto"/>
            </w:tcBorders>
            <w:shd w:val="clear" w:color="auto" w:fill="auto"/>
          </w:tcPr>
          <w:p w14:paraId="09F5480B" w14:textId="77777777" w:rsidR="00AA0E51" w:rsidRDefault="00AA0E51" w:rsidP="00E06104">
            <w:pPr>
              <w:spacing w:after="120" w:line="240" w:lineRule="auto"/>
              <w:rPr>
                <w:rFonts w:ascii="Times New Roman" w:hAnsi="Times New Roman" w:cs="Times New Roman"/>
                <w:b/>
                <w:iCs/>
                <w:sz w:val="24"/>
                <w:szCs w:val="24"/>
              </w:rPr>
            </w:pPr>
            <w:r>
              <w:rPr>
                <w:rFonts w:ascii="Times New Roman" w:hAnsi="Times New Roman" w:cs="Times New Roman"/>
                <w:b/>
                <w:iCs/>
                <w:sz w:val="24"/>
                <w:szCs w:val="24"/>
              </w:rPr>
              <w:lastRenderedPageBreak/>
              <w:t>Ņemts vērā.</w:t>
            </w:r>
          </w:p>
          <w:p w14:paraId="7E50F1A0" w14:textId="49BF501D" w:rsidR="000A6A4F" w:rsidRDefault="00AA0E51" w:rsidP="00E06104">
            <w:pPr>
              <w:spacing w:after="120" w:line="240" w:lineRule="auto"/>
              <w:jc w:val="both"/>
              <w:rPr>
                <w:rFonts w:ascii="Times New Roman" w:hAnsi="Times New Roman" w:cs="Times New Roman"/>
                <w:bCs/>
                <w:iCs/>
                <w:sz w:val="24"/>
                <w:szCs w:val="24"/>
              </w:rPr>
            </w:pPr>
            <w:r w:rsidRPr="00015A06">
              <w:rPr>
                <w:rFonts w:ascii="Times New Roman" w:hAnsi="Times New Roman" w:cs="Times New Roman"/>
                <w:bCs/>
                <w:iCs/>
                <w:sz w:val="24"/>
                <w:szCs w:val="24"/>
              </w:rPr>
              <w:t>Pas</w:t>
            </w:r>
            <w:r w:rsidR="009561E7" w:rsidRPr="00015A06">
              <w:rPr>
                <w:rFonts w:ascii="Times New Roman" w:hAnsi="Times New Roman" w:cs="Times New Roman"/>
                <w:bCs/>
                <w:iCs/>
                <w:sz w:val="24"/>
                <w:szCs w:val="24"/>
              </w:rPr>
              <w:t>kaidroj</w:t>
            </w:r>
            <w:r w:rsidRPr="00015A06">
              <w:rPr>
                <w:rFonts w:ascii="Times New Roman" w:hAnsi="Times New Roman" w:cs="Times New Roman"/>
                <w:bCs/>
                <w:iCs/>
                <w:sz w:val="24"/>
                <w:szCs w:val="24"/>
              </w:rPr>
              <w:t xml:space="preserve">am, ka </w:t>
            </w:r>
            <w:r w:rsidRPr="00AA0E51">
              <w:rPr>
                <w:rFonts w:ascii="Times New Roman" w:hAnsi="Times New Roman" w:cs="Times New Roman"/>
                <w:bCs/>
                <w:iCs/>
                <w:sz w:val="24"/>
                <w:szCs w:val="24"/>
              </w:rPr>
              <w:t>n</w:t>
            </w:r>
            <w:r w:rsidR="009561E7" w:rsidRPr="00AA0E51">
              <w:rPr>
                <w:rFonts w:ascii="Times New Roman" w:hAnsi="Times New Roman" w:cs="Times New Roman"/>
                <w:bCs/>
                <w:iCs/>
                <w:sz w:val="24"/>
                <w:szCs w:val="24"/>
              </w:rPr>
              <w:t>oteikumu projekta 9</w:t>
            </w:r>
            <w:r w:rsidR="004841C0">
              <w:rPr>
                <w:rFonts w:ascii="Times New Roman" w:hAnsi="Times New Roman" w:cs="Times New Roman"/>
                <w:bCs/>
                <w:iCs/>
                <w:sz w:val="24"/>
                <w:szCs w:val="24"/>
              </w:rPr>
              <w:t>4</w:t>
            </w:r>
            <w:r w:rsidR="009561E7" w:rsidRPr="00AA0E51">
              <w:rPr>
                <w:rFonts w:ascii="Times New Roman" w:hAnsi="Times New Roman" w:cs="Times New Roman"/>
                <w:bCs/>
                <w:iCs/>
                <w:sz w:val="24"/>
                <w:szCs w:val="24"/>
              </w:rPr>
              <w:t>. punktā ir noteikti padomes pien</w:t>
            </w:r>
            <w:r w:rsidR="009561E7" w:rsidRPr="009561E7">
              <w:rPr>
                <w:rFonts w:ascii="Times New Roman" w:hAnsi="Times New Roman" w:cs="Times New Roman"/>
                <w:bCs/>
                <w:iCs/>
                <w:sz w:val="24"/>
                <w:szCs w:val="24"/>
              </w:rPr>
              <w:t>ākumi uzraudzības jomā un to</w:t>
            </w:r>
            <w:r>
              <w:rPr>
                <w:rFonts w:ascii="Times New Roman" w:hAnsi="Times New Roman" w:cs="Times New Roman"/>
                <w:bCs/>
                <w:iCs/>
                <w:sz w:val="24"/>
                <w:szCs w:val="24"/>
              </w:rPr>
              <w:t xml:space="preserve"> izpildi </w:t>
            </w:r>
            <w:r w:rsidR="009561E7" w:rsidRPr="009561E7">
              <w:rPr>
                <w:rFonts w:ascii="Times New Roman" w:hAnsi="Times New Roman" w:cs="Times New Roman"/>
                <w:bCs/>
                <w:iCs/>
                <w:sz w:val="24"/>
                <w:szCs w:val="24"/>
              </w:rPr>
              <w:t>apliecina</w:t>
            </w:r>
            <w:r w:rsidR="00806624">
              <w:rPr>
                <w:rFonts w:ascii="Times New Roman" w:hAnsi="Times New Roman" w:cs="Times New Roman"/>
                <w:bCs/>
                <w:iCs/>
                <w:sz w:val="24"/>
                <w:szCs w:val="24"/>
              </w:rPr>
              <w:t xml:space="preserve">, piemēram, </w:t>
            </w:r>
            <w:r w:rsidR="009561E7" w:rsidRPr="009561E7">
              <w:rPr>
                <w:rFonts w:ascii="Times New Roman" w:hAnsi="Times New Roman" w:cs="Times New Roman"/>
                <w:bCs/>
                <w:iCs/>
                <w:sz w:val="24"/>
                <w:szCs w:val="24"/>
              </w:rPr>
              <w:t>sabiedrīb</w:t>
            </w:r>
            <w:r w:rsidR="000A6A4F">
              <w:rPr>
                <w:rFonts w:ascii="Times New Roman" w:hAnsi="Times New Roman" w:cs="Times New Roman"/>
                <w:bCs/>
                <w:iCs/>
                <w:sz w:val="24"/>
                <w:szCs w:val="24"/>
              </w:rPr>
              <w:t xml:space="preserve">ā </w:t>
            </w:r>
            <w:r w:rsidR="009561E7" w:rsidRPr="009561E7">
              <w:rPr>
                <w:rFonts w:ascii="Times New Roman" w:hAnsi="Times New Roman" w:cs="Times New Roman"/>
                <w:bCs/>
                <w:iCs/>
                <w:sz w:val="24"/>
                <w:szCs w:val="24"/>
              </w:rPr>
              <w:t>noteikt</w:t>
            </w:r>
            <w:r w:rsidR="000A6A4F">
              <w:rPr>
                <w:rFonts w:ascii="Times New Roman" w:hAnsi="Times New Roman" w:cs="Times New Roman"/>
                <w:bCs/>
                <w:iCs/>
                <w:sz w:val="24"/>
                <w:szCs w:val="24"/>
              </w:rPr>
              <w:t>ās politikas un procedūras, to ievērošanas uzraudzība,</w:t>
            </w:r>
            <w:r w:rsidR="00C845C0">
              <w:rPr>
                <w:rFonts w:ascii="Times New Roman" w:hAnsi="Times New Roman" w:cs="Times New Roman"/>
                <w:bCs/>
                <w:iCs/>
                <w:sz w:val="24"/>
                <w:szCs w:val="24"/>
              </w:rPr>
              <w:t xml:space="preserve"> sabiedrības iekšējie ziņojumi, pārska</w:t>
            </w:r>
            <w:r w:rsidR="00C61FA1">
              <w:rPr>
                <w:rFonts w:ascii="Times New Roman" w:hAnsi="Times New Roman" w:cs="Times New Roman"/>
                <w:bCs/>
                <w:iCs/>
                <w:sz w:val="24"/>
                <w:szCs w:val="24"/>
              </w:rPr>
              <w:t xml:space="preserve">ti, </w:t>
            </w:r>
            <w:r w:rsidR="009561E7" w:rsidRPr="009561E7">
              <w:rPr>
                <w:rFonts w:ascii="Times New Roman" w:hAnsi="Times New Roman" w:cs="Times New Roman"/>
                <w:bCs/>
                <w:iCs/>
                <w:sz w:val="24"/>
                <w:szCs w:val="24"/>
              </w:rPr>
              <w:t>sēžu protokoli</w:t>
            </w:r>
            <w:r w:rsidR="000A6A4F">
              <w:rPr>
                <w:rFonts w:ascii="Times New Roman" w:hAnsi="Times New Roman" w:cs="Times New Roman"/>
                <w:bCs/>
                <w:iCs/>
                <w:sz w:val="24"/>
                <w:szCs w:val="24"/>
              </w:rPr>
              <w:t xml:space="preserve"> vai iekšējā audita veikto pārbaužu rezultāti</w:t>
            </w:r>
            <w:r>
              <w:rPr>
                <w:rFonts w:ascii="Times New Roman" w:hAnsi="Times New Roman" w:cs="Times New Roman"/>
                <w:bCs/>
                <w:iCs/>
                <w:sz w:val="24"/>
                <w:szCs w:val="24"/>
              </w:rPr>
              <w:t>.</w:t>
            </w:r>
          </w:p>
          <w:p w14:paraId="7A9A3CDD" w14:textId="280338C8" w:rsidR="009561E7" w:rsidRPr="009561E7" w:rsidRDefault="000A6A4F" w:rsidP="00E06104">
            <w:pPr>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Katrā no finanšu tirgus sektoriem prasības pārvaldības sistēmas izveidošanai ir noteiktas atsevišķos noteikumos, tādēļ šie noteikumi nebūtu savstarpēji salīdzināmi</w:t>
            </w:r>
            <w:r w:rsidR="001F5C3D">
              <w:rPr>
                <w:rFonts w:ascii="Times New Roman" w:hAnsi="Times New Roman" w:cs="Times New Roman"/>
                <w:bCs/>
                <w:iCs/>
                <w:sz w:val="24"/>
                <w:szCs w:val="24"/>
              </w:rPr>
              <w:t>,</w:t>
            </w:r>
            <w:r w:rsidR="00C663E9">
              <w:rPr>
                <w:rFonts w:ascii="Times New Roman" w:hAnsi="Times New Roman" w:cs="Times New Roman"/>
                <w:bCs/>
                <w:iCs/>
                <w:sz w:val="24"/>
                <w:szCs w:val="24"/>
              </w:rPr>
              <w:t xml:space="preserve"> ņemot vērā to, ka </w:t>
            </w:r>
            <w:r w:rsidR="004841C0">
              <w:rPr>
                <w:rFonts w:ascii="Times New Roman" w:hAnsi="Times New Roman" w:cs="Times New Roman"/>
                <w:bCs/>
                <w:iCs/>
                <w:sz w:val="24"/>
                <w:szCs w:val="24"/>
              </w:rPr>
              <w:t>N</w:t>
            </w:r>
            <w:r>
              <w:rPr>
                <w:rFonts w:ascii="Times New Roman" w:hAnsi="Times New Roman" w:cs="Times New Roman"/>
                <w:bCs/>
                <w:iCs/>
                <w:sz w:val="24"/>
                <w:szCs w:val="24"/>
              </w:rPr>
              <w:t xml:space="preserve">oteikumos </w:t>
            </w:r>
            <w:r w:rsidR="00556150">
              <w:rPr>
                <w:rFonts w:ascii="Times New Roman" w:hAnsi="Times New Roman" w:cs="Times New Roman"/>
                <w:bCs/>
                <w:iCs/>
                <w:sz w:val="24"/>
                <w:szCs w:val="24"/>
              </w:rPr>
              <w:t>Nr.</w:t>
            </w:r>
            <w:r w:rsidR="000756A5">
              <w:rPr>
                <w:rFonts w:ascii="Times New Roman" w:hAnsi="Times New Roman" w:cs="Times New Roman"/>
                <w:bCs/>
                <w:iCs/>
                <w:sz w:val="24"/>
                <w:szCs w:val="24"/>
              </w:rPr>
              <w:t> </w:t>
            </w:r>
            <w:r w:rsidR="00556150">
              <w:rPr>
                <w:rFonts w:ascii="Times New Roman" w:hAnsi="Times New Roman" w:cs="Times New Roman"/>
                <w:bCs/>
                <w:iCs/>
                <w:sz w:val="24"/>
                <w:szCs w:val="24"/>
              </w:rPr>
              <w:t>227 ietvertās prasības ir saistošas kredītiestādēm</w:t>
            </w:r>
            <w:r>
              <w:rPr>
                <w:rFonts w:ascii="Times New Roman" w:hAnsi="Times New Roman" w:cs="Times New Roman"/>
                <w:bCs/>
                <w:iCs/>
                <w:sz w:val="24"/>
                <w:szCs w:val="24"/>
              </w:rPr>
              <w:t>.</w:t>
            </w:r>
          </w:p>
        </w:tc>
      </w:tr>
    </w:tbl>
    <w:p w14:paraId="643257E6" w14:textId="77777777" w:rsidR="00C56232" w:rsidRDefault="00C56232" w:rsidP="00025C42">
      <w:pPr>
        <w:spacing w:after="120" w:line="240" w:lineRule="auto"/>
        <w:rPr>
          <w:rFonts w:ascii="Times New Roman" w:hAnsi="Times New Roman" w:cs="Times New Roman"/>
          <w:sz w:val="24"/>
          <w:szCs w:val="24"/>
        </w:rPr>
      </w:pPr>
    </w:p>
    <w:sectPr w:rsidR="00C56232" w:rsidSect="005A22ED">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538D03" w14:textId="77777777" w:rsidR="00E362A8" w:rsidRDefault="00E362A8" w:rsidP="009B27BE">
      <w:pPr>
        <w:spacing w:after="0" w:line="240" w:lineRule="auto"/>
      </w:pPr>
      <w:r>
        <w:separator/>
      </w:r>
    </w:p>
  </w:endnote>
  <w:endnote w:type="continuationSeparator" w:id="0">
    <w:p w14:paraId="2B177A24" w14:textId="77777777" w:rsidR="00E362A8" w:rsidRDefault="00E362A8"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4C2181" w14:textId="77777777" w:rsidR="00E362A8" w:rsidRDefault="00E362A8" w:rsidP="009B27BE">
      <w:pPr>
        <w:spacing w:after="0" w:line="240" w:lineRule="auto"/>
      </w:pPr>
      <w:r>
        <w:separator/>
      </w:r>
    </w:p>
  </w:footnote>
  <w:footnote w:type="continuationSeparator" w:id="0">
    <w:p w14:paraId="32A7AE67" w14:textId="77777777" w:rsidR="00E362A8" w:rsidRDefault="00E362A8"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690C0DE2" w14:textId="03395BFA"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13BE6551"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40264"/>
    <w:multiLevelType w:val="hybridMultilevel"/>
    <w:tmpl w:val="E8A8F18E"/>
    <w:lvl w:ilvl="0" w:tplc="7B5622D8">
      <w:start w:val="1"/>
      <w:numFmt w:val="decimal"/>
      <w:lvlText w:val="%1)"/>
      <w:lvlJc w:val="left"/>
      <w:pPr>
        <w:ind w:left="6689" w:hanging="360"/>
      </w:pPr>
    </w:lvl>
    <w:lvl w:ilvl="1" w:tplc="3782FC48">
      <w:start w:val="1"/>
      <w:numFmt w:val="decimal"/>
      <w:lvlText w:val="%2)"/>
      <w:lvlJc w:val="left"/>
      <w:pPr>
        <w:ind w:left="6689" w:hanging="360"/>
      </w:pPr>
    </w:lvl>
    <w:lvl w:ilvl="2" w:tplc="02EEDC50">
      <w:start w:val="1"/>
      <w:numFmt w:val="decimal"/>
      <w:lvlText w:val="%3)"/>
      <w:lvlJc w:val="left"/>
      <w:pPr>
        <w:ind w:left="6689" w:hanging="360"/>
      </w:pPr>
    </w:lvl>
    <w:lvl w:ilvl="3" w:tplc="9CF623B0">
      <w:start w:val="1"/>
      <w:numFmt w:val="decimal"/>
      <w:lvlText w:val="%4)"/>
      <w:lvlJc w:val="left"/>
      <w:pPr>
        <w:ind w:left="6689" w:hanging="360"/>
      </w:pPr>
    </w:lvl>
    <w:lvl w:ilvl="4" w:tplc="77600170">
      <w:start w:val="1"/>
      <w:numFmt w:val="decimal"/>
      <w:lvlText w:val="%5)"/>
      <w:lvlJc w:val="left"/>
      <w:pPr>
        <w:ind w:left="6689" w:hanging="360"/>
      </w:pPr>
    </w:lvl>
    <w:lvl w:ilvl="5" w:tplc="5F5CB96E">
      <w:start w:val="1"/>
      <w:numFmt w:val="decimal"/>
      <w:lvlText w:val="%6)"/>
      <w:lvlJc w:val="left"/>
      <w:pPr>
        <w:ind w:left="6689" w:hanging="360"/>
      </w:pPr>
    </w:lvl>
    <w:lvl w:ilvl="6" w:tplc="31B0BDDC">
      <w:start w:val="1"/>
      <w:numFmt w:val="decimal"/>
      <w:lvlText w:val="%7)"/>
      <w:lvlJc w:val="left"/>
      <w:pPr>
        <w:ind w:left="6689" w:hanging="360"/>
      </w:pPr>
    </w:lvl>
    <w:lvl w:ilvl="7" w:tplc="3ABEEB3E">
      <w:start w:val="1"/>
      <w:numFmt w:val="decimal"/>
      <w:lvlText w:val="%8)"/>
      <w:lvlJc w:val="left"/>
      <w:pPr>
        <w:ind w:left="6689" w:hanging="360"/>
      </w:pPr>
    </w:lvl>
    <w:lvl w:ilvl="8" w:tplc="3108616A">
      <w:start w:val="1"/>
      <w:numFmt w:val="decimal"/>
      <w:lvlText w:val="%9)"/>
      <w:lvlJc w:val="left"/>
      <w:pPr>
        <w:ind w:left="6689" w:hanging="360"/>
      </w:pPr>
    </w:lvl>
  </w:abstractNum>
  <w:abstractNum w:abstractNumId="1" w15:restartNumberingAfterBreak="0">
    <w:nsid w:val="0194339B"/>
    <w:multiLevelType w:val="multilevel"/>
    <w:tmpl w:val="07D824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3684CA0"/>
    <w:multiLevelType w:val="hybridMultilevel"/>
    <w:tmpl w:val="722A415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74A4E78"/>
    <w:multiLevelType w:val="hybridMultilevel"/>
    <w:tmpl w:val="1576C0C0"/>
    <w:lvl w:ilvl="0" w:tplc="F930307C">
      <w:start w:val="1"/>
      <w:numFmt w:val="decimal"/>
      <w:lvlText w:val="%1)"/>
      <w:lvlJc w:val="left"/>
      <w:pPr>
        <w:ind w:left="720" w:hanging="360"/>
      </w:pPr>
    </w:lvl>
    <w:lvl w:ilvl="1" w:tplc="794CF9C0">
      <w:start w:val="1"/>
      <w:numFmt w:val="decimal"/>
      <w:lvlText w:val="%2)"/>
      <w:lvlJc w:val="left"/>
      <w:pPr>
        <w:ind w:left="720" w:hanging="360"/>
      </w:pPr>
    </w:lvl>
    <w:lvl w:ilvl="2" w:tplc="DD2ED234">
      <w:start w:val="1"/>
      <w:numFmt w:val="decimal"/>
      <w:lvlText w:val="%3)"/>
      <w:lvlJc w:val="left"/>
      <w:pPr>
        <w:ind w:left="720" w:hanging="360"/>
      </w:pPr>
    </w:lvl>
    <w:lvl w:ilvl="3" w:tplc="CF9C1B8E">
      <w:start w:val="1"/>
      <w:numFmt w:val="decimal"/>
      <w:lvlText w:val="%4)"/>
      <w:lvlJc w:val="left"/>
      <w:pPr>
        <w:ind w:left="720" w:hanging="360"/>
      </w:pPr>
    </w:lvl>
    <w:lvl w:ilvl="4" w:tplc="6010E22A">
      <w:start w:val="1"/>
      <w:numFmt w:val="decimal"/>
      <w:lvlText w:val="%5)"/>
      <w:lvlJc w:val="left"/>
      <w:pPr>
        <w:ind w:left="720" w:hanging="360"/>
      </w:pPr>
    </w:lvl>
    <w:lvl w:ilvl="5" w:tplc="28D82E18">
      <w:start w:val="1"/>
      <w:numFmt w:val="decimal"/>
      <w:lvlText w:val="%6)"/>
      <w:lvlJc w:val="left"/>
      <w:pPr>
        <w:ind w:left="720" w:hanging="360"/>
      </w:pPr>
    </w:lvl>
    <w:lvl w:ilvl="6" w:tplc="93AE0650">
      <w:start w:val="1"/>
      <w:numFmt w:val="decimal"/>
      <w:lvlText w:val="%7)"/>
      <w:lvlJc w:val="left"/>
      <w:pPr>
        <w:ind w:left="720" w:hanging="360"/>
      </w:pPr>
    </w:lvl>
    <w:lvl w:ilvl="7" w:tplc="97A4D512">
      <w:start w:val="1"/>
      <w:numFmt w:val="decimal"/>
      <w:lvlText w:val="%8)"/>
      <w:lvlJc w:val="left"/>
      <w:pPr>
        <w:ind w:left="720" w:hanging="360"/>
      </w:pPr>
    </w:lvl>
    <w:lvl w:ilvl="8" w:tplc="D27C8CC4">
      <w:start w:val="1"/>
      <w:numFmt w:val="decimal"/>
      <w:lvlText w:val="%9)"/>
      <w:lvlJc w:val="left"/>
      <w:pPr>
        <w:ind w:left="720" w:hanging="360"/>
      </w:pPr>
    </w:lvl>
  </w:abstractNum>
  <w:abstractNum w:abstractNumId="4" w15:restartNumberingAfterBreak="0">
    <w:nsid w:val="07C40932"/>
    <w:multiLevelType w:val="multilevel"/>
    <w:tmpl w:val="D564EB6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80D018B"/>
    <w:multiLevelType w:val="multilevel"/>
    <w:tmpl w:val="D2746A4C"/>
    <w:lvl w:ilvl="0">
      <w:start w:val="1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81B31FA"/>
    <w:multiLevelType w:val="hybridMultilevel"/>
    <w:tmpl w:val="DF3A5678"/>
    <w:lvl w:ilvl="0" w:tplc="911EB778">
      <w:start w:val="1"/>
      <w:numFmt w:val="decimal"/>
      <w:lvlText w:val="%1)"/>
      <w:lvlJc w:val="left"/>
      <w:pPr>
        <w:ind w:left="1020" w:hanging="360"/>
      </w:pPr>
    </w:lvl>
    <w:lvl w:ilvl="1" w:tplc="16BA5D9C">
      <w:start w:val="1"/>
      <w:numFmt w:val="decimal"/>
      <w:lvlText w:val="%2)"/>
      <w:lvlJc w:val="left"/>
      <w:pPr>
        <w:ind w:left="1020" w:hanging="360"/>
      </w:pPr>
    </w:lvl>
    <w:lvl w:ilvl="2" w:tplc="ABCE7D6A">
      <w:start w:val="1"/>
      <w:numFmt w:val="decimal"/>
      <w:lvlText w:val="%3)"/>
      <w:lvlJc w:val="left"/>
      <w:pPr>
        <w:ind w:left="1020" w:hanging="360"/>
      </w:pPr>
    </w:lvl>
    <w:lvl w:ilvl="3" w:tplc="AD9A83E0">
      <w:start w:val="1"/>
      <w:numFmt w:val="decimal"/>
      <w:lvlText w:val="%4)"/>
      <w:lvlJc w:val="left"/>
      <w:pPr>
        <w:ind w:left="1020" w:hanging="360"/>
      </w:pPr>
    </w:lvl>
    <w:lvl w:ilvl="4" w:tplc="B33EDBA0">
      <w:start w:val="1"/>
      <w:numFmt w:val="decimal"/>
      <w:lvlText w:val="%5)"/>
      <w:lvlJc w:val="left"/>
      <w:pPr>
        <w:ind w:left="1020" w:hanging="360"/>
      </w:pPr>
    </w:lvl>
    <w:lvl w:ilvl="5" w:tplc="194AA022">
      <w:start w:val="1"/>
      <w:numFmt w:val="decimal"/>
      <w:lvlText w:val="%6)"/>
      <w:lvlJc w:val="left"/>
      <w:pPr>
        <w:ind w:left="1020" w:hanging="360"/>
      </w:pPr>
    </w:lvl>
    <w:lvl w:ilvl="6" w:tplc="C9D2013C">
      <w:start w:val="1"/>
      <w:numFmt w:val="decimal"/>
      <w:lvlText w:val="%7)"/>
      <w:lvlJc w:val="left"/>
      <w:pPr>
        <w:ind w:left="1020" w:hanging="360"/>
      </w:pPr>
    </w:lvl>
    <w:lvl w:ilvl="7" w:tplc="C83E7936">
      <w:start w:val="1"/>
      <w:numFmt w:val="decimal"/>
      <w:lvlText w:val="%8)"/>
      <w:lvlJc w:val="left"/>
      <w:pPr>
        <w:ind w:left="1020" w:hanging="360"/>
      </w:pPr>
    </w:lvl>
    <w:lvl w:ilvl="8" w:tplc="8D74FE18">
      <w:start w:val="1"/>
      <w:numFmt w:val="decimal"/>
      <w:lvlText w:val="%9)"/>
      <w:lvlJc w:val="left"/>
      <w:pPr>
        <w:ind w:left="1020" w:hanging="360"/>
      </w:pPr>
    </w:lvl>
  </w:abstractNum>
  <w:abstractNum w:abstractNumId="7" w15:restartNumberingAfterBreak="0">
    <w:nsid w:val="0B19668C"/>
    <w:multiLevelType w:val="hybridMultilevel"/>
    <w:tmpl w:val="9F9838CA"/>
    <w:lvl w:ilvl="0" w:tplc="1DEEAA06">
      <w:start w:val="1"/>
      <w:numFmt w:val="decimal"/>
      <w:lvlText w:val="%1)"/>
      <w:lvlJc w:val="left"/>
      <w:pPr>
        <w:ind w:left="720" w:hanging="360"/>
      </w:pPr>
    </w:lvl>
    <w:lvl w:ilvl="1" w:tplc="5386D496">
      <w:start w:val="1"/>
      <w:numFmt w:val="decimal"/>
      <w:lvlText w:val="%2)"/>
      <w:lvlJc w:val="left"/>
      <w:pPr>
        <w:ind w:left="720" w:hanging="360"/>
      </w:pPr>
    </w:lvl>
    <w:lvl w:ilvl="2" w:tplc="27EE3A04">
      <w:start w:val="1"/>
      <w:numFmt w:val="decimal"/>
      <w:lvlText w:val="%3)"/>
      <w:lvlJc w:val="left"/>
      <w:pPr>
        <w:ind w:left="720" w:hanging="360"/>
      </w:pPr>
    </w:lvl>
    <w:lvl w:ilvl="3" w:tplc="0D96AB1E">
      <w:start w:val="1"/>
      <w:numFmt w:val="decimal"/>
      <w:lvlText w:val="%4)"/>
      <w:lvlJc w:val="left"/>
      <w:pPr>
        <w:ind w:left="720" w:hanging="360"/>
      </w:pPr>
    </w:lvl>
    <w:lvl w:ilvl="4" w:tplc="24E00B1A">
      <w:start w:val="1"/>
      <w:numFmt w:val="decimal"/>
      <w:lvlText w:val="%5)"/>
      <w:lvlJc w:val="left"/>
      <w:pPr>
        <w:ind w:left="720" w:hanging="360"/>
      </w:pPr>
    </w:lvl>
    <w:lvl w:ilvl="5" w:tplc="3A3A3162">
      <w:start w:val="1"/>
      <w:numFmt w:val="decimal"/>
      <w:lvlText w:val="%6)"/>
      <w:lvlJc w:val="left"/>
      <w:pPr>
        <w:ind w:left="720" w:hanging="360"/>
      </w:pPr>
    </w:lvl>
    <w:lvl w:ilvl="6" w:tplc="DDD6F8E0">
      <w:start w:val="1"/>
      <w:numFmt w:val="decimal"/>
      <w:lvlText w:val="%7)"/>
      <w:lvlJc w:val="left"/>
      <w:pPr>
        <w:ind w:left="720" w:hanging="360"/>
      </w:pPr>
    </w:lvl>
    <w:lvl w:ilvl="7" w:tplc="735627F2">
      <w:start w:val="1"/>
      <w:numFmt w:val="decimal"/>
      <w:lvlText w:val="%8)"/>
      <w:lvlJc w:val="left"/>
      <w:pPr>
        <w:ind w:left="720" w:hanging="360"/>
      </w:pPr>
    </w:lvl>
    <w:lvl w:ilvl="8" w:tplc="BD2E293E">
      <w:start w:val="1"/>
      <w:numFmt w:val="decimal"/>
      <w:lvlText w:val="%9)"/>
      <w:lvlJc w:val="left"/>
      <w:pPr>
        <w:ind w:left="720" w:hanging="360"/>
      </w:pPr>
    </w:lvl>
  </w:abstractNum>
  <w:abstractNum w:abstractNumId="8" w15:restartNumberingAfterBreak="0">
    <w:nsid w:val="0BB4196D"/>
    <w:multiLevelType w:val="multilevel"/>
    <w:tmpl w:val="2180929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0DD26E1"/>
    <w:multiLevelType w:val="hybridMultilevel"/>
    <w:tmpl w:val="54BE5CAC"/>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40D61EF"/>
    <w:multiLevelType w:val="hybridMultilevel"/>
    <w:tmpl w:val="379A7D64"/>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9DB0C6C"/>
    <w:multiLevelType w:val="hybridMultilevel"/>
    <w:tmpl w:val="8C5C31A8"/>
    <w:lvl w:ilvl="0" w:tplc="809093B0">
      <w:start w:val="1"/>
      <w:numFmt w:val="decimal"/>
      <w:lvlText w:val="%1)"/>
      <w:lvlJc w:val="left"/>
      <w:pPr>
        <w:ind w:left="1020" w:hanging="360"/>
      </w:pPr>
    </w:lvl>
    <w:lvl w:ilvl="1" w:tplc="341A13CE">
      <w:start w:val="1"/>
      <w:numFmt w:val="decimal"/>
      <w:lvlText w:val="%2)"/>
      <w:lvlJc w:val="left"/>
      <w:pPr>
        <w:ind w:left="1020" w:hanging="360"/>
      </w:pPr>
    </w:lvl>
    <w:lvl w:ilvl="2" w:tplc="4620CADE">
      <w:start w:val="1"/>
      <w:numFmt w:val="decimal"/>
      <w:lvlText w:val="%3)"/>
      <w:lvlJc w:val="left"/>
      <w:pPr>
        <w:ind w:left="1020" w:hanging="360"/>
      </w:pPr>
    </w:lvl>
    <w:lvl w:ilvl="3" w:tplc="20B8BF0C">
      <w:start w:val="1"/>
      <w:numFmt w:val="decimal"/>
      <w:lvlText w:val="%4)"/>
      <w:lvlJc w:val="left"/>
      <w:pPr>
        <w:ind w:left="1020" w:hanging="360"/>
      </w:pPr>
    </w:lvl>
    <w:lvl w:ilvl="4" w:tplc="E364363E">
      <w:start w:val="1"/>
      <w:numFmt w:val="decimal"/>
      <w:lvlText w:val="%5)"/>
      <w:lvlJc w:val="left"/>
      <w:pPr>
        <w:ind w:left="1020" w:hanging="360"/>
      </w:pPr>
    </w:lvl>
    <w:lvl w:ilvl="5" w:tplc="6B783A80">
      <w:start w:val="1"/>
      <w:numFmt w:val="decimal"/>
      <w:lvlText w:val="%6)"/>
      <w:lvlJc w:val="left"/>
      <w:pPr>
        <w:ind w:left="1020" w:hanging="360"/>
      </w:pPr>
    </w:lvl>
    <w:lvl w:ilvl="6" w:tplc="8C44B200">
      <w:start w:val="1"/>
      <w:numFmt w:val="decimal"/>
      <w:lvlText w:val="%7)"/>
      <w:lvlJc w:val="left"/>
      <w:pPr>
        <w:ind w:left="1020" w:hanging="360"/>
      </w:pPr>
    </w:lvl>
    <w:lvl w:ilvl="7" w:tplc="3A5AE0E4">
      <w:start w:val="1"/>
      <w:numFmt w:val="decimal"/>
      <w:lvlText w:val="%8)"/>
      <w:lvlJc w:val="left"/>
      <w:pPr>
        <w:ind w:left="1020" w:hanging="360"/>
      </w:pPr>
    </w:lvl>
    <w:lvl w:ilvl="8" w:tplc="235A843C">
      <w:start w:val="1"/>
      <w:numFmt w:val="decimal"/>
      <w:lvlText w:val="%9)"/>
      <w:lvlJc w:val="left"/>
      <w:pPr>
        <w:ind w:left="1020" w:hanging="360"/>
      </w:pPr>
    </w:lvl>
  </w:abstractNum>
  <w:abstractNum w:abstractNumId="12" w15:restartNumberingAfterBreak="0">
    <w:nsid w:val="1D2132E5"/>
    <w:multiLevelType w:val="hybridMultilevel"/>
    <w:tmpl w:val="A142EA8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0482E1B"/>
    <w:multiLevelType w:val="hybridMultilevel"/>
    <w:tmpl w:val="722A41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E3B3C17"/>
    <w:multiLevelType w:val="multilevel"/>
    <w:tmpl w:val="1B5027E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2E937C94"/>
    <w:multiLevelType w:val="hybridMultilevel"/>
    <w:tmpl w:val="F7286B76"/>
    <w:lvl w:ilvl="0" w:tplc="1C3E0122">
      <w:start w:val="1"/>
      <w:numFmt w:val="decimal"/>
      <w:lvlText w:val="%1)"/>
      <w:lvlJc w:val="left"/>
      <w:pPr>
        <w:ind w:left="720" w:hanging="360"/>
      </w:pPr>
    </w:lvl>
    <w:lvl w:ilvl="1" w:tplc="E070A804">
      <w:start w:val="1"/>
      <w:numFmt w:val="decimal"/>
      <w:lvlText w:val="%2)"/>
      <w:lvlJc w:val="left"/>
      <w:pPr>
        <w:ind w:left="720" w:hanging="360"/>
      </w:pPr>
    </w:lvl>
    <w:lvl w:ilvl="2" w:tplc="2572E4E8">
      <w:start w:val="1"/>
      <w:numFmt w:val="decimal"/>
      <w:lvlText w:val="%3)"/>
      <w:lvlJc w:val="left"/>
      <w:pPr>
        <w:ind w:left="720" w:hanging="360"/>
      </w:pPr>
    </w:lvl>
    <w:lvl w:ilvl="3" w:tplc="57001F42">
      <w:start w:val="1"/>
      <w:numFmt w:val="decimal"/>
      <w:lvlText w:val="%4)"/>
      <w:lvlJc w:val="left"/>
      <w:pPr>
        <w:ind w:left="720" w:hanging="360"/>
      </w:pPr>
    </w:lvl>
    <w:lvl w:ilvl="4" w:tplc="79D66B8A">
      <w:start w:val="1"/>
      <w:numFmt w:val="decimal"/>
      <w:lvlText w:val="%5)"/>
      <w:lvlJc w:val="left"/>
      <w:pPr>
        <w:ind w:left="720" w:hanging="360"/>
      </w:pPr>
    </w:lvl>
    <w:lvl w:ilvl="5" w:tplc="26DC16B2">
      <w:start w:val="1"/>
      <w:numFmt w:val="decimal"/>
      <w:lvlText w:val="%6)"/>
      <w:lvlJc w:val="left"/>
      <w:pPr>
        <w:ind w:left="720" w:hanging="360"/>
      </w:pPr>
    </w:lvl>
    <w:lvl w:ilvl="6" w:tplc="2D240EC8">
      <w:start w:val="1"/>
      <w:numFmt w:val="decimal"/>
      <w:lvlText w:val="%7)"/>
      <w:lvlJc w:val="left"/>
      <w:pPr>
        <w:ind w:left="720" w:hanging="360"/>
      </w:pPr>
    </w:lvl>
    <w:lvl w:ilvl="7" w:tplc="5C7A28F6">
      <w:start w:val="1"/>
      <w:numFmt w:val="decimal"/>
      <w:lvlText w:val="%8)"/>
      <w:lvlJc w:val="left"/>
      <w:pPr>
        <w:ind w:left="720" w:hanging="360"/>
      </w:pPr>
    </w:lvl>
    <w:lvl w:ilvl="8" w:tplc="BEB0209A">
      <w:start w:val="1"/>
      <w:numFmt w:val="decimal"/>
      <w:lvlText w:val="%9)"/>
      <w:lvlJc w:val="left"/>
      <w:pPr>
        <w:ind w:left="720" w:hanging="360"/>
      </w:pPr>
    </w:lvl>
  </w:abstractNum>
  <w:abstractNum w:abstractNumId="16" w15:restartNumberingAfterBreak="0">
    <w:nsid w:val="2F3A7C2F"/>
    <w:multiLevelType w:val="multilevel"/>
    <w:tmpl w:val="E6E689C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4526494"/>
    <w:multiLevelType w:val="hybridMultilevel"/>
    <w:tmpl w:val="7BBE93EE"/>
    <w:lvl w:ilvl="0" w:tplc="6C9AE41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46839D0"/>
    <w:multiLevelType w:val="hybridMultilevel"/>
    <w:tmpl w:val="5962804A"/>
    <w:lvl w:ilvl="0" w:tplc="07DA73D6">
      <w:start w:val="1"/>
      <w:numFmt w:val="decimal"/>
      <w:lvlText w:val="%1)"/>
      <w:lvlJc w:val="left"/>
      <w:pPr>
        <w:ind w:left="720" w:hanging="360"/>
      </w:pPr>
    </w:lvl>
    <w:lvl w:ilvl="1" w:tplc="573AA0C8">
      <w:start w:val="1"/>
      <w:numFmt w:val="decimal"/>
      <w:lvlText w:val="%2)"/>
      <w:lvlJc w:val="left"/>
      <w:pPr>
        <w:ind w:left="720" w:hanging="360"/>
      </w:pPr>
    </w:lvl>
    <w:lvl w:ilvl="2" w:tplc="AB042ED4">
      <w:start w:val="1"/>
      <w:numFmt w:val="decimal"/>
      <w:lvlText w:val="%3)"/>
      <w:lvlJc w:val="left"/>
      <w:pPr>
        <w:ind w:left="720" w:hanging="360"/>
      </w:pPr>
    </w:lvl>
    <w:lvl w:ilvl="3" w:tplc="C55008D4">
      <w:start w:val="1"/>
      <w:numFmt w:val="decimal"/>
      <w:lvlText w:val="%4)"/>
      <w:lvlJc w:val="left"/>
      <w:pPr>
        <w:ind w:left="720" w:hanging="360"/>
      </w:pPr>
    </w:lvl>
    <w:lvl w:ilvl="4" w:tplc="091E0C0A">
      <w:start w:val="1"/>
      <w:numFmt w:val="decimal"/>
      <w:lvlText w:val="%5)"/>
      <w:lvlJc w:val="left"/>
      <w:pPr>
        <w:ind w:left="720" w:hanging="360"/>
      </w:pPr>
    </w:lvl>
    <w:lvl w:ilvl="5" w:tplc="523C3E3C">
      <w:start w:val="1"/>
      <w:numFmt w:val="decimal"/>
      <w:lvlText w:val="%6)"/>
      <w:lvlJc w:val="left"/>
      <w:pPr>
        <w:ind w:left="720" w:hanging="360"/>
      </w:pPr>
    </w:lvl>
    <w:lvl w:ilvl="6" w:tplc="049046FE">
      <w:start w:val="1"/>
      <w:numFmt w:val="decimal"/>
      <w:lvlText w:val="%7)"/>
      <w:lvlJc w:val="left"/>
      <w:pPr>
        <w:ind w:left="720" w:hanging="360"/>
      </w:pPr>
    </w:lvl>
    <w:lvl w:ilvl="7" w:tplc="D77AF3F6">
      <w:start w:val="1"/>
      <w:numFmt w:val="decimal"/>
      <w:lvlText w:val="%8)"/>
      <w:lvlJc w:val="left"/>
      <w:pPr>
        <w:ind w:left="720" w:hanging="360"/>
      </w:pPr>
    </w:lvl>
    <w:lvl w:ilvl="8" w:tplc="EBC226E8">
      <w:start w:val="1"/>
      <w:numFmt w:val="decimal"/>
      <w:lvlText w:val="%9)"/>
      <w:lvlJc w:val="left"/>
      <w:pPr>
        <w:ind w:left="720" w:hanging="360"/>
      </w:pPr>
    </w:lvl>
  </w:abstractNum>
  <w:abstractNum w:abstractNumId="19" w15:restartNumberingAfterBreak="0">
    <w:nsid w:val="37016CF8"/>
    <w:multiLevelType w:val="multilevel"/>
    <w:tmpl w:val="4E3EFF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9E12450"/>
    <w:multiLevelType w:val="multilevel"/>
    <w:tmpl w:val="916A1AA6"/>
    <w:lvl w:ilvl="0">
      <w:start w:val="1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D4C3D3E"/>
    <w:multiLevelType w:val="hybridMultilevel"/>
    <w:tmpl w:val="7F3A595E"/>
    <w:lvl w:ilvl="0" w:tplc="F2A442EE">
      <w:start w:val="1"/>
      <w:numFmt w:val="decimal"/>
      <w:lvlText w:val="%1)"/>
      <w:lvlJc w:val="left"/>
      <w:pPr>
        <w:ind w:left="720" w:hanging="360"/>
      </w:pPr>
    </w:lvl>
    <w:lvl w:ilvl="1" w:tplc="2EA62270">
      <w:start w:val="1"/>
      <w:numFmt w:val="decimal"/>
      <w:lvlText w:val="%2)"/>
      <w:lvlJc w:val="left"/>
      <w:pPr>
        <w:ind w:left="720" w:hanging="360"/>
      </w:pPr>
    </w:lvl>
    <w:lvl w:ilvl="2" w:tplc="8234A610">
      <w:start w:val="1"/>
      <w:numFmt w:val="decimal"/>
      <w:lvlText w:val="%3)"/>
      <w:lvlJc w:val="left"/>
      <w:pPr>
        <w:ind w:left="720" w:hanging="360"/>
      </w:pPr>
    </w:lvl>
    <w:lvl w:ilvl="3" w:tplc="4634B3B8">
      <w:start w:val="1"/>
      <w:numFmt w:val="decimal"/>
      <w:lvlText w:val="%4)"/>
      <w:lvlJc w:val="left"/>
      <w:pPr>
        <w:ind w:left="720" w:hanging="360"/>
      </w:pPr>
    </w:lvl>
    <w:lvl w:ilvl="4" w:tplc="26F290E2">
      <w:start w:val="1"/>
      <w:numFmt w:val="decimal"/>
      <w:lvlText w:val="%5)"/>
      <w:lvlJc w:val="left"/>
      <w:pPr>
        <w:ind w:left="720" w:hanging="360"/>
      </w:pPr>
    </w:lvl>
    <w:lvl w:ilvl="5" w:tplc="C724650E">
      <w:start w:val="1"/>
      <w:numFmt w:val="decimal"/>
      <w:lvlText w:val="%6)"/>
      <w:lvlJc w:val="left"/>
      <w:pPr>
        <w:ind w:left="720" w:hanging="360"/>
      </w:pPr>
    </w:lvl>
    <w:lvl w:ilvl="6" w:tplc="26DAF87C">
      <w:start w:val="1"/>
      <w:numFmt w:val="decimal"/>
      <w:lvlText w:val="%7)"/>
      <w:lvlJc w:val="left"/>
      <w:pPr>
        <w:ind w:left="720" w:hanging="360"/>
      </w:pPr>
    </w:lvl>
    <w:lvl w:ilvl="7" w:tplc="576A0030">
      <w:start w:val="1"/>
      <w:numFmt w:val="decimal"/>
      <w:lvlText w:val="%8)"/>
      <w:lvlJc w:val="left"/>
      <w:pPr>
        <w:ind w:left="720" w:hanging="360"/>
      </w:pPr>
    </w:lvl>
    <w:lvl w:ilvl="8" w:tplc="AAE6ED92">
      <w:start w:val="1"/>
      <w:numFmt w:val="decimal"/>
      <w:lvlText w:val="%9)"/>
      <w:lvlJc w:val="left"/>
      <w:pPr>
        <w:ind w:left="720" w:hanging="360"/>
      </w:pPr>
    </w:lvl>
  </w:abstractNum>
  <w:abstractNum w:abstractNumId="22" w15:restartNumberingAfterBreak="0">
    <w:nsid w:val="4CD95D34"/>
    <w:multiLevelType w:val="multilevel"/>
    <w:tmpl w:val="B4E4019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2D46312"/>
    <w:multiLevelType w:val="multilevel"/>
    <w:tmpl w:val="DEB43E2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53BB7D32"/>
    <w:multiLevelType w:val="multilevel"/>
    <w:tmpl w:val="12188A86"/>
    <w:lvl w:ilvl="0">
      <w:start w:val="1"/>
      <w:numFmt w:val="decimal"/>
      <w:pStyle w:val="NApunkts1"/>
      <w:suff w:val="space"/>
      <w:lvlText w:val="%1."/>
      <w:lvlJc w:val="left"/>
      <w:pPr>
        <w:ind w:left="1069"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8C5495D"/>
    <w:multiLevelType w:val="hybridMultilevel"/>
    <w:tmpl w:val="8B3CE2A8"/>
    <w:lvl w:ilvl="0" w:tplc="DFB4933A">
      <w:start w:val="1"/>
      <w:numFmt w:val="decimal"/>
      <w:lvlText w:val="%1)"/>
      <w:lvlJc w:val="left"/>
      <w:pPr>
        <w:ind w:left="1020" w:hanging="360"/>
      </w:pPr>
    </w:lvl>
    <w:lvl w:ilvl="1" w:tplc="C5641C34">
      <w:start w:val="1"/>
      <w:numFmt w:val="decimal"/>
      <w:lvlText w:val="%2)"/>
      <w:lvlJc w:val="left"/>
      <w:pPr>
        <w:ind w:left="1020" w:hanging="360"/>
      </w:pPr>
    </w:lvl>
    <w:lvl w:ilvl="2" w:tplc="74207E2A">
      <w:start w:val="1"/>
      <w:numFmt w:val="decimal"/>
      <w:lvlText w:val="%3)"/>
      <w:lvlJc w:val="left"/>
      <w:pPr>
        <w:ind w:left="1020" w:hanging="360"/>
      </w:pPr>
    </w:lvl>
    <w:lvl w:ilvl="3" w:tplc="A25873C8">
      <w:start w:val="1"/>
      <w:numFmt w:val="decimal"/>
      <w:lvlText w:val="%4)"/>
      <w:lvlJc w:val="left"/>
      <w:pPr>
        <w:ind w:left="1020" w:hanging="360"/>
      </w:pPr>
    </w:lvl>
    <w:lvl w:ilvl="4" w:tplc="4318568A">
      <w:start w:val="1"/>
      <w:numFmt w:val="decimal"/>
      <w:lvlText w:val="%5)"/>
      <w:lvlJc w:val="left"/>
      <w:pPr>
        <w:ind w:left="1020" w:hanging="360"/>
      </w:pPr>
    </w:lvl>
    <w:lvl w:ilvl="5" w:tplc="79A08272">
      <w:start w:val="1"/>
      <w:numFmt w:val="decimal"/>
      <w:lvlText w:val="%6)"/>
      <w:lvlJc w:val="left"/>
      <w:pPr>
        <w:ind w:left="1020" w:hanging="360"/>
      </w:pPr>
    </w:lvl>
    <w:lvl w:ilvl="6" w:tplc="AE58D516">
      <w:start w:val="1"/>
      <w:numFmt w:val="decimal"/>
      <w:lvlText w:val="%7)"/>
      <w:lvlJc w:val="left"/>
      <w:pPr>
        <w:ind w:left="1020" w:hanging="360"/>
      </w:pPr>
    </w:lvl>
    <w:lvl w:ilvl="7" w:tplc="3202F1C6">
      <w:start w:val="1"/>
      <w:numFmt w:val="decimal"/>
      <w:lvlText w:val="%8)"/>
      <w:lvlJc w:val="left"/>
      <w:pPr>
        <w:ind w:left="1020" w:hanging="360"/>
      </w:pPr>
    </w:lvl>
    <w:lvl w:ilvl="8" w:tplc="D1764DDA">
      <w:start w:val="1"/>
      <w:numFmt w:val="decimal"/>
      <w:lvlText w:val="%9)"/>
      <w:lvlJc w:val="left"/>
      <w:pPr>
        <w:ind w:left="1020" w:hanging="360"/>
      </w:pPr>
    </w:lvl>
  </w:abstractNum>
  <w:abstractNum w:abstractNumId="26" w15:restartNumberingAfterBreak="0">
    <w:nsid w:val="5BAB746C"/>
    <w:multiLevelType w:val="multilevel"/>
    <w:tmpl w:val="6F044550"/>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1497E16"/>
    <w:multiLevelType w:val="multilevel"/>
    <w:tmpl w:val="AC389370"/>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22A2001"/>
    <w:multiLevelType w:val="hybridMultilevel"/>
    <w:tmpl w:val="EDBE352C"/>
    <w:lvl w:ilvl="0" w:tplc="2D324646">
      <w:start w:val="1"/>
      <w:numFmt w:val="decimal"/>
      <w:lvlText w:val="%1)"/>
      <w:lvlJc w:val="left"/>
      <w:pPr>
        <w:ind w:left="720" w:hanging="360"/>
      </w:pPr>
    </w:lvl>
    <w:lvl w:ilvl="1" w:tplc="757EC018">
      <w:start w:val="1"/>
      <w:numFmt w:val="decimal"/>
      <w:lvlText w:val="%2)"/>
      <w:lvlJc w:val="left"/>
      <w:pPr>
        <w:ind w:left="720" w:hanging="360"/>
      </w:pPr>
    </w:lvl>
    <w:lvl w:ilvl="2" w:tplc="D8608AB2">
      <w:start w:val="1"/>
      <w:numFmt w:val="decimal"/>
      <w:lvlText w:val="%3)"/>
      <w:lvlJc w:val="left"/>
      <w:pPr>
        <w:ind w:left="720" w:hanging="360"/>
      </w:pPr>
    </w:lvl>
    <w:lvl w:ilvl="3" w:tplc="482E8CC8">
      <w:start w:val="1"/>
      <w:numFmt w:val="decimal"/>
      <w:lvlText w:val="%4)"/>
      <w:lvlJc w:val="left"/>
      <w:pPr>
        <w:ind w:left="720" w:hanging="360"/>
      </w:pPr>
    </w:lvl>
    <w:lvl w:ilvl="4" w:tplc="7130D15A">
      <w:start w:val="1"/>
      <w:numFmt w:val="decimal"/>
      <w:lvlText w:val="%5)"/>
      <w:lvlJc w:val="left"/>
      <w:pPr>
        <w:ind w:left="720" w:hanging="360"/>
      </w:pPr>
    </w:lvl>
    <w:lvl w:ilvl="5" w:tplc="26120E52">
      <w:start w:val="1"/>
      <w:numFmt w:val="decimal"/>
      <w:lvlText w:val="%6)"/>
      <w:lvlJc w:val="left"/>
      <w:pPr>
        <w:ind w:left="720" w:hanging="360"/>
      </w:pPr>
    </w:lvl>
    <w:lvl w:ilvl="6" w:tplc="B918583E">
      <w:start w:val="1"/>
      <w:numFmt w:val="decimal"/>
      <w:lvlText w:val="%7)"/>
      <w:lvlJc w:val="left"/>
      <w:pPr>
        <w:ind w:left="720" w:hanging="360"/>
      </w:pPr>
    </w:lvl>
    <w:lvl w:ilvl="7" w:tplc="A8DC998C">
      <w:start w:val="1"/>
      <w:numFmt w:val="decimal"/>
      <w:lvlText w:val="%8)"/>
      <w:lvlJc w:val="left"/>
      <w:pPr>
        <w:ind w:left="720" w:hanging="360"/>
      </w:pPr>
    </w:lvl>
    <w:lvl w:ilvl="8" w:tplc="18BA1460">
      <w:start w:val="1"/>
      <w:numFmt w:val="decimal"/>
      <w:lvlText w:val="%9)"/>
      <w:lvlJc w:val="left"/>
      <w:pPr>
        <w:ind w:left="720" w:hanging="360"/>
      </w:pPr>
    </w:lvl>
  </w:abstractNum>
  <w:abstractNum w:abstractNumId="29" w15:restartNumberingAfterBreak="0">
    <w:nsid w:val="6C5C5ECD"/>
    <w:multiLevelType w:val="multilevel"/>
    <w:tmpl w:val="5B92453A"/>
    <w:lvl w:ilvl="0">
      <w:start w:val="1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D0C232D"/>
    <w:multiLevelType w:val="multilevel"/>
    <w:tmpl w:val="7A686024"/>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72FA3820"/>
    <w:multiLevelType w:val="multilevel"/>
    <w:tmpl w:val="D3F6457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75783E2E"/>
    <w:multiLevelType w:val="multilevel"/>
    <w:tmpl w:val="49EEA9D8"/>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9ED5854"/>
    <w:multiLevelType w:val="hybridMultilevel"/>
    <w:tmpl w:val="9480882A"/>
    <w:lvl w:ilvl="0" w:tplc="1458C874">
      <w:start w:val="1"/>
      <w:numFmt w:val="decimal"/>
      <w:lvlText w:val="%1)"/>
      <w:lvlJc w:val="left"/>
      <w:pPr>
        <w:ind w:left="1020" w:hanging="360"/>
      </w:pPr>
    </w:lvl>
    <w:lvl w:ilvl="1" w:tplc="C6BA5582">
      <w:start w:val="1"/>
      <w:numFmt w:val="decimal"/>
      <w:lvlText w:val="%2)"/>
      <w:lvlJc w:val="left"/>
      <w:pPr>
        <w:ind w:left="1020" w:hanging="360"/>
      </w:pPr>
    </w:lvl>
    <w:lvl w:ilvl="2" w:tplc="B7CCBD7C">
      <w:start w:val="1"/>
      <w:numFmt w:val="decimal"/>
      <w:lvlText w:val="%3)"/>
      <w:lvlJc w:val="left"/>
      <w:pPr>
        <w:ind w:left="1020" w:hanging="360"/>
      </w:pPr>
    </w:lvl>
    <w:lvl w:ilvl="3" w:tplc="F9862DDA">
      <w:start w:val="1"/>
      <w:numFmt w:val="decimal"/>
      <w:lvlText w:val="%4)"/>
      <w:lvlJc w:val="left"/>
      <w:pPr>
        <w:ind w:left="1020" w:hanging="360"/>
      </w:pPr>
    </w:lvl>
    <w:lvl w:ilvl="4" w:tplc="5C6AA50C">
      <w:start w:val="1"/>
      <w:numFmt w:val="decimal"/>
      <w:lvlText w:val="%5)"/>
      <w:lvlJc w:val="left"/>
      <w:pPr>
        <w:ind w:left="1020" w:hanging="360"/>
      </w:pPr>
    </w:lvl>
    <w:lvl w:ilvl="5" w:tplc="6394C4F8">
      <w:start w:val="1"/>
      <w:numFmt w:val="decimal"/>
      <w:lvlText w:val="%6)"/>
      <w:lvlJc w:val="left"/>
      <w:pPr>
        <w:ind w:left="1020" w:hanging="360"/>
      </w:pPr>
    </w:lvl>
    <w:lvl w:ilvl="6" w:tplc="F192FBF8">
      <w:start w:val="1"/>
      <w:numFmt w:val="decimal"/>
      <w:lvlText w:val="%7)"/>
      <w:lvlJc w:val="left"/>
      <w:pPr>
        <w:ind w:left="1020" w:hanging="360"/>
      </w:pPr>
    </w:lvl>
    <w:lvl w:ilvl="7" w:tplc="DF0EB61C">
      <w:start w:val="1"/>
      <w:numFmt w:val="decimal"/>
      <w:lvlText w:val="%8)"/>
      <w:lvlJc w:val="left"/>
      <w:pPr>
        <w:ind w:left="1020" w:hanging="360"/>
      </w:pPr>
    </w:lvl>
    <w:lvl w:ilvl="8" w:tplc="E57C6E8A">
      <w:start w:val="1"/>
      <w:numFmt w:val="decimal"/>
      <w:lvlText w:val="%9)"/>
      <w:lvlJc w:val="left"/>
      <w:pPr>
        <w:ind w:left="1020" w:hanging="360"/>
      </w:pPr>
    </w:lvl>
  </w:abstractNum>
  <w:num w:numId="1" w16cid:durableId="1957129373">
    <w:abstractNumId w:val="24"/>
  </w:num>
  <w:num w:numId="2" w16cid:durableId="1545101033">
    <w:abstractNumId w:val="12"/>
  </w:num>
  <w:num w:numId="3" w16cid:durableId="646209490">
    <w:abstractNumId w:val="2"/>
  </w:num>
  <w:num w:numId="4" w16cid:durableId="178277031">
    <w:abstractNumId w:val="13"/>
  </w:num>
  <w:num w:numId="5" w16cid:durableId="1037463500">
    <w:abstractNumId w:val="17"/>
  </w:num>
  <w:num w:numId="6" w16cid:durableId="542061753">
    <w:abstractNumId w:val="33"/>
  </w:num>
  <w:num w:numId="7" w16cid:durableId="1843661352">
    <w:abstractNumId w:val="3"/>
  </w:num>
  <w:num w:numId="8" w16cid:durableId="495388790">
    <w:abstractNumId w:val="25"/>
  </w:num>
  <w:num w:numId="9" w16cid:durableId="1448700116">
    <w:abstractNumId w:val="21"/>
  </w:num>
  <w:num w:numId="10" w16cid:durableId="771899687">
    <w:abstractNumId w:val="11"/>
  </w:num>
  <w:num w:numId="11" w16cid:durableId="439374272">
    <w:abstractNumId w:val="15"/>
  </w:num>
  <w:num w:numId="12" w16cid:durableId="1947301494">
    <w:abstractNumId w:val="18"/>
  </w:num>
  <w:num w:numId="13" w16cid:durableId="78141489">
    <w:abstractNumId w:val="28"/>
  </w:num>
  <w:num w:numId="14" w16cid:durableId="1049844731">
    <w:abstractNumId w:val="0"/>
  </w:num>
  <w:num w:numId="15" w16cid:durableId="1128746752">
    <w:abstractNumId w:val="6"/>
  </w:num>
  <w:num w:numId="16" w16cid:durableId="1143737549">
    <w:abstractNumId w:val="7"/>
  </w:num>
  <w:num w:numId="17" w16cid:durableId="8189579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8827320">
    <w:abstractNumId w:val="1"/>
    <w:lvlOverride w:ilvl="0">
      <w:startOverride w:val="1"/>
      <w:lvl w:ilvl="0">
        <w:start w:val="1"/>
        <w:numFmt w:val="lowerLetter"/>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9" w16cid:durableId="895090905">
    <w:abstractNumId w:val="1"/>
    <w:lvlOverride w:ilvl="0">
      <w:startOverride w:val="1"/>
      <w:lvl w:ilvl="0">
        <w:start w:val="1"/>
        <w:numFmt w:val="lowerLetter"/>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0" w16cid:durableId="972561296">
    <w:abstractNumId w:val="1"/>
    <w:lvlOverride w:ilvl="0">
      <w:startOverride w:val="1"/>
      <w:lvl w:ilvl="0">
        <w:start w:val="1"/>
        <w:numFmt w:val="lowerLetter"/>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1" w16cid:durableId="1651012737">
    <w:abstractNumId w:val="22"/>
    <w:lvlOverride w:ilvl="0">
      <w:startOverride w:val="2"/>
      <w:lvl w:ilvl="0">
        <w:start w:val="2"/>
        <w:numFmt w:val="decimal"/>
        <w:lvlText w:val="%1."/>
        <w:lvlJc w:val="left"/>
        <w:pPr>
          <w:ind w:left="3685"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2" w16cid:durableId="1671172480">
    <w:abstractNumId w:val="14"/>
    <w:lvlOverride w:ilvl="0">
      <w:startOverride w:val="3"/>
      <w:lvl w:ilvl="0">
        <w:start w:val="3"/>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3" w16cid:durableId="1124881985">
    <w:abstractNumId w:val="8"/>
    <w:lvlOverride w:ilvl="0">
      <w:startOverride w:val="4"/>
      <w:lvl w:ilvl="0">
        <w:start w:val="4"/>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4" w16cid:durableId="111479465">
    <w:abstractNumId w:val="31"/>
    <w:lvlOverride w:ilvl="0">
      <w:startOverride w:val="5"/>
      <w:lvl w:ilvl="0">
        <w:start w:val="5"/>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5" w16cid:durableId="1986659976">
    <w:abstractNumId w:val="23"/>
    <w:lvlOverride w:ilvl="0">
      <w:startOverride w:val="6"/>
      <w:lvl w:ilvl="0">
        <w:start w:val="6"/>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6" w16cid:durableId="268854356">
    <w:abstractNumId w:val="4"/>
    <w:lvlOverride w:ilvl="0">
      <w:startOverride w:val="7"/>
      <w:lvl w:ilvl="0">
        <w:start w:val="7"/>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7" w16cid:durableId="1872456237">
    <w:abstractNumId w:val="16"/>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8" w16cid:durableId="430904257">
    <w:abstractNumId w:val="32"/>
    <w:lvlOverride w:ilvl="0">
      <w:startOverride w:val="9"/>
      <w:lvl w:ilvl="0">
        <w:start w:val="9"/>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9" w16cid:durableId="1927183019">
    <w:abstractNumId w:val="30"/>
    <w:lvlOverride w:ilvl="0">
      <w:startOverride w:val="10"/>
      <w:lvl w:ilvl="0">
        <w:start w:val="10"/>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0" w16cid:durableId="1129589274">
    <w:abstractNumId w:val="27"/>
    <w:lvlOverride w:ilvl="0">
      <w:startOverride w:val="11"/>
      <w:lvl w:ilvl="0">
        <w:start w:val="11"/>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1" w16cid:durableId="1259799933">
    <w:abstractNumId w:val="26"/>
    <w:lvlOverride w:ilvl="0">
      <w:startOverride w:val="12"/>
      <w:lvl w:ilvl="0">
        <w:start w:val="12"/>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2" w16cid:durableId="1563442451">
    <w:abstractNumId w:val="20"/>
    <w:lvlOverride w:ilvl="0">
      <w:startOverride w:val="13"/>
      <w:lvl w:ilvl="0">
        <w:start w:val="13"/>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3" w16cid:durableId="1889678717">
    <w:abstractNumId w:val="5"/>
    <w:lvlOverride w:ilvl="0">
      <w:startOverride w:val="14"/>
      <w:lvl w:ilvl="0">
        <w:start w:val="14"/>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4" w16cid:durableId="1136872872">
    <w:abstractNumId w:val="29"/>
    <w:lvlOverride w:ilvl="0">
      <w:startOverride w:val="15"/>
      <w:lvl w:ilvl="0">
        <w:start w:val="15"/>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5" w16cid:durableId="1204827773">
    <w:abstractNumId w:val="9"/>
  </w:num>
  <w:num w:numId="36" w16cid:durableId="98397050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BE"/>
    <w:rsid w:val="000008A7"/>
    <w:rsid w:val="00002785"/>
    <w:rsid w:val="000028BC"/>
    <w:rsid w:val="00003AA2"/>
    <w:rsid w:val="00015A06"/>
    <w:rsid w:val="00025C42"/>
    <w:rsid w:val="000263F5"/>
    <w:rsid w:val="00042DA2"/>
    <w:rsid w:val="0004650F"/>
    <w:rsid w:val="00051C63"/>
    <w:rsid w:val="00060540"/>
    <w:rsid w:val="0007334E"/>
    <w:rsid w:val="0007549A"/>
    <w:rsid w:val="000756A5"/>
    <w:rsid w:val="00084AE8"/>
    <w:rsid w:val="0008510E"/>
    <w:rsid w:val="000852F4"/>
    <w:rsid w:val="00086922"/>
    <w:rsid w:val="00090C91"/>
    <w:rsid w:val="00092145"/>
    <w:rsid w:val="00092D09"/>
    <w:rsid w:val="00093F6A"/>
    <w:rsid w:val="0009595C"/>
    <w:rsid w:val="0009616F"/>
    <w:rsid w:val="000A016D"/>
    <w:rsid w:val="000A0650"/>
    <w:rsid w:val="000A1124"/>
    <w:rsid w:val="000A4BCE"/>
    <w:rsid w:val="000A6A4F"/>
    <w:rsid w:val="000B2941"/>
    <w:rsid w:val="000B4E0A"/>
    <w:rsid w:val="000C29D8"/>
    <w:rsid w:val="000C339D"/>
    <w:rsid w:val="000C6B17"/>
    <w:rsid w:val="000D016C"/>
    <w:rsid w:val="000D2EB6"/>
    <w:rsid w:val="000D67FE"/>
    <w:rsid w:val="000E1BD9"/>
    <w:rsid w:val="000E2021"/>
    <w:rsid w:val="000E26D5"/>
    <w:rsid w:val="000E37A1"/>
    <w:rsid w:val="000E41C3"/>
    <w:rsid w:val="000E5BFC"/>
    <w:rsid w:val="000F0FA1"/>
    <w:rsid w:val="000F3039"/>
    <w:rsid w:val="000F460F"/>
    <w:rsid w:val="001055C9"/>
    <w:rsid w:val="00115868"/>
    <w:rsid w:val="00121EC4"/>
    <w:rsid w:val="00123491"/>
    <w:rsid w:val="0012417B"/>
    <w:rsid w:val="00127DA3"/>
    <w:rsid w:val="00132070"/>
    <w:rsid w:val="0013292B"/>
    <w:rsid w:val="00133247"/>
    <w:rsid w:val="00133F6A"/>
    <w:rsid w:val="001351AC"/>
    <w:rsid w:val="001400DA"/>
    <w:rsid w:val="00143A48"/>
    <w:rsid w:val="00151AEA"/>
    <w:rsid w:val="00155157"/>
    <w:rsid w:val="00155C20"/>
    <w:rsid w:val="001579BC"/>
    <w:rsid w:val="00161B8F"/>
    <w:rsid w:val="00164E8B"/>
    <w:rsid w:val="001657D4"/>
    <w:rsid w:val="00171330"/>
    <w:rsid w:val="001719D0"/>
    <w:rsid w:val="00175148"/>
    <w:rsid w:val="0018077D"/>
    <w:rsid w:val="00180D94"/>
    <w:rsid w:val="00180E71"/>
    <w:rsid w:val="00190A47"/>
    <w:rsid w:val="00191E28"/>
    <w:rsid w:val="001A112D"/>
    <w:rsid w:val="001A254D"/>
    <w:rsid w:val="001A5171"/>
    <w:rsid w:val="001C2FDC"/>
    <w:rsid w:val="001C6496"/>
    <w:rsid w:val="001C7E29"/>
    <w:rsid w:val="001D3D20"/>
    <w:rsid w:val="001D7C98"/>
    <w:rsid w:val="001E02C5"/>
    <w:rsid w:val="001E0B00"/>
    <w:rsid w:val="001E2C69"/>
    <w:rsid w:val="001F05A4"/>
    <w:rsid w:val="001F4234"/>
    <w:rsid w:val="001F5C3D"/>
    <w:rsid w:val="00215A66"/>
    <w:rsid w:val="00220C3F"/>
    <w:rsid w:val="002223DB"/>
    <w:rsid w:val="00227030"/>
    <w:rsid w:val="00227E89"/>
    <w:rsid w:val="0023543A"/>
    <w:rsid w:val="002449C4"/>
    <w:rsid w:val="002527D2"/>
    <w:rsid w:val="00252D00"/>
    <w:rsid w:val="00256264"/>
    <w:rsid w:val="00256FD7"/>
    <w:rsid w:val="00266246"/>
    <w:rsid w:val="002703B1"/>
    <w:rsid w:val="0028031E"/>
    <w:rsid w:val="00282AB0"/>
    <w:rsid w:val="00282DD0"/>
    <w:rsid w:val="00286B0F"/>
    <w:rsid w:val="00292F88"/>
    <w:rsid w:val="0029352D"/>
    <w:rsid w:val="002A1F1B"/>
    <w:rsid w:val="002A2A5F"/>
    <w:rsid w:val="002A3B67"/>
    <w:rsid w:val="002A42F8"/>
    <w:rsid w:val="002A4F90"/>
    <w:rsid w:val="002A74B7"/>
    <w:rsid w:val="002B0F1C"/>
    <w:rsid w:val="002B29EC"/>
    <w:rsid w:val="002B56EF"/>
    <w:rsid w:val="002C06A6"/>
    <w:rsid w:val="002C1693"/>
    <w:rsid w:val="002C2EB1"/>
    <w:rsid w:val="002C3F17"/>
    <w:rsid w:val="002C4548"/>
    <w:rsid w:val="002C576C"/>
    <w:rsid w:val="002D25BE"/>
    <w:rsid w:val="002D7EC2"/>
    <w:rsid w:val="002E1BA7"/>
    <w:rsid w:val="002E2E36"/>
    <w:rsid w:val="002F0962"/>
    <w:rsid w:val="002F2F54"/>
    <w:rsid w:val="002F6D79"/>
    <w:rsid w:val="002F7C25"/>
    <w:rsid w:val="0030028C"/>
    <w:rsid w:val="0030374D"/>
    <w:rsid w:val="00307915"/>
    <w:rsid w:val="00307AF8"/>
    <w:rsid w:val="003111BD"/>
    <w:rsid w:val="003140CC"/>
    <w:rsid w:val="003174A4"/>
    <w:rsid w:val="00317A94"/>
    <w:rsid w:val="00321965"/>
    <w:rsid w:val="0032495A"/>
    <w:rsid w:val="003269C0"/>
    <w:rsid w:val="00333A47"/>
    <w:rsid w:val="003344C2"/>
    <w:rsid w:val="00335796"/>
    <w:rsid w:val="00342D82"/>
    <w:rsid w:val="00344E18"/>
    <w:rsid w:val="003500FB"/>
    <w:rsid w:val="00351B97"/>
    <w:rsid w:val="003529DA"/>
    <w:rsid w:val="003553A5"/>
    <w:rsid w:val="003623CE"/>
    <w:rsid w:val="00363C65"/>
    <w:rsid w:val="00365394"/>
    <w:rsid w:val="003661DF"/>
    <w:rsid w:val="003671E1"/>
    <w:rsid w:val="00380793"/>
    <w:rsid w:val="0038415A"/>
    <w:rsid w:val="00387C23"/>
    <w:rsid w:val="00392A99"/>
    <w:rsid w:val="00394095"/>
    <w:rsid w:val="0039593E"/>
    <w:rsid w:val="003A29CF"/>
    <w:rsid w:val="003A7AD9"/>
    <w:rsid w:val="003B481B"/>
    <w:rsid w:val="003B70D8"/>
    <w:rsid w:val="003B76C8"/>
    <w:rsid w:val="003C0EC3"/>
    <w:rsid w:val="003C68A7"/>
    <w:rsid w:val="003C78F0"/>
    <w:rsid w:val="003D24AF"/>
    <w:rsid w:val="003D4C96"/>
    <w:rsid w:val="003D6EB0"/>
    <w:rsid w:val="003E22AF"/>
    <w:rsid w:val="003E7B9B"/>
    <w:rsid w:val="003F0209"/>
    <w:rsid w:val="003F1E81"/>
    <w:rsid w:val="00400F08"/>
    <w:rsid w:val="0040342E"/>
    <w:rsid w:val="0042020F"/>
    <w:rsid w:val="00420EDF"/>
    <w:rsid w:val="00422C8C"/>
    <w:rsid w:val="00423A45"/>
    <w:rsid w:val="004333EE"/>
    <w:rsid w:val="00434924"/>
    <w:rsid w:val="0043550E"/>
    <w:rsid w:val="004408E4"/>
    <w:rsid w:val="00440EA5"/>
    <w:rsid w:val="004441A8"/>
    <w:rsid w:val="00444DAD"/>
    <w:rsid w:val="00446E16"/>
    <w:rsid w:val="00451991"/>
    <w:rsid w:val="004523D1"/>
    <w:rsid w:val="0045371F"/>
    <w:rsid w:val="00460EFD"/>
    <w:rsid w:val="00463813"/>
    <w:rsid w:val="00464450"/>
    <w:rsid w:val="00473785"/>
    <w:rsid w:val="004841C0"/>
    <w:rsid w:val="0049248A"/>
    <w:rsid w:val="004937A8"/>
    <w:rsid w:val="00496244"/>
    <w:rsid w:val="004A3FB2"/>
    <w:rsid w:val="004A50AA"/>
    <w:rsid w:val="004A70FE"/>
    <w:rsid w:val="004A712C"/>
    <w:rsid w:val="004A7F92"/>
    <w:rsid w:val="004B4022"/>
    <w:rsid w:val="004B50D8"/>
    <w:rsid w:val="004C0B4B"/>
    <w:rsid w:val="004C1F75"/>
    <w:rsid w:val="004C2A9C"/>
    <w:rsid w:val="004C77D2"/>
    <w:rsid w:val="004D40BA"/>
    <w:rsid w:val="004F0D33"/>
    <w:rsid w:val="004F2605"/>
    <w:rsid w:val="004F2B06"/>
    <w:rsid w:val="004F4D6C"/>
    <w:rsid w:val="004F57D5"/>
    <w:rsid w:val="004F6DBD"/>
    <w:rsid w:val="00503E9B"/>
    <w:rsid w:val="00504995"/>
    <w:rsid w:val="00510DF0"/>
    <w:rsid w:val="0051545D"/>
    <w:rsid w:val="00525F2D"/>
    <w:rsid w:val="005267C2"/>
    <w:rsid w:val="005317FD"/>
    <w:rsid w:val="00533B1E"/>
    <w:rsid w:val="0053499D"/>
    <w:rsid w:val="00542B7A"/>
    <w:rsid w:val="005541EE"/>
    <w:rsid w:val="00556150"/>
    <w:rsid w:val="0056418B"/>
    <w:rsid w:val="00564A72"/>
    <w:rsid w:val="0056522A"/>
    <w:rsid w:val="00566D25"/>
    <w:rsid w:val="00571D19"/>
    <w:rsid w:val="005724F3"/>
    <w:rsid w:val="00582DC0"/>
    <w:rsid w:val="005832DE"/>
    <w:rsid w:val="0059046A"/>
    <w:rsid w:val="00592B27"/>
    <w:rsid w:val="005A1414"/>
    <w:rsid w:val="005A22ED"/>
    <w:rsid w:val="005B15D8"/>
    <w:rsid w:val="005B3E28"/>
    <w:rsid w:val="005B462E"/>
    <w:rsid w:val="005C03CE"/>
    <w:rsid w:val="005C3894"/>
    <w:rsid w:val="005C6F61"/>
    <w:rsid w:val="005D0FA9"/>
    <w:rsid w:val="005D2FB7"/>
    <w:rsid w:val="005D6537"/>
    <w:rsid w:val="005E49A9"/>
    <w:rsid w:val="0060016E"/>
    <w:rsid w:val="00612662"/>
    <w:rsid w:val="00612AFC"/>
    <w:rsid w:val="00616D49"/>
    <w:rsid w:val="006222E9"/>
    <w:rsid w:val="00623C1F"/>
    <w:rsid w:val="00624E00"/>
    <w:rsid w:val="0063540F"/>
    <w:rsid w:val="00640E73"/>
    <w:rsid w:val="00642172"/>
    <w:rsid w:val="00642AAD"/>
    <w:rsid w:val="00645DCF"/>
    <w:rsid w:val="00647642"/>
    <w:rsid w:val="00650BD7"/>
    <w:rsid w:val="00660C04"/>
    <w:rsid w:val="00662FED"/>
    <w:rsid w:val="00670FEA"/>
    <w:rsid w:val="0067277C"/>
    <w:rsid w:val="0067587D"/>
    <w:rsid w:val="00675C34"/>
    <w:rsid w:val="00685F7B"/>
    <w:rsid w:val="00687634"/>
    <w:rsid w:val="00694040"/>
    <w:rsid w:val="006A034F"/>
    <w:rsid w:val="006A0DFB"/>
    <w:rsid w:val="006A3717"/>
    <w:rsid w:val="006A487B"/>
    <w:rsid w:val="006A789A"/>
    <w:rsid w:val="006B1D10"/>
    <w:rsid w:val="006B649E"/>
    <w:rsid w:val="006C2720"/>
    <w:rsid w:val="006C66B2"/>
    <w:rsid w:val="006C77E0"/>
    <w:rsid w:val="006E09E8"/>
    <w:rsid w:val="006E54D9"/>
    <w:rsid w:val="006F11D8"/>
    <w:rsid w:val="006F3EA0"/>
    <w:rsid w:val="006F5825"/>
    <w:rsid w:val="006F75FD"/>
    <w:rsid w:val="00703EFE"/>
    <w:rsid w:val="00705518"/>
    <w:rsid w:val="00715244"/>
    <w:rsid w:val="0071591F"/>
    <w:rsid w:val="0071693F"/>
    <w:rsid w:val="00726EF4"/>
    <w:rsid w:val="007333BB"/>
    <w:rsid w:val="007338EA"/>
    <w:rsid w:val="0073454A"/>
    <w:rsid w:val="00736A18"/>
    <w:rsid w:val="00737CE4"/>
    <w:rsid w:val="007400AE"/>
    <w:rsid w:val="00740FC7"/>
    <w:rsid w:val="00743043"/>
    <w:rsid w:val="0074636A"/>
    <w:rsid w:val="007513D9"/>
    <w:rsid w:val="00751E0D"/>
    <w:rsid w:val="00752B87"/>
    <w:rsid w:val="00756820"/>
    <w:rsid w:val="00761CCB"/>
    <w:rsid w:val="00762371"/>
    <w:rsid w:val="007626F4"/>
    <w:rsid w:val="00764707"/>
    <w:rsid w:val="007751C0"/>
    <w:rsid w:val="0078144F"/>
    <w:rsid w:val="0078519E"/>
    <w:rsid w:val="0079041D"/>
    <w:rsid w:val="00790CDB"/>
    <w:rsid w:val="007B1305"/>
    <w:rsid w:val="007B4ABE"/>
    <w:rsid w:val="007B61E6"/>
    <w:rsid w:val="007B749B"/>
    <w:rsid w:val="007C0CA7"/>
    <w:rsid w:val="007C1774"/>
    <w:rsid w:val="007C4DD6"/>
    <w:rsid w:val="007C63D9"/>
    <w:rsid w:val="007E313B"/>
    <w:rsid w:val="007E7119"/>
    <w:rsid w:val="007F1075"/>
    <w:rsid w:val="007F2D60"/>
    <w:rsid w:val="007F311C"/>
    <w:rsid w:val="00801379"/>
    <w:rsid w:val="0080241F"/>
    <w:rsid w:val="00802B00"/>
    <w:rsid w:val="008043A7"/>
    <w:rsid w:val="00806624"/>
    <w:rsid w:val="0082339E"/>
    <w:rsid w:val="00823693"/>
    <w:rsid w:val="00825B65"/>
    <w:rsid w:val="00835788"/>
    <w:rsid w:val="008375B5"/>
    <w:rsid w:val="00844CD7"/>
    <w:rsid w:val="00851318"/>
    <w:rsid w:val="00851815"/>
    <w:rsid w:val="00853445"/>
    <w:rsid w:val="00855C6F"/>
    <w:rsid w:val="00863D1A"/>
    <w:rsid w:val="00864718"/>
    <w:rsid w:val="00864BFD"/>
    <w:rsid w:val="0086590F"/>
    <w:rsid w:val="0086764A"/>
    <w:rsid w:val="00870327"/>
    <w:rsid w:val="00870DFB"/>
    <w:rsid w:val="008713CC"/>
    <w:rsid w:val="00873796"/>
    <w:rsid w:val="008737DB"/>
    <w:rsid w:val="00880453"/>
    <w:rsid w:val="00882FF7"/>
    <w:rsid w:val="00890ED1"/>
    <w:rsid w:val="008946D6"/>
    <w:rsid w:val="00897247"/>
    <w:rsid w:val="008A0512"/>
    <w:rsid w:val="008A0F95"/>
    <w:rsid w:val="008A2EEC"/>
    <w:rsid w:val="008A4147"/>
    <w:rsid w:val="008A582E"/>
    <w:rsid w:val="008B34AB"/>
    <w:rsid w:val="008B666F"/>
    <w:rsid w:val="008B72F1"/>
    <w:rsid w:val="008C3B86"/>
    <w:rsid w:val="008D2686"/>
    <w:rsid w:val="008D4A9E"/>
    <w:rsid w:val="008D52A1"/>
    <w:rsid w:val="008F3B27"/>
    <w:rsid w:val="008F557C"/>
    <w:rsid w:val="00916DB8"/>
    <w:rsid w:val="00920831"/>
    <w:rsid w:val="0093126E"/>
    <w:rsid w:val="009348CC"/>
    <w:rsid w:val="00935455"/>
    <w:rsid w:val="0094391D"/>
    <w:rsid w:val="009468AB"/>
    <w:rsid w:val="00952B08"/>
    <w:rsid w:val="00952D35"/>
    <w:rsid w:val="00955F48"/>
    <w:rsid w:val="009561E7"/>
    <w:rsid w:val="0098150E"/>
    <w:rsid w:val="0098174A"/>
    <w:rsid w:val="00993171"/>
    <w:rsid w:val="009A06B7"/>
    <w:rsid w:val="009B250B"/>
    <w:rsid w:val="009B27BE"/>
    <w:rsid w:val="009B3FB7"/>
    <w:rsid w:val="009B7E68"/>
    <w:rsid w:val="009C2FD4"/>
    <w:rsid w:val="009D0388"/>
    <w:rsid w:val="009D53BE"/>
    <w:rsid w:val="009D552D"/>
    <w:rsid w:val="009D69BC"/>
    <w:rsid w:val="009E4C9E"/>
    <w:rsid w:val="009E67B4"/>
    <w:rsid w:val="009F0419"/>
    <w:rsid w:val="009F2118"/>
    <w:rsid w:val="009F23B8"/>
    <w:rsid w:val="009F3E8A"/>
    <w:rsid w:val="009F6623"/>
    <w:rsid w:val="00A0418B"/>
    <w:rsid w:val="00A063CE"/>
    <w:rsid w:val="00A070CE"/>
    <w:rsid w:val="00A074D4"/>
    <w:rsid w:val="00A1769D"/>
    <w:rsid w:val="00A176B5"/>
    <w:rsid w:val="00A21BBF"/>
    <w:rsid w:val="00A2634F"/>
    <w:rsid w:val="00A36AAF"/>
    <w:rsid w:val="00A37D5C"/>
    <w:rsid w:val="00A4167A"/>
    <w:rsid w:val="00A41CD8"/>
    <w:rsid w:val="00A42788"/>
    <w:rsid w:val="00A4299B"/>
    <w:rsid w:val="00A4322B"/>
    <w:rsid w:val="00A44ED9"/>
    <w:rsid w:val="00A472F7"/>
    <w:rsid w:val="00A55FA4"/>
    <w:rsid w:val="00A61602"/>
    <w:rsid w:val="00A6548A"/>
    <w:rsid w:val="00A65A4F"/>
    <w:rsid w:val="00A76911"/>
    <w:rsid w:val="00A812D7"/>
    <w:rsid w:val="00A84C16"/>
    <w:rsid w:val="00A941C2"/>
    <w:rsid w:val="00A9668C"/>
    <w:rsid w:val="00A97009"/>
    <w:rsid w:val="00A97597"/>
    <w:rsid w:val="00AA0E51"/>
    <w:rsid w:val="00AA28D9"/>
    <w:rsid w:val="00AA41AC"/>
    <w:rsid w:val="00AA4EFA"/>
    <w:rsid w:val="00AB1B43"/>
    <w:rsid w:val="00AB5E88"/>
    <w:rsid w:val="00AB63C0"/>
    <w:rsid w:val="00AB6525"/>
    <w:rsid w:val="00AB7149"/>
    <w:rsid w:val="00AB792A"/>
    <w:rsid w:val="00AC557C"/>
    <w:rsid w:val="00AD0FC5"/>
    <w:rsid w:val="00AE379F"/>
    <w:rsid w:val="00AE51D2"/>
    <w:rsid w:val="00AE6CBB"/>
    <w:rsid w:val="00AF1CDB"/>
    <w:rsid w:val="00AF1DAB"/>
    <w:rsid w:val="00AF674D"/>
    <w:rsid w:val="00AF69C8"/>
    <w:rsid w:val="00AF7176"/>
    <w:rsid w:val="00B06FC7"/>
    <w:rsid w:val="00B12E0F"/>
    <w:rsid w:val="00B151FC"/>
    <w:rsid w:val="00B239A5"/>
    <w:rsid w:val="00B24984"/>
    <w:rsid w:val="00B35953"/>
    <w:rsid w:val="00B41BD1"/>
    <w:rsid w:val="00B46EEE"/>
    <w:rsid w:val="00B52ECC"/>
    <w:rsid w:val="00B61AAF"/>
    <w:rsid w:val="00B62244"/>
    <w:rsid w:val="00B67F77"/>
    <w:rsid w:val="00B72AB3"/>
    <w:rsid w:val="00B87141"/>
    <w:rsid w:val="00B91ED3"/>
    <w:rsid w:val="00B95DAB"/>
    <w:rsid w:val="00B97636"/>
    <w:rsid w:val="00BA0DAF"/>
    <w:rsid w:val="00BA23C3"/>
    <w:rsid w:val="00BB7921"/>
    <w:rsid w:val="00BC03DF"/>
    <w:rsid w:val="00BC2255"/>
    <w:rsid w:val="00BC7330"/>
    <w:rsid w:val="00BD0FAC"/>
    <w:rsid w:val="00BD1BDB"/>
    <w:rsid w:val="00BD1D1C"/>
    <w:rsid w:val="00BE4173"/>
    <w:rsid w:val="00BE450A"/>
    <w:rsid w:val="00BF4377"/>
    <w:rsid w:val="00C0234C"/>
    <w:rsid w:val="00C10A45"/>
    <w:rsid w:val="00C449E0"/>
    <w:rsid w:val="00C52954"/>
    <w:rsid w:val="00C5305C"/>
    <w:rsid w:val="00C5567F"/>
    <w:rsid w:val="00C56232"/>
    <w:rsid w:val="00C5771D"/>
    <w:rsid w:val="00C61FA1"/>
    <w:rsid w:val="00C63709"/>
    <w:rsid w:val="00C663E9"/>
    <w:rsid w:val="00C66547"/>
    <w:rsid w:val="00C670E3"/>
    <w:rsid w:val="00C671C4"/>
    <w:rsid w:val="00C7393B"/>
    <w:rsid w:val="00C75647"/>
    <w:rsid w:val="00C827DE"/>
    <w:rsid w:val="00C845C0"/>
    <w:rsid w:val="00C85C34"/>
    <w:rsid w:val="00C90EAA"/>
    <w:rsid w:val="00C93407"/>
    <w:rsid w:val="00C94F9C"/>
    <w:rsid w:val="00CA0DE3"/>
    <w:rsid w:val="00CA28AB"/>
    <w:rsid w:val="00CA4FFC"/>
    <w:rsid w:val="00CB58D9"/>
    <w:rsid w:val="00CB593C"/>
    <w:rsid w:val="00CB638F"/>
    <w:rsid w:val="00CC60DF"/>
    <w:rsid w:val="00CC7BF0"/>
    <w:rsid w:val="00CE69E4"/>
    <w:rsid w:val="00CF545B"/>
    <w:rsid w:val="00D01434"/>
    <w:rsid w:val="00D07C8C"/>
    <w:rsid w:val="00D109B4"/>
    <w:rsid w:val="00D11376"/>
    <w:rsid w:val="00D14223"/>
    <w:rsid w:val="00D14A3B"/>
    <w:rsid w:val="00D17D5D"/>
    <w:rsid w:val="00D2157E"/>
    <w:rsid w:val="00D226FA"/>
    <w:rsid w:val="00D22CF9"/>
    <w:rsid w:val="00D231B4"/>
    <w:rsid w:val="00D266CC"/>
    <w:rsid w:val="00D30457"/>
    <w:rsid w:val="00D34B25"/>
    <w:rsid w:val="00D40E90"/>
    <w:rsid w:val="00D44669"/>
    <w:rsid w:val="00D63A6E"/>
    <w:rsid w:val="00D63F50"/>
    <w:rsid w:val="00D65413"/>
    <w:rsid w:val="00D73E39"/>
    <w:rsid w:val="00D74C68"/>
    <w:rsid w:val="00D86D0F"/>
    <w:rsid w:val="00D91A80"/>
    <w:rsid w:val="00D94AFC"/>
    <w:rsid w:val="00DA1216"/>
    <w:rsid w:val="00DA32A7"/>
    <w:rsid w:val="00DB06B8"/>
    <w:rsid w:val="00DB2860"/>
    <w:rsid w:val="00DB4C39"/>
    <w:rsid w:val="00DB618E"/>
    <w:rsid w:val="00DB7E60"/>
    <w:rsid w:val="00DC10F5"/>
    <w:rsid w:val="00DD2343"/>
    <w:rsid w:val="00DD5A6C"/>
    <w:rsid w:val="00DD6710"/>
    <w:rsid w:val="00DD691A"/>
    <w:rsid w:val="00DD709E"/>
    <w:rsid w:val="00DE2189"/>
    <w:rsid w:val="00DE41A7"/>
    <w:rsid w:val="00DE4CFE"/>
    <w:rsid w:val="00DE4E76"/>
    <w:rsid w:val="00DE4EEC"/>
    <w:rsid w:val="00DE6604"/>
    <w:rsid w:val="00DE72A0"/>
    <w:rsid w:val="00E04474"/>
    <w:rsid w:val="00E06104"/>
    <w:rsid w:val="00E06680"/>
    <w:rsid w:val="00E123C3"/>
    <w:rsid w:val="00E137B5"/>
    <w:rsid w:val="00E14A2F"/>
    <w:rsid w:val="00E253DA"/>
    <w:rsid w:val="00E314E6"/>
    <w:rsid w:val="00E362A8"/>
    <w:rsid w:val="00E379E6"/>
    <w:rsid w:val="00E4143F"/>
    <w:rsid w:val="00E42678"/>
    <w:rsid w:val="00E4384A"/>
    <w:rsid w:val="00E44BA3"/>
    <w:rsid w:val="00E44FC8"/>
    <w:rsid w:val="00E45822"/>
    <w:rsid w:val="00E5326A"/>
    <w:rsid w:val="00E53657"/>
    <w:rsid w:val="00E53DE9"/>
    <w:rsid w:val="00E559BF"/>
    <w:rsid w:val="00E60064"/>
    <w:rsid w:val="00E60BEF"/>
    <w:rsid w:val="00E6281F"/>
    <w:rsid w:val="00E652AF"/>
    <w:rsid w:val="00E6747A"/>
    <w:rsid w:val="00E72275"/>
    <w:rsid w:val="00E74156"/>
    <w:rsid w:val="00E814A6"/>
    <w:rsid w:val="00E81AB5"/>
    <w:rsid w:val="00E82825"/>
    <w:rsid w:val="00E8409B"/>
    <w:rsid w:val="00E90A62"/>
    <w:rsid w:val="00E93C90"/>
    <w:rsid w:val="00EB074B"/>
    <w:rsid w:val="00EB261C"/>
    <w:rsid w:val="00EB3E06"/>
    <w:rsid w:val="00EB6D09"/>
    <w:rsid w:val="00EC2BFA"/>
    <w:rsid w:val="00ED1386"/>
    <w:rsid w:val="00ED320C"/>
    <w:rsid w:val="00EE0302"/>
    <w:rsid w:val="00EE37BF"/>
    <w:rsid w:val="00EF213E"/>
    <w:rsid w:val="00EF330D"/>
    <w:rsid w:val="00F03930"/>
    <w:rsid w:val="00F03DA8"/>
    <w:rsid w:val="00F06234"/>
    <w:rsid w:val="00F113C8"/>
    <w:rsid w:val="00F15BA6"/>
    <w:rsid w:val="00F2678F"/>
    <w:rsid w:val="00F26821"/>
    <w:rsid w:val="00F31F72"/>
    <w:rsid w:val="00F432FC"/>
    <w:rsid w:val="00F45843"/>
    <w:rsid w:val="00F506D9"/>
    <w:rsid w:val="00F537D8"/>
    <w:rsid w:val="00F54D6D"/>
    <w:rsid w:val="00F6335E"/>
    <w:rsid w:val="00F64D04"/>
    <w:rsid w:val="00F743E2"/>
    <w:rsid w:val="00F90539"/>
    <w:rsid w:val="00F96CCE"/>
    <w:rsid w:val="00FA2CF4"/>
    <w:rsid w:val="00FA3A83"/>
    <w:rsid w:val="00FA4B91"/>
    <w:rsid w:val="00FA7138"/>
    <w:rsid w:val="00FA74AB"/>
    <w:rsid w:val="00FA7FF9"/>
    <w:rsid w:val="00FB14E6"/>
    <w:rsid w:val="00FB4E27"/>
    <w:rsid w:val="00FC214C"/>
    <w:rsid w:val="00FC3151"/>
    <w:rsid w:val="00FD5EA0"/>
    <w:rsid w:val="00FD6B30"/>
    <w:rsid w:val="00FE2809"/>
    <w:rsid w:val="00FE50F4"/>
    <w:rsid w:val="00FF652D"/>
    <w:rsid w:val="6AF99C1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B3A48"/>
  <w15:chartTrackingRefBased/>
  <w15:docId w15:val="{6C318124-D0D1-4ED3-BFB2-53D58D214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27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Revision">
    <w:name w:val="Revision"/>
    <w:hidden/>
    <w:uiPriority w:val="99"/>
    <w:semiHidden/>
    <w:rsid w:val="004A70FE"/>
    <w:pPr>
      <w:spacing w:after="0" w:line="240" w:lineRule="auto"/>
    </w:pPr>
  </w:style>
  <w:style w:type="character" w:styleId="CommentReference">
    <w:name w:val="annotation reference"/>
    <w:basedOn w:val="DefaultParagraphFont"/>
    <w:uiPriority w:val="99"/>
    <w:semiHidden/>
    <w:unhideWhenUsed/>
    <w:rsid w:val="004A70FE"/>
    <w:rPr>
      <w:sz w:val="16"/>
      <w:szCs w:val="16"/>
    </w:rPr>
  </w:style>
  <w:style w:type="paragraph" w:styleId="CommentText">
    <w:name w:val="annotation text"/>
    <w:basedOn w:val="Normal"/>
    <w:link w:val="CommentTextChar"/>
    <w:uiPriority w:val="99"/>
    <w:unhideWhenUsed/>
    <w:rsid w:val="004A70FE"/>
    <w:pPr>
      <w:spacing w:line="240" w:lineRule="auto"/>
    </w:pPr>
    <w:rPr>
      <w:sz w:val="20"/>
      <w:szCs w:val="20"/>
    </w:rPr>
  </w:style>
  <w:style w:type="character" w:customStyle="1" w:styleId="CommentTextChar">
    <w:name w:val="Comment Text Char"/>
    <w:basedOn w:val="DefaultParagraphFont"/>
    <w:link w:val="CommentText"/>
    <w:uiPriority w:val="99"/>
    <w:rsid w:val="004A70FE"/>
    <w:rPr>
      <w:sz w:val="20"/>
      <w:szCs w:val="20"/>
    </w:rPr>
  </w:style>
  <w:style w:type="paragraph" w:styleId="CommentSubject">
    <w:name w:val="annotation subject"/>
    <w:basedOn w:val="CommentText"/>
    <w:next w:val="CommentText"/>
    <w:link w:val="CommentSubjectChar"/>
    <w:uiPriority w:val="99"/>
    <w:semiHidden/>
    <w:unhideWhenUsed/>
    <w:rsid w:val="004A70FE"/>
    <w:rPr>
      <w:b/>
      <w:bCs/>
    </w:rPr>
  </w:style>
  <w:style w:type="character" w:customStyle="1" w:styleId="CommentSubjectChar">
    <w:name w:val="Comment Subject Char"/>
    <w:basedOn w:val="CommentTextChar"/>
    <w:link w:val="CommentSubject"/>
    <w:uiPriority w:val="99"/>
    <w:semiHidden/>
    <w:rsid w:val="004A70FE"/>
    <w:rPr>
      <w:b/>
      <w:bCs/>
      <w:sz w:val="20"/>
      <w:szCs w:val="20"/>
    </w:rPr>
  </w:style>
  <w:style w:type="character" w:styleId="Hyperlink">
    <w:name w:val="Hyperlink"/>
    <w:basedOn w:val="DefaultParagraphFont"/>
    <w:uiPriority w:val="99"/>
    <w:unhideWhenUsed/>
    <w:rsid w:val="000C29D8"/>
    <w:rPr>
      <w:color w:val="0563C1" w:themeColor="hyperlink"/>
      <w:u w:val="single"/>
    </w:rPr>
  </w:style>
  <w:style w:type="character" w:styleId="UnresolvedMention">
    <w:name w:val="Unresolved Mention"/>
    <w:basedOn w:val="DefaultParagraphFont"/>
    <w:uiPriority w:val="99"/>
    <w:semiHidden/>
    <w:unhideWhenUsed/>
    <w:rsid w:val="000C29D8"/>
    <w:rPr>
      <w:color w:val="605E5C"/>
      <w:shd w:val="clear" w:color="auto" w:fill="E1DFDD"/>
    </w:rPr>
  </w:style>
  <w:style w:type="paragraph" w:customStyle="1" w:styleId="NApunkts1">
    <w:name w:val="NA punkts 1"/>
    <w:basedOn w:val="Normal"/>
    <w:link w:val="NApunkts1Rakstz"/>
    <w:qFormat/>
    <w:rsid w:val="0029352D"/>
    <w:pPr>
      <w:numPr>
        <w:numId w:val="1"/>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29352D"/>
    <w:rPr>
      <w:rFonts w:ascii="Times New Roman" w:eastAsia="Times New Roman" w:hAnsi="Times New Roman" w:cs="Times New Roman"/>
      <w:sz w:val="24"/>
      <w:szCs w:val="24"/>
      <w:lang w:eastAsia="lv-LV"/>
    </w:rPr>
  </w:style>
  <w:style w:type="paragraph" w:customStyle="1" w:styleId="NApunkts2">
    <w:name w:val="NA punkts 2"/>
    <w:basedOn w:val="Normal"/>
    <w:qFormat/>
    <w:rsid w:val="0029352D"/>
    <w:pPr>
      <w:keepLines/>
      <w:numPr>
        <w:ilvl w:val="1"/>
        <w:numId w:val="1"/>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29352D"/>
    <w:pPr>
      <w:keepLines/>
      <w:numPr>
        <w:ilvl w:val="2"/>
        <w:numId w:val="1"/>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29352D"/>
    <w:pPr>
      <w:keepLines/>
      <w:numPr>
        <w:ilvl w:val="3"/>
        <w:numId w:val="1"/>
      </w:numPr>
      <w:spacing w:after="0" w:line="240" w:lineRule="auto"/>
      <w:jc w:val="both"/>
      <w:outlineLvl w:val="3"/>
    </w:pPr>
    <w:rPr>
      <w:rFonts w:ascii="Times New Roman" w:eastAsia="Times New Roman" w:hAnsi="Times New Roman" w:cs="Times New Roman"/>
      <w:sz w:val="24"/>
      <w:szCs w:val="24"/>
      <w:lang w:eastAsia="lv-LV"/>
    </w:rPr>
  </w:style>
  <w:style w:type="character" w:styleId="PlaceholderText">
    <w:name w:val="Placeholder Text"/>
    <w:basedOn w:val="DefaultParagraphFont"/>
    <w:uiPriority w:val="99"/>
    <w:semiHidden/>
    <w:rsid w:val="0029352D"/>
    <w:rPr>
      <w:color w:val="808080"/>
    </w:rPr>
  </w:style>
  <w:style w:type="paragraph" w:styleId="ListParagraph">
    <w:name w:val="List Paragraph"/>
    <w:basedOn w:val="Normal"/>
    <w:uiPriority w:val="34"/>
    <w:qFormat/>
    <w:rsid w:val="0067277C"/>
    <w:pPr>
      <w:ind w:left="720"/>
      <w:contextualSpacing/>
    </w:pPr>
  </w:style>
  <w:style w:type="table" w:customStyle="1" w:styleId="Reatabula1">
    <w:name w:val="Režģa tabula1"/>
    <w:basedOn w:val="TableNormal"/>
    <w:next w:val="TableGrid"/>
    <w:uiPriority w:val="39"/>
    <w:rsid w:val="005A22ED"/>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5A22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parag">
    <w:name w:val="no-parag"/>
    <w:basedOn w:val="DefaultParagraphFont"/>
    <w:rsid w:val="00A55FA4"/>
  </w:style>
  <w:style w:type="paragraph" w:customStyle="1" w:styleId="norm">
    <w:name w:val="norm"/>
    <w:basedOn w:val="Normal"/>
    <w:rsid w:val="00A55FA4"/>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Saraksts1">
    <w:name w:val="Saraksts1"/>
    <w:basedOn w:val="Normal"/>
    <w:rsid w:val="00A55FA4"/>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NormalWeb">
    <w:name w:val="Normal (Web)"/>
    <w:basedOn w:val="Normal"/>
    <w:uiPriority w:val="99"/>
    <w:unhideWhenUsed/>
    <w:rsid w:val="002F7C2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Strong">
    <w:name w:val="Strong"/>
    <w:basedOn w:val="DefaultParagraphFont"/>
    <w:uiPriority w:val="22"/>
    <w:qFormat/>
    <w:rsid w:val="002F7C25"/>
    <w:rPr>
      <w:b/>
      <w:bCs/>
    </w:rPr>
  </w:style>
  <w:style w:type="character" w:styleId="FollowedHyperlink">
    <w:name w:val="FollowedHyperlink"/>
    <w:basedOn w:val="DefaultParagraphFont"/>
    <w:uiPriority w:val="99"/>
    <w:semiHidden/>
    <w:unhideWhenUsed/>
    <w:rsid w:val="00351B9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1464730093">
      <w:bodyDiv w:val="1"/>
      <w:marLeft w:val="0"/>
      <w:marRight w:val="0"/>
      <w:marTop w:val="0"/>
      <w:marBottom w:val="0"/>
      <w:divBdr>
        <w:top w:val="none" w:sz="0" w:space="0" w:color="auto"/>
        <w:left w:val="none" w:sz="0" w:space="0" w:color="auto"/>
        <w:bottom w:val="none" w:sz="0" w:space="0" w:color="auto"/>
        <w:right w:val="none" w:sz="0" w:space="0" w:color="auto"/>
      </w:divBdr>
    </w:div>
    <w:div w:id="1556045405">
      <w:bodyDiv w:val="1"/>
      <w:marLeft w:val="0"/>
      <w:marRight w:val="0"/>
      <w:marTop w:val="0"/>
      <w:marBottom w:val="0"/>
      <w:divBdr>
        <w:top w:val="none" w:sz="0" w:space="0" w:color="auto"/>
        <w:left w:val="none" w:sz="0" w:space="0" w:color="auto"/>
        <w:bottom w:val="none" w:sz="0" w:space="0" w:color="auto"/>
        <w:right w:val="none" w:sz="0" w:space="0" w:color="auto"/>
      </w:divBdr>
    </w:div>
    <w:div w:id="1599411502">
      <w:bodyDiv w:val="1"/>
      <w:marLeft w:val="0"/>
      <w:marRight w:val="0"/>
      <w:marTop w:val="0"/>
      <w:marBottom w:val="0"/>
      <w:divBdr>
        <w:top w:val="none" w:sz="0" w:space="0" w:color="auto"/>
        <w:left w:val="none" w:sz="0" w:space="0" w:color="auto"/>
        <w:bottom w:val="none" w:sz="0" w:space="0" w:color="auto"/>
        <w:right w:val="none" w:sz="0" w:space="0" w:color="auto"/>
      </w:divBdr>
    </w:div>
    <w:div w:id="1859854467">
      <w:bodyDiv w:val="1"/>
      <w:marLeft w:val="0"/>
      <w:marRight w:val="0"/>
      <w:marTop w:val="0"/>
      <w:marBottom w:val="0"/>
      <w:divBdr>
        <w:top w:val="none" w:sz="0" w:space="0" w:color="auto"/>
        <w:left w:val="none" w:sz="0" w:space="0" w:color="auto"/>
        <w:bottom w:val="none" w:sz="0" w:space="0" w:color="auto"/>
        <w:right w:val="none" w:sz="0" w:space="0" w:color="auto"/>
      </w:divBdr>
      <w:divsChild>
        <w:div w:id="79302490">
          <w:marLeft w:val="0"/>
          <w:marRight w:val="0"/>
          <w:marTop w:val="0"/>
          <w:marBottom w:val="0"/>
          <w:divBdr>
            <w:top w:val="none" w:sz="0" w:space="0" w:color="auto"/>
            <w:left w:val="none" w:sz="0" w:space="0" w:color="auto"/>
            <w:bottom w:val="none" w:sz="0" w:space="0" w:color="auto"/>
            <w:right w:val="none" w:sz="0" w:space="0" w:color="auto"/>
          </w:divBdr>
          <w:divsChild>
            <w:div w:id="64189326">
              <w:marLeft w:val="0"/>
              <w:marRight w:val="0"/>
              <w:marTop w:val="120"/>
              <w:marBottom w:val="0"/>
              <w:divBdr>
                <w:top w:val="none" w:sz="0" w:space="0" w:color="auto"/>
                <w:left w:val="none" w:sz="0" w:space="0" w:color="auto"/>
                <w:bottom w:val="none" w:sz="0" w:space="0" w:color="auto"/>
                <w:right w:val="none" w:sz="0" w:space="0" w:color="auto"/>
              </w:divBdr>
            </w:div>
            <w:div w:id="728502940">
              <w:marLeft w:val="0"/>
              <w:marRight w:val="0"/>
              <w:marTop w:val="0"/>
              <w:marBottom w:val="0"/>
              <w:divBdr>
                <w:top w:val="none" w:sz="0" w:space="0" w:color="auto"/>
                <w:left w:val="none" w:sz="0" w:space="0" w:color="auto"/>
                <w:bottom w:val="none" w:sz="0" w:space="0" w:color="auto"/>
                <w:right w:val="none" w:sz="0" w:space="0" w:color="auto"/>
              </w:divBdr>
            </w:div>
          </w:divsChild>
        </w:div>
        <w:div w:id="1110471351">
          <w:marLeft w:val="0"/>
          <w:marRight w:val="0"/>
          <w:marTop w:val="0"/>
          <w:marBottom w:val="0"/>
          <w:divBdr>
            <w:top w:val="none" w:sz="0" w:space="0" w:color="auto"/>
            <w:left w:val="none" w:sz="0" w:space="0" w:color="auto"/>
            <w:bottom w:val="none" w:sz="0" w:space="0" w:color="auto"/>
            <w:right w:val="none" w:sz="0" w:space="0" w:color="auto"/>
          </w:divBdr>
          <w:divsChild>
            <w:div w:id="313678214">
              <w:marLeft w:val="0"/>
              <w:marRight w:val="0"/>
              <w:marTop w:val="120"/>
              <w:marBottom w:val="0"/>
              <w:divBdr>
                <w:top w:val="none" w:sz="0" w:space="0" w:color="auto"/>
                <w:left w:val="none" w:sz="0" w:space="0" w:color="auto"/>
                <w:bottom w:val="none" w:sz="0" w:space="0" w:color="auto"/>
                <w:right w:val="none" w:sz="0" w:space="0" w:color="auto"/>
              </w:divBdr>
            </w:div>
            <w:div w:id="2056003281">
              <w:marLeft w:val="0"/>
              <w:marRight w:val="0"/>
              <w:marTop w:val="0"/>
              <w:marBottom w:val="0"/>
              <w:divBdr>
                <w:top w:val="none" w:sz="0" w:space="0" w:color="auto"/>
                <w:left w:val="none" w:sz="0" w:space="0" w:color="auto"/>
                <w:bottom w:val="none" w:sz="0" w:space="0" w:color="auto"/>
                <w:right w:val="none" w:sz="0" w:space="0" w:color="auto"/>
              </w:divBdr>
            </w:div>
          </w:divsChild>
        </w:div>
        <w:div w:id="1562641728">
          <w:marLeft w:val="0"/>
          <w:marRight w:val="0"/>
          <w:marTop w:val="0"/>
          <w:marBottom w:val="0"/>
          <w:divBdr>
            <w:top w:val="none" w:sz="0" w:space="0" w:color="auto"/>
            <w:left w:val="none" w:sz="0" w:space="0" w:color="auto"/>
            <w:bottom w:val="none" w:sz="0" w:space="0" w:color="auto"/>
            <w:right w:val="none" w:sz="0" w:space="0" w:color="auto"/>
          </w:divBdr>
          <w:divsChild>
            <w:div w:id="47457101">
              <w:marLeft w:val="0"/>
              <w:marRight w:val="0"/>
              <w:marTop w:val="120"/>
              <w:marBottom w:val="0"/>
              <w:divBdr>
                <w:top w:val="none" w:sz="0" w:space="0" w:color="auto"/>
                <w:left w:val="none" w:sz="0" w:space="0" w:color="auto"/>
                <w:bottom w:val="none" w:sz="0" w:space="0" w:color="auto"/>
                <w:right w:val="none" w:sz="0" w:space="0" w:color="auto"/>
              </w:divBdr>
            </w:div>
            <w:div w:id="1376781985">
              <w:marLeft w:val="0"/>
              <w:marRight w:val="0"/>
              <w:marTop w:val="0"/>
              <w:marBottom w:val="0"/>
              <w:divBdr>
                <w:top w:val="none" w:sz="0" w:space="0" w:color="auto"/>
                <w:left w:val="none" w:sz="0" w:space="0" w:color="auto"/>
                <w:bottom w:val="none" w:sz="0" w:space="0" w:color="auto"/>
                <w:right w:val="none" w:sz="0" w:space="0" w:color="auto"/>
              </w:divBdr>
            </w:div>
          </w:divsChild>
        </w:div>
        <w:div w:id="2043624996">
          <w:marLeft w:val="0"/>
          <w:marRight w:val="0"/>
          <w:marTop w:val="0"/>
          <w:marBottom w:val="0"/>
          <w:divBdr>
            <w:top w:val="none" w:sz="0" w:space="0" w:color="auto"/>
            <w:left w:val="none" w:sz="0" w:space="0" w:color="auto"/>
            <w:bottom w:val="none" w:sz="0" w:space="0" w:color="auto"/>
            <w:right w:val="none" w:sz="0" w:space="0" w:color="auto"/>
          </w:divBdr>
          <w:divsChild>
            <w:div w:id="1674062594">
              <w:marLeft w:val="0"/>
              <w:marRight w:val="0"/>
              <w:marTop w:val="0"/>
              <w:marBottom w:val="0"/>
              <w:divBdr>
                <w:top w:val="none" w:sz="0" w:space="0" w:color="auto"/>
                <w:left w:val="none" w:sz="0" w:space="0" w:color="auto"/>
                <w:bottom w:val="none" w:sz="0" w:space="0" w:color="auto"/>
                <w:right w:val="none" w:sz="0" w:space="0" w:color="auto"/>
              </w:divBdr>
            </w:div>
            <w:div w:id="1937790301">
              <w:marLeft w:val="0"/>
              <w:marRight w:val="0"/>
              <w:marTop w:val="120"/>
              <w:marBottom w:val="0"/>
              <w:divBdr>
                <w:top w:val="none" w:sz="0" w:space="0" w:color="auto"/>
                <w:left w:val="none" w:sz="0" w:space="0" w:color="auto"/>
                <w:bottom w:val="none" w:sz="0" w:space="0" w:color="auto"/>
                <w:right w:val="none" w:sz="0" w:space="0" w:color="auto"/>
              </w:divBdr>
            </w:div>
          </w:divsChild>
        </w:div>
        <w:div w:id="2088257858">
          <w:marLeft w:val="0"/>
          <w:marRight w:val="0"/>
          <w:marTop w:val="0"/>
          <w:marBottom w:val="0"/>
          <w:divBdr>
            <w:top w:val="none" w:sz="0" w:space="0" w:color="auto"/>
            <w:left w:val="none" w:sz="0" w:space="0" w:color="auto"/>
            <w:bottom w:val="none" w:sz="0" w:space="0" w:color="auto"/>
            <w:right w:val="none" w:sz="0" w:space="0" w:color="auto"/>
          </w:divBdr>
          <w:divsChild>
            <w:div w:id="85573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ba.europa.eu/sites/default/files/2024-03/213cc021-d991-43ed-977d-c60245301e70/GL%20diversity%20benchmarking%20%28EBA%20GL%202023%2008%29_LV_COR.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sma.europa.eu/sites/default/files/library/guidelines_on_certain_aspects_of_mifid_ii_compliance_function_requirements_lv.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nk.l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ba.europa.eu/sites/default/files/document_library/Publications/Guidelines/2021/EBA-GL-2021-14%20Guidelines%20on%20internal%20governance%20under%20IFD/translations/1028057/GL%20on%20internal%20governance%20under%20IFD_LV_COR.pdf" TargetMode="External"/><Relationship Id="rId5" Type="http://schemas.openxmlformats.org/officeDocument/2006/relationships/numbering" Target="numbering.xml"/><Relationship Id="rId15" Type="http://schemas.openxmlformats.org/officeDocument/2006/relationships/hyperlink" Target="https://www.eba.europa.eu/sites/default/files/document_library/Publications/Guidelines/2021/EBA-GL-2021-06%20Joint%20EBA%20and%20ESMA%20GL%20on%20the%20assessment%20of%20sustainability/1022111/Joint%20EBA%20and%20ESMA%20GL%20on%20the%20assessment%20of%20suitability_LV.pdf"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ba.europa.eu/sites/default/files/document_library/Publications/Guidelines/2021/EBA-GL-2021-13%20Guidelines%20on%20remuneration%20under%20IFD/Translations/1028086/GL%20on%20sound%20remuneration%20policies%20under%20IFD_LV_COR.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C93B20695F34D039CA36F89A6BEC935"/>
        <w:category>
          <w:name w:val="Vispārīgi"/>
          <w:gallery w:val="placeholder"/>
        </w:category>
        <w:types>
          <w:type w:val="bbPlcHdr"/>
        </w:types>
        <w:behaviors>
          <w:behavior w:val="content"/>
        </w:behaviors>
        <w:guid w:val="{FF88F8DD-ED10-43C1-AE4A-CAA6E5EBBD76}"/>
      </w:docPartPr>
      <w:docPartBody>
        <w:p w:rsidR="005A7F1E" w:rsidRDefault="00F64D0B" w:rsidP="00F64D0B">
          <w:pPr>
            <w:pStyle w:val="BC93B20695F34D039CA36F89A6BEC935"/>
          </w:pPr>
          <w:r w:rsidRPr="00F5647B">
            <w:rPr>
              <w:rStyle w:val="PlaceholderText"/>
              <w:b/>
              <w:szCs w:val="24"/>
            </w:rPr>
            <w:t>[Nosaukums]</w:t>
          </w:r>
        </w:p>
      </w:docPartBody>
    </w:docPart>
    <w:docPart>
      <w:docPartPr>
        <w:name w:val="93F25621BB3C4CC991CEDEF8D68A53C0"/>
        <w:category>
          <w:name w:val="Vispārīgi"/>
          <w:gallery w:val="placeholder"/>
        </w:category>
        <w:types>
          <w:type w:val="bbPlcHdr"/>
        </w:types>
        <w:behaviors>
          <w:behavior w:val="content"/>
        </w:behaviors>
        <w:guid w:val="{A45A731A-1E7E-488B-B81A-389F39290AD3}"/>
      </w:docPartPr>
      <w:docPartBody>
        <w:p w:rsidR="00F331F1" w:rsidRDefault="00F331F1" w:rsidP="00F331F1">
          <w:pPr>
            <w:pStyle w:val="93F25621BB3C4CC991CEDEF8D68A53C0"/>
          </w:pPr>
          <w:r w:rsidRPr="00F75F63">
            <w:rPr>
              <w:rStyle w:val="PlaceholderText"/>
              <w:b/>
              <w:color w:val="808080" w:themeColor="background1" w:themeShade="80"/>
            </w:rPr>
            <w:t>[Nosaukums]</w:t>
          </w:r>
        </w:p>
      </w:docPartBody>
    </w:docPart>
    <w:docPart>
      <w:docPartPr>
        <w:name w:val="01E9C0F4F01F47F6928E844355EC8D5C"/>
        <w:category>
          <w:name w:val="Vispārīgi"/>
          <w:gallery w:val="placeholder"/>
        </w:category>
        <w:types>
          <w:type w:val="bbPlcHdr"/>
        </w:types>
        <w:behaviors>
          <w:behavior w:val="content"/>
        </w:behaviors>
        <w:guid w:val="{F3952632-B705-49A5-A7E8-E30121630ACB}"/>
      </w:docPartPr>
      <w:docPartBody>
        <w:p w:rsidR="00F331F1" w:rsidRDefault="00F331F1" w:rsidP="00F331F1">
          <w:pPr>
            <w:pStyle w:val="01E9C0F4F01F47F6928E844355EC8D5C"/>
          </w:pPr>
          <w:r>
            <w:rPr>
              <w:rStyle w:val="PlaceholderText"/>
              <w:b/>
              <w:color w:val="808080" w:themeColor="background1" w:themeShade="80"/>
            </w:rPr>
            <w:t>[Nosaukums]</w:t>
          </w:r>
        </w:p>
      </w:docPartBody>
    </w:docPart>
    <w:docPart>
      <w:docPartPr>
        <w:name w:val="8E9ACD89DAB74DEFBA9D86A8BC3E1A21"/>
        <w:category>
          <w:name w:val="Vispārīgi"/>
          <w:gallery w:val="placeholder"/>
        </w:category>
        <w:types>
          <w:type w:val="bbPlcHdr"/>
        </w:types>
        <w:behaviors>
          <w:behavior w:val="content"/>
        </w:behaviors>
        <w:guid w:val="{4B47307A-E637-48D8-B2F7-62CA3A5767B1}"/>
      </w:docPartPr>
      <w:docPartBody>
        <w:p w:rsidR="00F331F1" w:rsidRDefault="00F331F1" w:rsidP="00F331F1">
          <w:pPr>
            <w:pStyle w:val="8E9ACD89DAB74DEFBA9D86A8BC3E1A21"/>
          </w:pPr>
          <w:r>
            <w:rPr>
              <w:rStyle w:val="PlaceholderText"/>
              <w:b/>
              <w:color w:val="808080" w:themeColor="background1" w:themeShade="80"/>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D0B"/>
    <w:rsid w:val="00086922"/>
    <w:rsid w:val="00090447"/>
    <w:rsid w:val="00092D09"/>
    <w:rsid w:val="000F0FA1"/>
    <w:rsid w:val="00121EC4"/>
    <w:rsid w:val="00151AEA"/>
    <w:rsid w:val="00190A47"/>
    <w:rsid w:val="001C7E29"/>
    <w:rsid w:val="00227E89"/>
    <w:rsid w:val="0028031E"/>
    <w:rsid w:val="002C3F17"/>
    <w:rsid w:val="002F7172"/>
    <w:rsid w:val="003111BD"/>
    <w:rsid w:val="003174A4"/>
    <w:rsid w:val="00321965"/>
    <w:rsid w:val="00344E18"/>
    <w:rsid w:val="004441A8"/>
    <w:rsid w:val="00451991"/>
    <w:rsid w:val="004523D1"/>
    <w:rsid w:val="004C57EA"/>
    <w:rsid w:val="004D40BA"/>
    <w:rsid w:val="00510DF0"/>
    <w:rsid w:val="005317FD"/>
    <w:rsid w:val="005724F3"/>
    <w:rsid w:val="005A7F1E"/>
    <w:rsid w:val="005B072D"/>
    <w:rsid w:val="005C6F61"/>
    <w:rsid w:val="00642AAD"/>
    <w:rsid w:val="006F11D8"/>
    <w:rsid w:val="007333BB"/>
    <w:rsid w:val="0074636A"/>
    <w:rsid w:val="00761CCB"/>
    <w:rsid w:val="0079041D"/>
    <w:rsid w:val="007C4DD6"/>
    <w:rsid w:val="007C63D9"/>
    <w:rsid w:val="007C6D49"/>
    <w:rsid w:val="00801379"/>
    <w:rsid w:val="00851815"/>
    <w:rsid w:val="008A582E"/>
    <w:rsid w:val="008B666F"/>
    <w:rsid w:val="008D2686"/>
    <w:rsid w:val="009F3E8A"/>
    <w:rsid w:val="00A26AFA"/>
    <w:rsid w:val="00A659F2"/>
    <w:rsid w:val="00A76911"/>
    <w:rsid w:val="00A812D7"/>
    <w:rsid w:val="00AA41AC"/>
    <w:rsid w:val="00AA4EFA"/>
    <w:rsid w:val="00AD0FC5"/>
    <w:rsid w:val="00B41BD1"/>
    <w:rsid w:val="00BC2255"/>
    <w:rsid w:val="00BC7330"/>
    <w:rsid w:val="00C143D7"/>
    <w:rsid w:val="00C50225"/>
    <w:rsid w:val="00C52954"/>
    <w:rsid w:val="00C5305C"/>
    <w:rsid w:val="00CB638F"/>
    <w:rsid w:val="00CF545B"/>
    <w:rsid w:val="00D231B4"/>
    <w:rsid w:val="00D34B25"/>
    <w:rsid w:val="00DD2343"/>
    <w:rsid w:val="00E379E6"/>
    <w:rsid w:val="00E72024"/>
    <w:rsid w:val="00ED1386"/>
    <w:rsid w:val="00EF213E"/>
    <w:rsid w:val="00F331F1"/>
    <w:rsid w:val="00F64D0B"/>
    <w:rsid w:val="00FA71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31F1"/>
    <w:rPr>
      <w:color w:val="808080"/>
    </w:rPr>
  </w:style>
  <w:style w:type="paragraph" w:customStyle="1" w:styleId="BC93B20695F34D039CA36F89A6BEC935">
    <w:name w:val="BC93B20695F34D039CA36F89A6BEC935"/>
    <w:rsid w:val="00F64D0B"/>
  </w:style>
  <w:style w:type="paragraph" w:customStyle="1" w:styleId="93F25621BB3C4CC991CEDEF8D68A53C0">
    <w:name w:val="93F25621BB3C4CC991CEDEF8D68A53C0"/>
    <w:rsid w:val="00F331F1"/>
    <w:pPr>
      <w:spacing w:line="278" w:lineRule="auto"/>
    </w:pPr>
    <w:rPr>
      <w:kern w:val="2"/>
      <w:sz w:val="24"/>
      <w:szCs w:val="24"/>
      <w14:ligatures w14:val="standardContextual"/>
    </w:rPr>
  </w:style>
  <w:style w:type="paragraph" w:customStyle="1" w:styleId="01E9C0F4F01F47F6928E844355EC8D5C">
    <w:name w:val="01E9C0F4F01F47F6928E844355EC8D5C"/>
    <w:rsid w:val="00F331F1"/>
    <w:pPr>
      <w:spacing w:line="278" w:lineRule="auto"/>
    </w:pPr>
    <w:rPr>
      <w:kern w:val="2"/>
      <w:sz w:val="24"/>
      <w:szCs w:val="24"/>
      <w14:ligatures w14:val="standardContextual"/>
    </w:rPr>
  </w:style>
  <w:style w:type="paragraph" w:customStyle="1" w:styleId="8E9ACD89DAB74DEFBA9D86A8BC3E1A21">
    <w:name w:val="8E9ACD89DAB74DEFBA9D86A8BC3E1A21"/>
    <w:rsid w:val="00F331F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7FD6D19EF50DD84A8D36B5F3E08A0BD6" ma:contentTypeVersion="2" ma:contentTypeDescription="Izveidot jaunu dokumentu." ma:contentTypeScope="" ma:versionID="ef2be2e9ce5af37e45b91ed0e4faeaf6">
  <xsd:schema xmlns:xsd="http://www.w3.org/2001/XMLSchema" xmlns:xs="http://www.w3.org/2001/XMLSchema" xmlns:p="http://schemas.microsoft.com/office/2006/metadata/properties" xmlns:ns2="c3839d33-06ee-4ec5-9ac8-a0b133b69dac" targetNamespace="http://schemas.microsoft.com/office/2006/metadata/properties" ma:root="true" ma:fieldsID="b79f93171441047500386356e1b253c6" ns2:_="">
    <xsd:import namespace="c3839d33-06ee-4ec5-9ac8-a0b133b69d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839d33-06ee-4ec5-9ac8-a0b133b69d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247B7-3B87-4931-915D-C38A786B500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733FDE6C-1D96-4A7F-9FF9-7CF8B6B5150F}">
  <ds:schemaRefs>
    <ds:schemaRef ds:uri="http://schemas.microsoft.com/sharepoint/v3/contenttype/forms"/>
  </ds:schemaRefs>
</ds:datastoreItem>
</file>

<file path=customXml/itemProps4.xml><?xml version="1.0" encoding="utf-8"?>
<ds:datastoreItem xmlns:ds="http://schemas.openxmlformats.org/officeDocument/2006/customXml" ds:itemID="{C01C99D6-2FD2-4688-BCF2-664E8B28A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839d33-06ee-4ec5-9ac8-a0b133b69d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21</Pages>
  <Words>28647</Words>
  <Characters>16329</Characters>
  <Application>Microsoft Office Word</Application>
  <DocSecurity>0</DocSecurity>
  <Lines>136</Lines>
  <Paragraphs>89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Ilze Grava</cp:lastModifiedBy>
  <cp:revision>5</cp:revision>
  <dcterms:created xsi:type="dcterms:W3CDTF">2024-11-26T11:54:00Z</dcterms:created>
  <dcterms:modified xsi:type="dcterms:W3CDTF">2024-11-27T06:48:00Z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0x0101007FD6D19EF50DD84A8D36B5F3E08A0BD6</vt:lpwstr>
  </property>
</Properties>
</file>