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C51" w:rsidRPr="00477791" w:rsidRDefault="008B1AA7" w:rsidP="00477791">
      <w:pPr>
        <w:keepNext/>
        <w:keepLines/>
        <w:spacing w:after="120" w:line="240" w:lineRule="auto"/>
        <w:jc w:val="both"/>
        <w:outlineLvl w:val="0"/>
        <w:rPr>
          <w:rFonts w:ascii="Times New Roman" w:eastAsia="Times New Roman" w:hAnsi="Times New Roman" w:cs="Times New Roman"/>
          <w:b/>
          <w:bCs/>
          <w:kern w:val="28"/>
        </w:rPr>
      </w:pPr>
      <w:bookmarkStart w:id="0" w:name="_Toc403946511"/>
      <w:r>
        <w:rPr>
          <w:rFonts w:ascii="Times New Roman" w:eastAsia="Times New Roman" w:hAnsi="Times New Roman" w:cs="Times New Roman"/>
          <w:b/>
          <w:bCs/>
          <w:kern w:val="28"/>
        </w:rPr>
        <w:t>27</w:t>
      </w:r>
      <w:bookmarkStart w:id="1" w:name="_GoBack"/>
      <w:bookmarkEnd w:id="1"/>
      <w:r w:rsidR="00C05C51" w:rsidRPr="00477791">
        <w:rPr>
          <w:rFonts w:ascii="Times New Roman" w:eastAsia="Times New Roman" w:hAnsi="Times New Roman" w:cs="Times New Roman"/>
          <w:b/>
          <w:bCs/>
          <w:kern w:val="28"/>
        </w:rPr>
        <w:t>.</w:t>
      </w:r>
      <w:r w:rsidR="00934B31">
        <w:rPr>
          <w:rFonts w:ascii="Times New Roman" w:eastAsia="Times New Roman" w:hAnsi="Times New Roman" w:cs="Times New Roman"/>
          <w:b/>
          <w:bCs/>
          <w:kern w:val="28"/>
        </w:rPr>
        <w:t>07</w:t>
      </w:r>
      <w:r w:rsidR="00C05C51" w:rsidRPr="00477791">
        <w:rPr>
          <w:rFonts w:ascii="Times New Roman" w:eastAsia="Times New Roman" w:hAnsi="Times New Roman" w:cs="Times New Roman"/>
          <w:b/>
          <w:bCs/>
          <w:kern w:val="28"/>
        </w:rPr>
        <w:t>.</w:t>
      </w:r>
      <w:r w:rsidR="002E5CD2" w:rsidRPr="00477791">
        <w:rPr>
          <w:rFonts w:ascii="Times New Roman" w:eastAsia="Times New Roman" w:hAnsi="Times New Roman" w:cs="Times New Roman"/>
          <w:b/>
          <w:bCs/>
          <w:kern w:val="28"/>
        </w:rPr>
        <w:t>20</w:t>
      </w:r>
      <w:r w:rsidR="002E5CD2">
        <w:rPr>
          <w:rFonts w:ascii="Times New Roman" w:eastAsia="Times New Roman" w:hAnsi="Times New Roman" w:cs="Times New Roman"/>
          <w:b/>
          <w:bCs/>
          <w:kern w:val="28"/>
        </w:rPr>
        <w:t>20</w:t>
      </w:r>
      <w:r w:rsidR="00C05C51" w:rsidRPr="00477791">
        <w:rPr>
          <w:rFonts w:ascii="Times New Roman" w:eastAsia="Times New Roman" w:hAnsi="Times New Roman" w:cs="Times New Roman"/>
          <w:b/>
          <w:bCs/>
          <w:kern w:val="28"/>
        </w:rPr>
        <w:t xml:space="preserve">. lēmums par </w:t>
      </w:r>
      <w:r w:rsidR="008321C2" w:rsidRPr="00477791">
        <w:rPr>
          <w:rFonts w:ascii="Times New Roman" w:eastAsia="Times New Roman" w:hAnsi="Times New Roman" w:cs="Times New Roman"/>
          <w:b/>
          <w:bCs/>
          <w:kern w:val="28"/>
        </w:rPr>
        <w:t>p</w:t>
      </w:r>
      <w:r w:rsidR="00C05C51" w:rsidRPr="00477791">
        <w:rPr>
          <w:rFonts w:ascii="Times New Roman" w:eastAsia="Times New Roman" w:hAnsi="Times New Roman" w:cs="Times New Roman"/>
          <w:b/>
          <w:bCs/>
          <w:kern w:val="28"/>
        </w:rPr>
        <w:t>retcikliskās kapitāla rezerves</w:t>
      </w:r>
      <w:r w:rsidR="002A0A04"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 xml:space="preserve">normas </w:t>
      </w:r>
      <w:r w:rsidR="005D0F48" w:rsidRPr="00477791">
        <w:rPr>
          <w:rFonts w:ascii="Times New Roman" w:eastAsia="Times New Roman" w:hAnsi="Times New Roman" w:cs="Times New Roman"/>
          <w:b/>
          <w:bCs/>
          <w:kern w:val="28"/>
        </w:rPr>
        <w:t>darījumiem</w:t>
      </w:r>
      <w:r w:rsidR="002D1280" w:rsidRPr="00477791">
        <w:rPr>
          <w:rFonts w:ascii="Times New Roman" w:eastAsia="Times New Roman" w:hAnsi="Times New Roman" w:cs="Times New Roman"/>
          <w:b/>
          <w:bCs/>
          <w:kern w:val="28"/>
        </w:rPr>
        <w:t>, kuri noslēgti</w:t>
      </w:r>
      <w:r w:rsidR="005D0F48" w:rsidRPr="00477791">
        <w:rPr>
          <w:rFonts w:ascii="Times New Roman" w:eastAsia="Times New Roman" w:hAnsi="Times New Roman" w:cs="Times New Roman"/>
          <w:b/>
          <w:bCs/>
          <w:kern w:val="28"/>
        </w:rPr>
        <w:t xml:space="preserve"> ar Latvijas </w:t>
      </w:r>
      <w:r w:rsidR="004F22BD" w:rsidRPr="00477791">
        <w:rPr>
          <w:rFonts w:ascii="Times New Roman" w:eastAsia="Times New Roman" w:hAnsi="Times New Roman" w:cs="Times New Roman"/>
          <w:b/>
          <w:bCs/>
          <w:kern w:val="28"/>
        </w:rPr>
        <w:t xml:space="preserve">Republikas </w:t>
      </w:r>
      <w:r w:rsidR="005D0F48" w:rsidRPr="00477791">
        <w:rPr>
          <w:rFonts w:ascii="Times New Roman" w:eastAsia="Times New Roman" w:hAnsi="Times New Roman" w:cs="Times New Roman"/>
          <w:b/>
          <w:bCs/>
          <w:kern w:val="28"/>
        </w:rPr>
        <w:t>rezidentiem</w:t>
      </w:r>
      <w:r w:rsidR="004F22BD" w:rsidRPr="00477791">
        <w:rPr>
          <w:rFonts w:ascii="Times New Roman" w:eastAsia="Times New Roman" w:hAnsi="Times New Roman" w:cs="Times New Roman"/>
          <w:b/>
          <w:bCs/>
          <w:kern w:val="28"/>
        </w:rPr>
        <w:t>,</w:t>
      </w:r>
      <w:r w:rsidR="005D0F48"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noteikšanu</w:t>
      </w:r>
    </w:p>
    <w:p w:rsidR="00C05C51" w:rsidRPr="00A7579A" w:rsidRDefault="00C05C51" w:rsidP="00477791">
      <w:pPr>
        <w:keepNext/>
        <w:keepLines/>
        <w:spacing w:after="120" w:line="240" w:lineRule="auto"/>
        <w:jc w:val="both"/>
        <w:outlineLvl w:val="0"/>
        <w:rPr>
          <w:rFonts w:ascii="Times New Roman" w:eastAsia="Times New Roman" w:hAnsi="Times New Roman" w:cs="Times New Roman"/>
          <w:b/>
          <w:bCs/>
          <w:kern w:val="28"/>
        </w:rPr>
      </w:pPr>
      <w:r w:rsidRPr="00222721">
        <w:rPr>
          <w:rFonts w:ascii="Times New Roman" w:eastAsia="Times New Roman" w:hAnsi="Times New Roman" w:cs="Times New Roman"/>
          <w:b/>
          <w:bCs/>
          <w:kern w:val="28"/>
        </w:rPr>
        <w:t>Pretcikliskās kapitāla rezerves</w:t>
      </w:r>
      <w:r w:rsidR="002A0A04" w:rsidRPr="00222721">
        <w:rPr>
          <w:rFonts w:ascii="Times New Roman" w:eastAsia="Times New Roman" w:hAnsi="Times New Roman" w:cs="Times New Roman"/>
          <w:b/>
          <w:bCs/>
          <w:kern w:val="28"/>
        </w:rPr>
        <w:t xml:space="preserve"> </w:t>
      </w:r>
      <w:r w:rsidRPr="00222721">
        <w:rPr>
          <w:rFonts w:ascii="Times New Roman" w:eastAsia="Times New Roman" w:hAnsi="Times New Roman" w:cs="Times New Roman"/>
          <w:b/>
          <w:bCs/>
          <w:kern w:val="28"/>
        </w:rPr>
        <w:t xml:space="preserve">(PKR) norma </w:t>
      </w:r>
      <w:r w:rsidR="005D0F48" w:rsidRPr="00222721">
        <w:rPr>
          <w:rFonts w:ascii="Times New Roman" w:eastAsia="Times New Roman" w:hAnsi="Times New Roman" w:cs="Times New Roman"/>
          <w:b/>
          <w:bCs/>
          <w:kern w:val="28"/>
        </w:rPr>
        <w:t>darījumiem</w:t>
      </w:r>
      <w:r w:rsidR="002D1280" w:rsidRPr="00A7579A">
        <w:rPr>
          <w:rFonts w:ascii="Times New Roman" w:eastAsia="Times New Roman" w:hAnsi="Times New Roman" w:cs="Times New Roman"/>
          <w:b/>
          <w:bCs/>
          <w:kern w:val="28"/>
        </w:rPr>
        <w:t>, kuri noslēgti</w:t>
      </w:r>
      <w:r w:rsidR="005D0F48" w:rsidRPr="00A7579A">
        <w:rPr>
          <w:rFonts w:ascii="Times New Roman" w:eastAsia="Times New Roman" w:hAnsi="Times New Roman" w:cs="Times New Roman"/>
          <w:b/>
          <w:bCs/>
          <w:kern w:val="28"/>
        </w:rPr>
        <w:t xml:space="preserve"> ar Latvijas </w:t>
      </w:r>
      <w:r w:rsidR="004F22BD" w:rsidRPr="00A7579A">
        <w:rPr>
          <w:rFonts w:ascii="Times New Roman" w:eastAsia="Times New Roman" w:hAnsi="Times New Roman" w:cs="Times New Roman"/>
          <w:b/>
          <w:bCs/>
          <w:kern w:val="28"/>
        </w:rPr>
        <w:t xml:space="preserve">Republikas </w:t>
      </w:r>
      <w:r w:rsidR="005D0F48" w:rsidRPr="00A7579A">
        <w:rPr>
          <w:rFonts w:ascii="Times New Roman" w:eastAsia="Times New Roman" w:hAnsi="Times New Roman" w:cs="Times New Roman"/>
          <w:b/>
          <w:bCs/>
          <w:kern w:val="28"/>
        </w:rPr>
        <w:t>rezidentiem</w:t>
      </w:r>
      <w:r w:rsidR="004F22BD" w:rsidRPr="00A7579A">
        <w:rPr>
          <w:rFonts w:ascii="Times New Roman" w:eastAsia="Times New Roman" w:hAnsi="Times New Roman" w:cs="Times New Roman"/>
          <w:b/>
          <w:bCs/>
          <w:kern w:val="28"/>
        </w:rPr>
        <w:t>,</w:t>
      </w:r>
      <w:r w:rsidR="005D0F48"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tiek noteikta</w:t>
      </w:r>
      <w:r w:rsidR="0058464F"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0% apmērā. Noteikto PKR normu kredītiestādes specifiskās pretcikliskās kapitāla rezerves aprēķinā izmanto</w:t>
      </w:r>
      <w:r w:rsidR="00F06CDC" w:rsidRPr="00A7579A">
        <w:rPr>
          <w:rFonts w:ascii="Times New Roman" w:eastAsia="Times New Roman" w:hAnsi="Times New Roman" w:cs="Times New Roman"/>
          <w:b/>
          <w:bCs/>
          <w:kern w:val="28"/>
        </w:rPr>
        <w:t>s</w:t>
      </w:r>
      <w:r w:rsidR="002A0A04"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 xml:space="preserve">no </w:t>
      </w:r>
      <w:r w:rsidR="002E5CD2" w:rsidRPr="00A7579A">
        <w:rPr>
          <w:rFonts w:ascii="Times New Roman" w:eastAsia="Times New Roman" w:hAnsi="Times New Roman" w:cs="Times New Roman"/>
          <w:b/>
          <w:bCs/>
          <w:kern w:val="28"/>
        </w:rPr>
        <w:t>202</w:t>
      </w:r>
      <w:r w:rsidR="002E5CD2">
        <w:rPr>
          <w:rFonts w:ascii="Times New Roman" w:eastAsia="Times New Roman" w:hAnsi="Times New Roman" w:cs="Times New Roman"/>
          <w:b/>
          <w:bCs/>
          <w:kern w:val="28"/>
        </w:rPr>
        <w:t>1</w:t>
      </w:r>
      <w:r w:rsidRPr="00A7579A">
        <w:rPr>
          <w:rFonts w:ascii="Times New Roman" w:eastAsia="Times New Roman" w:hAnsi="Times New Roman" w:cs="Times New Roman"/>
          <w:b/>
          <w:bCs/>
          <w:kern w:val="28"/>
        </w:rPr>
        <w:t>.</w:t>
      </w:r>
      <w:r w:rsidR="0058464F" w:rsidRPr="00A7579A">
        <w:rPr>
          <w:rFonts w:ascii="Times New Roman" w:eastAsia="Times New Roman" w:hAnsi="Times New Roman" w:cs="Times New Roman"/>
          <w:b/>
          <w:bCs/>
          <w:kern w:val="28"/>
        </w:rPr>
        <w:t> </w:t>
      </w:r>
      <w:r w:rsidRPr="00A7579A">
        <w:rPr>
          <w:rFonts w:ascii="Times New Roman" w:eastAsia="Times New Roman" w:hAnsi="Times New Roman" w:cs="Times New Roman"/>
          <w:b/>
          <w:bCs/>
          <w:kern w:val="28"/>
        </w:rPr>
        <w:t>gada 1.</w:t>
      </w:r>
      <w:r w:rsidR="002A0A04" w:rsidRPr="00A7579A">
        <w:rPr>
          <w:rFonts w:ascii="Times New Roman" w:eastAsia="Times New Roman" w:hAnsi="Times New Roman" w:cs="Times New Roman"/>
          <w:b/>
          <w:bCs/>
          <w:kern w:val="28"/>
        </w:rPr>
        <w:t> </w:t>
      </w:r>
      <w:r w:rsidR="00934B31">
        <w:rPr>
          <w:rFonts w:ascii="Times New Roman" w:eastAsia="Times New Roman" w:hAnsi="Times New Roman" w:cs="Times New Roman"/>
          <w:b/>
          <w:bCs/>
          <w:kern w:val="28"/>
        </w:rPr>
        <w:t>augusta</w:t>
      </w:r>
      <w:r w:rsidRPr="00A7579A">
        <w:rPr>
          <w:rFonts w:ascii="Times New Roman" w:eastAsia="Times New Roman" w:hAnsi="Times New Roman" w:cs="Times New Roman"/>
          <w:b/>
          <w:bCs/>
          <w:kern w:val="28"/>
        </w:rPr>
        <w:t xml:space="preserve">. </w:t>
      </w:r>
      <w:r w:rsidR="007D02BE" w:rsidRPr="00A7579A">
        <w:rPr>
          <w:rFonts w:ascii="Times New Roman" w:eastAsia="Times New Roman" w:hAnsi="Times New Roman" w:cs="Times New Roman"/>
          <w:b/>
          <w:bCs/>
          <w:kern w:val="28"/>
        </w:rPr>
        <w:t>Finanšu un kapitāla tirgus komisija (</w:t>
      </w:r>
      <w:r w:rsidR="00936D45" w:rsidRPr="00A7579A">
        <w:rPr>
          <w:rFonts w:ascii="Times New Roman" w:eastAsia="Times New Roman" w:hAnsi="Times New Roman" w:cs="Times New Roman"/>
          <w:b/>
          <w:bCs/>
          <w:kern w:val="28"/>
        </w:rPr>
        <w:t>FKTK</w:t>
      </w:r>
      <w:r w:rsidR="007D02BE" w:rsidRPr="00A7579A">
        <w:rPr>
          <w:rFonts w:ascii="Times New Roman" w:eastAsia="Times New Roman" w:hAnsi="Times New Roman" w:cs="Times New Roman"/>
          <w:b/>
          <w:bCs/>
          <w:kern w:val="28"/>
        </w:rPr>
        <w:t>)</w:t>
      </w:r>
      <w:r w:rsidR="00936D45" w:rsidRPr="00A7579A">
        <w:rPr>
          <w:rFonts w:ascii="Times New Roman" w:eastAsia="Times New Roman" w:hAnsi="Times New Roman" w:cs="Times New Roman"/>
          <w:b/>
          <w:bCs/>
          <w:kern w:val="28"/>
        </w:rPr>
        <w:t xml:space="preserve"> lems par nepieciešamību noteikt PKR normu virs 0%, ja Latvijas finanšu sektorā tiks novērots būtisks ciklisko sistēmisko risku pieaugums.</w:t>
      </w:r>
    </w:p>
    <w:bookmarkEnd w:id="0"/>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FKTK, analizējot Latvijas finanšu cikla izmaiņas kontekstā ar PKR normas noteikšanu, aktīvi seko līdzi un analizē globālās tendences saistībā ar koronavīrusa Covid–19 pandēmiju un tās izraisīto globālo ekonomikas pieprasījuma-piedāvājuma šoku. Kā liecina jaunākā Ekonomikas ministrijas informācija, lai arī nepārprotama Covid-19 ietekme uz Latvijas tautsaimniecību iezīmējās vien marta vidū, kopumā ekonomika 2020. gada 1. ceturksnī sabremzējās un IKP samazinājās par 1.5% pret 2019. gada atbilstošo ceturksni</w:t>
      </w:r>
      <w:r w:rsidR="004715BE">
        <w:rPr>
          <w:rFonts w:ascii="Times New Roman" w:eastAsia="Calibri" w:hAnsi="Times New Roman" w:cs="Times New Roman"/>
          <w:noProof/>
          <w:lang w:eastAsia="lv-LV"/>
        </w:rPr>
        <w:t>.</w:t>
      </w:r>
      <w:r w:rsidRPr="00ED76A1">
        <w:rPr>
          <w:rFonts w:ascii="Times New Roman" w:eastAsia="Calibri" w:hAnsi="Times New Roman" w:cs="Times New Roman"/>
          <w:noProof/>
          <w:lang w:eastAsia="lv-LV"/>
        </w:rPr>
        <w:t xml:space="preserve"> </w:t>
      </w:r>
    </w:p>
    <w:p w:rsid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Latvijas Bankas pārskatītā prognoze par 2020. gadu paredz 7.5% IKP samazinājumu (pretstatā šī gada martā prognozētajam 6.5% samazinājumam). Savukārt Starptautiskā Valūtas fonda prognoze Latvijai paredz pat 8.6% IKP samazinājumu. Lai arī pirmais pandēmijas uzliesmojuma vilnis ir mazinājies, joprojām saglabājas nenoteiktība par turpmāko koronavīrusa izplatību un tā ietekmi uz tautsaimniecību.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Šī gada pirmajos trijos mēnešos mājsaimniecību patēriņš kopumā ir būtiski samazinājies (par 4.5% salīdzinot ar iepriekšējā gada atbilstošo periodu) pamatā dēļ izdevumu samazināšanās transportam un pakalpojumiem (atceltie atpūtas un kultūras pasākumi), ņemot vērā Covid-19 pandēmijas mazināšanai noteiktos ierobežojumus. Latvijas Banka prognozē, ka pandēmijas radīto seku smaguma un ilguma nenoteiktība liek iedzīvotājiem būt piesardzīgiem savos tēriņos, tādējādi privātā patēriņa samazinājums 2020. gadā tiek prognozēts 6.3% apmērā. Piesardzīgumu vēl vairāk pastiprina ienākumu krituma gaidas, lai arī pēc Centrālās statistikas pārvaldes datiem mēneša vidējā bruto darba samaksa 2020. gada 1. ceturksnī ir pieaugusi par 6.6%, salīdzinot ar iepriekšējā gada atbilstošo periodu.</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Covid-19 pandēmijas mazināšanai noteiktie ierobežojumi būtiski ietekmēja uzņēmējdarbības vidi Latvijā, mazinot kopējo aktivitāti. Uzņēmumi cieta zaudējumus gan darbinieku karantīnas vai pašizolācijas dēļ, gan pieprasījuma samazinājuma eksporta noieta tirgos dēļ, kā arī kopējais iekšzemes pieprasījuma samazinājums bremzēja tautsaimniecības attīstību. Vislielākais nozaru kritums (IKP apjoma izmaiņās pēc ražošanas aspekta) šī gada 1. ceturksnī pret iepriekšējā gada atbilstošo periodu ir novērojams transporta un uzglabāšanas nozarē, izmitināšanas un ēdināšanas nozarē</w:t>
      </w:r>
      <w:r w:rsidR="004852DF">
        <w:rPr>
          <w:rFonts w:ascii="Times New Roman" w:eastAsia="Calibri" w:hAnsi="Times New Roman" w:cs="Times New Roman"/>
          <w:noProof/>
          <w:lang w:eastAsia="lv-LV"/>
        </w:rPr>
        <w:t xml:space="preserve">, </w:t>
      </w:r>
      <w:r w:rsidRPr="00ED76A1">
        <w:rPr>
          <w:rFonts w:ascii="Times New Roman" w:eastAsia="Calibri" w:hAnsi="Times New Roman" w:cs="Times New Roman"/>
          <w:noProof/>
          <w:lang w:eastAsia="lv-LV"/>
        </w:rPr>
        <w:t>mākslas un atpūtas nozarē</w:t>
      </w:r>
      <w:r w:rsidR="004852DF">
        <w:rPr>
          <w:rFonts w:ascii="Times New Roman" w:eastAsia="Calibri" w:hAnsi="Times New Roman" w:cs="Times New Roman"/>
          <w:noProof/>
          <w:lang w:eastAsia="lv-LV"/>
        </w:rPr>
        <w:t xml:space="preserve">, </w:t>
      </w:r>
      <w:r w:rsidRPr="00ED76A1">
        <w:rPr>
          <w:rFonts w:ascii="Times New Roman" w:eastAsia="Calibri" w:hAnsi="Times New Roman" w:cs="Times New Roman"/>
          <w:noProof/>
          <w:lang w:eastAsia="lv-LV"/>
        </w:rPr>
        <w:t>kā arī informācijas un komunikācijas pakalpojumos</w:t>
      </w:r>
      <w:r w:rsidR="003510A3">
        <w:rPr>
          <w:rFonts w:ascii="Times New Roman" w:eastAsia="Calibri" w:hAnsi="Times New Roman" w:cs="Times New Roman"/>
          <w:noProof/>
          <w:lang w:eastAsia="lv-LV"/>
        </w:rPr>
        <w:t>.</w:t>
      </w:r>
      <w:r w:rsidRPr="00ED76A1">
        <w:rPr>
          <w:rFonts w:ascii="Times New Roman" w:eastAsia="Calibri" w:hAnsi="Times New Roman" w:cs="Times New Roman"/>
          <w:noProof/>
          <w:lang w:eastAsia="lv-LV"/>
        </w:rPr>
        <w:t xml:space="preserve"> </w:t>
      </w:r>
      <w:r w:rsidR="003510A3" w:rsidRPr="00ED76A1">
        <w:rPr>
          <w:rFonts w:ascii="Times New Roman" w:eastAsia="Calibri" w:hAnsi="Times New Roman" w:cs="Times New Roman"/>
          <w:noProof/>
          <w:lang w:eastAsia="lv-LV"/>
        </w:rPr>
        <w:t>Prognozējams</w:t>
      </w:r>
      <w:r w:rsidRPr="00ED76A1">
        <w:rPr>
          <w:rFonts w:ascii="Times New Roman" w:eastAsia="Calibri" w:hAnsi="Times New Roman" w:cs="Times New Roman"/>
          <w:noProof/>
          <w:lang w:eastAsia="lv-LV"/>
        </w:rPr>
        <w:t xml:space="preserve">, ka 2. ceturksnī Covid-19 negatīvā ietekme būs vēl lielāka, jo jau aprīlī un maijā, ņemot vērā atsevišķus indikatorus, kā, piemēram, elektroenerģijas patēriņu, darījumus ar norēķinu kartēm un degvielas patēriņa datus, ir redzams nozīmīgs iepriekšminēto nozaru samazinājums.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Pretēji vispārējai tendencei, atsevišķas nozares 2020. gada 1. ceturksnī sasniedza izaugsmi, salīdzinot ar 2019. gada atbilstošo periodu - visstraujāk pieauga būvniecības nozare (par 14.9%), ko pamatā noteica labvēlīgie laikapstākļi un siltā ziema. Izaugsme bija vērojama arī lauksaimniecības un mežsaimniecības nozarē, komercpakalpojumos, operācijās ar nekustamo īpašumu, kā arī sabiedrisko pakalpojumu nozarēs.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Preču eksporta vērtība aprīlī Covid-19 pandēmijas dēļ kopumā samazinājās par 13.9%, salīdzinot ar 2019. gada aprīļa rādītājiem, bet preču importa vērtība samazinājās par 27.4%. Eksporta samazinājumu veidoja faktiski visas preču grupas, bet visvairāk samazinājās sauszemes transportlīdzekļu, koksnes un tās izstrādājumu, naftas produktu un graudaugu kultūru eksporta vērtība. Preču importa samazinājumu aprīlī būtiski ietekmēja transportlīdzekļu, minerālo produktu, mehānismu un ierīču, ķīmiskās rūpniecības preču, kā arī metālu un to izstrādājumu importa samazinājums. Aprīlī eksporta vērtības samazinājums galvenokārt bija saistīts ar tālākās pandēmijas izplatības ierobežojumiem dažādās pasaules valstīs. Turpmākā eksporta attīstība, līdzīgi kā kopējās ekonomikas perspektīvas, joprojām ir </w:t>
      </w:r>
      <w:r w:rsidRPr="00ED76A1">
        <w:rPr>
          <w:rFonts w:ascii="Times New Roman" w:eastAsia="Calibri" w:hAnsi="Times New Roman" w:cs="Times New Roman"/>
          <w:noProof/>
          <w:lang w:eastAsia="lv-LV"/>
        </w:rPr>
        <w:lastRenderedPageBreak/>
        <w:t xml:space="preserve">neskaidras. Arī nākamajos mēnešos eksportu negatīvi ietekmēs ārēja pieprasījuma samazinājums.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PKR orientiera dati 2020. gada 1. ceturkšņa beigās par kredītu atlikuma un IKP attiecības novirzi no ilgtermiņa tendences norāda uz ilgstoši saglabājušos negatīvu tendenci, kas ir viena no lielākajām starp Eiropas Savienības valstīm – gan izmantojot plašo (-35% 2019. gada 4. ceturkšņa beigās), gan šauro (-21% 2020. gada 1. ceturkšņa beigās) kredītu definīciju. Latvijas rezidentiem izsniegto kredītu (pēc šaurās definīcijas) un IKP attiecība turpina pakāpeniski samazināties un 2020. gada 1. ceturkšņa beigās bija 31%. Šāds kredītu un IKP attiecības līmenis Latvijā iepriekš bija vērojams 2003. gadā.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Iekšzemes kreditēšana kopumā turpina mēreni attīstīties, lai arī tās apjomi pret IKP pieaugumu konstanti samazinās. Kopējā iekšzemes privātā nefinanšu kredītportfeļa pieauguma temps uz 2019. gada beigām pieauga par 1.1%, salīdzinot ar iepriekšējā gada atbilstošo periodu. Privātā sektora parāda slogs turpina pakāpeniski sarukt – kopējie gada procentu maksājumi pret IKP 2020. gada 1. ceturksnī veidoja 1.1 %, kas ir visu laiku zemākais rādītājs kopš novērojumu sākuma (2003. gadā).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Kredītiestāžu iekšzemes privātajiem nefinanšu klientiem izsniegtais kredītu apjoms 2020. gada 1. ceturksnī, salīdzinot ar iepriekšējā gada atbilstošo periodu, saruka par 3.6%. Samazinājumu galvenokārt veidoja nefinanšu sabiedrību kredītportfeļa sarukums (par 7.7%), kur būtiska ietekme bija mazo un vidējo uzņēmumu segmentam. Savukārt iekšzemes mājsaimniecību kredītportfelis 2020. gada 1. ceturksnī (salīdzinot ar iepriekšējā gada atbilstošo periodu) nedaudz pieauga (par 0.6%), lielā mērā pateicoties turpmākam patēriņa kredītu pieaugumam. Nozīmīgu daļu no iekšzemes klientu kredītportfeļa veido mājsaimniecībām izsniegtie kredīti ar nekustamā īpašumu ķīlu, kuru apmērs 2020. gada 1. ceturksnī pieauga aptuveni par 1.3% (gads pret gadu).</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Būtisku lomu hipotekārajā kreditēšanā Latvijā joprojām spēlē valsts atbalsta programma mājokļa iegādei arī Covid-19 pandēmijas apstākļos. Nozīmīga daļa jauno mājokļa kredītu tiek izsniegta tieši ar valsts galvojumu, kas atspoguļojas arī caurmērā noturīgā un mērenā hipotekārā kredītportfeļa pieaugumā – kredītu mājokļa iegādei atlikums 1. ceturksnī, salīdzinot ar iepriekšējā gada atbilstošo periodu, ir kopumā pieaudzis par 0.8%, kā arī to skaits ir pieaudzis par 5,6%.</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Covid-19 pandēmijas izraisītā ekonomikas aktivitātes sabremzēšanās ir ietekmējusi arī nebanku kreditēšanas sektoru un 2020. gada 1. ceturksnī, attiecībā uz izsniegtajiem kredītiem, ir novērojama pieauguma tempa samazināšanās, kas varētu turpināties arī nākamajos ceturkšņos. Nebanku kreditētāju iekšzemes nefinanšu sabiedrību un mājsaimniecību kredītportfeļa pieauguma temps 2020. gada 1. ceturksnī samazinājās par 2.1 procentu punktiem, salīdzinot ar 2019. gada 4. ceturkšņa rādītājiem, un veidoja mērenu 2.3% pieaugumu (gads pret gadu). Līzinga sabiedrību izsniegto kredītu pieauguma temps iekšzemes mājsaimniecībām un nefinanšu uzņēmumiem tajā pašā laika periodā samazinājās no 3.6% (2019. gada 4. ceturksnis) uz 0.6% (2020. gada 1. ceturksnis).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Bezdarba līmeņa pieaugums un pesimistiskās gaidas par algu samazināšanos nākotnē mazina arī iedzīvotāju pieprasījumu pēc kredīta. Atsevišķi nebanku kreditētāji norāda, ņemot vērā nesenos grozījumus Patērētāju tiesību aizsardzības likumā, ka kreditēšanas standarti ir palielināti un tas mazina mājsaimniecību iespējas saņemt papildu finansējumu, lai pārciestu Covid-19 radītās sekas.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Pretēji vispārējām tendencēm, 2020. gada 1. ceturksnī, salīdzinot ar iepriekšējā gada atbilstošo periodu, atsevišķu nebanku kreditētāju, t.sk. </w:t>
      </w:r>
      <w:r w:rsidR="003510A3">
        <w:rPr>
          <w:rFonts w:ascii="Times New Roman" w:eastAsia="Calibri" w:hAnsi="Times New Roman" w:cs="Times New Roman"/>
          <w:bCs/>
          <w:iCs/>
        </w:rPr>
        <w:t>"</w:t>
      </w:r>
      <w:r w:rsidRPr="00ED76A1">
        <w:rPr>
          <w:rFonts w:ascii="Times New Roman" w:eastAsia="Calibri" w:hAnsi="Times New Roman" w:cs="Times New Roman"/>
          <w:noProof/>
          <w:lang w:eastAsia="lv-LV"/>
        </w:rPr>
        <w:t>ātro kredītu</w:t>
      </w:r>
      <w:r w:rsidR="003510A3">
        <w:rPr>
          <w:rFonts w:ascii="Times New Roman" w:eastAsia="Calibri" w:hAnsi="Times New Roman" w:cs="Times New Roman"/>
          <w:bCs/>
          <w:iCs/>
        </w:rPr>
        <w:t>"</w:t>
      </w:r>
      <w:r w:rsidRPr="00ED76A1">
        <w:rPr>
          <w:rFonts w:ascii="Times New Roman" w:eastAsia="Calibri" w:hAnsi="Times New Roman" w:cs="Times New Roman"/>
          <w:noProof/>
          <w:lang w:eastAsia="lv-LV"/>
        </w:rPr>
        <w:t xml:space="preserve"> sabiedrību, izsniegtie kredīti mājsaimniecībām pieauga par 8.1%, salīdzinot ar 3.3% pieaugumu 2019. gada 4. ceturksnī. Pieauguma tempa kāpums daļēji skaidrojams ar mājsaimniecību vēlmi pagarināt esošās kredītsaistības, vienojoties par kredītbrīvdienām ar aizdevēju</w:t>
      </w:r>
      <w:r w:rsidR="003510A3">
        <w:rPr>
          <w:rFonts w:ascii="Times New Roman" w:eastAsia="Calibri" w:hAnsi="Times New Roman" w:cs="Times New Roman"/>
          <w:noProof/>
          <w:lang w:eastAsia="lv-LV"/>
        </w:rPr>
        <w:t>.</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Nekustamā īpašuma tirgus tendences 2020. gada sākumā iezīmēja vairākas būtiskas izmaiņas, kas bija saistītas ar martā noteiktajiem ierobežojumiem un pēkšņu vispārēju ekonomikas attīstības sabremzēšanos un iedzīvotāju piesardzību. Martā interese par hipotekāro kredītu strauji nokritās, iedzīvotāji novirzīja savus brīvos līdzekļus mājokļa labiekārtošanai vai </w:t>
      </w:r>
      <w:r w:rsidRPr="00ED76A1">
        <w:rPr>
          <w:rFonts w:ascii="Times New Roman" w:eastAsia="Calibri" w:hAnsi="Times New Roman" w:cs="Times New Roman"/>
          <w:noProof/>
          <w:lang w:eastAsia="lv-LV"/>
        </w:rPr>
        <w:lastRenderedPageBreak/>
        <w:t xml:space="preserve">remontam, kā arī turpināja veidot uzkrājumus. Kā norāda banku eksperti, šobrīd pieprasījums pēc kredītiem ir atjaunojies līmenī pirms ārkārtas situācijas.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Īres tirgus kopumā ir jūtīgāk reaģējis uz esošo situāciju ekonomikā un eksperti norāda uz pat 30% cenu kritumu īres maksai Rīgas centra rajonā, vienlaikus nekustamo īpašumu attīstītāji un banku pārstāvji nesagaida būtisku nekustamā īpašuma cenu kritumu, kāds bija novērots iepriekšējā krīzē. Bankas, izsniedzot kredītus, šobrīd īpašu uzmanību velta klienta maksātspējas izvērtējumam un ienākumu saistībai ar nozarēm, kuras visvairāk skārušas noteiktie ierobežojumi. Turklāt bankām no 1. jūnija, vērtējot klientu kredītspēju, ir jāievēro uz aizņēmējiem vērsto instrumentu prasības.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2020. gadā mājokļu cenas joprojām turpina pieaugt. Ņemot vērā nekoriģētus datus, Centrālās statistikas pārvaldes mājokļu cenu indekss 2020. gada 1. ceturksnī, salīdzinājumā ar iepriekšējā gada atbilstošo periodu, palielinājās par 9.1% (salīdzinājumā ar 8.8% pieaugumu 2019. gada 4. ceturksnī), esošo mājokļu cenas – par 7.7% (par 8.1% – 2019. gada 4. ceturksnī), bet jauno mājokļu cenas pieauga par 15.7% (12.7% pieaugums 2019. gada 4. ceturksnī). Aktuālā mājokļu pirkuma darījumu skaita tendence norāda, ka 2020. gada 1. ceturksnī, salīdzinot ar iepriekšējā gada atbilstošo periodu, Latvijā kopumā veikto darījumu skaits ir pieaudzis par 9.2%, bet Rīgas nekustamo īpašumu tirgū tas ir samazinājies par 2.3%.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Kopumā ciklisko risku novērtējums par 2020. gada 1. ceturksni paliek nemainīgs, lai arī neskaidrība par Covid-19 pandēmijas izplatību un tā ietekmi uz Latvijas tautsaimniecību paredz piesardzīgu ciklisko politiku attiecībā uz pozitīvas PKR normas piemērošanu. Kā liecina aktuālā Eiropas Sistēmisko ris</w:t>
      </w:r>
      <w:r>
        <w:rPr>
          <w:rFonts w:ascii="Times New Roman" w:eastAsia="Calibri" w:hAnsi="Times New Roman" w:cs="Times New Roman"/>
          <w:noProof/>
          <w:lang w:eastAsia="lv-LV"/>
        </w:rPr>
        <w:t>ku kolēģijas (ESRK) publiskotā</w:t>
      </w:r>
      <w:r>
        <w:rPr>
          <w:rStyle w:val="FootnoteReference"/>
          <w:rFonts w:ascii="Times New Roman" w:eastAsia="Calibri" w:hAnsi="Times New Roman"/>
          <w:noProof/>
          <w:lang w:eastAsia="lv-LV"/>
        </w:rPr>
        <w:footnoteReference w:id="1"/>
      </w:r>
      <w:r>
        <w:rPr>
          <w:rFonts w:ascii="Times New Roman" w:eastAsia="Calibri" w:hAnsi="Times New Roman" w:cs="Times New Roman"/>
          <w:noProof/>
          <w:lang w:eastAsia="lv-LV"/>
        </w:rPr>
        <w:t xml:space="preserve"> </w:t>
      </w:r>
      <w:r w:rsidRPr="00ED76A1">
        <w:rPr>
          <w:rFonts w:ascii="Times New Roman" w:eastAsia="Calibri" w:hAnsi="Times New Roman" w:cs="Times New Roman"/>
          <w:noProof/>
          <w:lang w:eastAsia="lv-LV"/>
        </w:rPr>
        <w:t xml:space="preserve">informācija, gandrīz visas dalībvalstis ir samazinājušas iepriekš noteiktās pozitīvās PKR normas līdz 0%, lai nodrošinātu kreditēšanas nepārtrauktību finanšu cikla lejupslīdes fāzē.  </w:t>
      </w:r>
    </w:p>
    <w:p w:rsidR="00ED76A1" w:rsidRPr="00ED76A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 xml:space="preserve">Vērtējot situāciju Latvijā 2020. gada </w:t>
      </w:r>
      <w:r w:rsidR="003510A3">
        <w:rPr>
          <w:rFonts w:ascii="Times New Roman" w:eastAsia="Calibri" w:hAnsi="Times New Roman" w:cs="Times New Roman"/>
          <w:noProof/>
          <w:lang w:eastAsia="lv-LV"/>
        </w:rPr>
        <w:t>jūlijā</w:t>
      </w:r>
      <w:r w:rsidRPr="00ED76A1">
        <w:rPr>
          <w:rFonts w:ascii="Times New Roman" w:eastAsia="Calibri" w:hAnsi="Times New Roman" w:cs="Times New Roman"/>
          <w:noProof/>
          <w:lang w:eastAsia="lv-LV"/>
        </w:rPr>
        <w:t xml:space="preserve">, ņemot vērā tautsaimniecības šokus un turpmāku neskaidrību par ekonomikas attīstības tendencēm, kas var ļoti strauji pasliktināties vīrusa turpmākas izplatības gadījumā un tam sekojošu ierobežojumu atjaunošanā, ir vērojami signāli par pieaugošiem riskiem finanšu stabilitātei un ir prognozējama finanšu cikla lejupvērsta tendence. Augstā nenoteiktība bremzēs arī jauno privāto investīciju plūsmu un 2020. gadā kopumā ir prognozēta nozīmīga (par aptuveni 12% gada griezumā) investīciju samazināšanās. Visaptverošas aktivitātes samazinājums ārējos tirgos mazinās arī Latvijas eksporta preču noietu, bet iekšējā pieprasījuma mazinājums negatīvi ietekmēs gan importa apmērus, gan vietējā patēriņa apmērus. Sagaidāms, ka bezdarbs pieaugs līdz 9.6% no ekonomiski aktīvo iedzīvotāju skaita, un tam būs paliekoša ietekme vidējā termiņā – mazināsies darbaspēka izmaksas un sabremzēsies algu pieaugums. </w:t>
      </w:r>
    </w:p>
    <w:p w:rsidR="00934B31" w:rsidRDefault="00ED76A1" w:rsidP="00ED76A1">
      <w:pPr>
        <w:spacing w:after="120" w:line="240" w:lineRule="auto"/>
        <w:jc w:val="both"/>
        <w:rPr>
          <w:rFonts w:ascii="Times New Roman" w:eastAsia="Calibri" w:hAnsi="Times New Roman" w:cs="Times New Roman"/>
          <w:noProof/>
          <w:lang w:eastAsia="lv-LV"/>
        </w:rPr>
      </w:pPr>
      <w:r w:rsidRPr="00ED76A1">
        <w:rPr>
          <w:rFonts w:ascii="Times New Roman" w:eastAsia="Calibri" w:hAnsi="Times New Roman" w:cs="Times New Roman"/>
          <w:noProof/>
          <w:lang w:eastAsia="lv-LV"/>
        </w:rPr>
        <w:t>FKTK sadarbībā ar Latvijas Banku turpinās analizēt būtiskos rādītājus un tendences, vērtējot nosakāmo PKR normu nākamajos ceturkšņos.</w:t>
      </w:r>
    </w:p>
    <w:p w:rsidR="00A3730D" w:rsidRPr="00A7579A" w:rsidRDefault="00A3730D" w:rsidP="00470CFE">
      <w:pPr>
        <w:keepNext/>
        <w:keepLines/>
        <w:spacing w:after="120" w:line="240" w:lineRule="auto"/>
        <w:jc w:val="both"/>
        <w:outlineLvl w:val="0"/>
        <w:rPr>
          <w:rFonts w:ascii="Times New Roman" w:hAnsi="Times New Roman" w:cs="Times New Roman"/>
        </w:rPr>
      </w:pPr>
    </w:p>
    <w:sectPr w:rsidR="00A3730D" w:rsidRPr="00A7579A" w:rsidSect="00FB659C">
      <w:pgSz w:w="11906" w:h="16838"/>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9A" w:rsidRDefault="0043509A" w:rsidP="0032368D">
      <w:pPr>
        <w:spacing w:after="0" w:line="240" w:lineRule="auto"/>
      </w:pPr>
      <w:r>
        <w:separator/>
      </w:r>
    </w:p>
  </w:endnote>
  <w:endnote w:type="continuationSeparator" w:id="0">
    <w:p w:rsidR="0043509A" w:rsidRDefault="0043509A"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9A" w:rsidRDefault="0043509A" w:rsidP="0032368D">
      <w:pPr>
        <w:spacing w:after="0" w:line="240" w:lineRule="auto"/>
      </w:pPr>
      <w:r>
        <w:separator/>
      </w:r>
    </w:p>
  </w:footnote>
  <w:footnote w:type="continuationSeparator" w:id="0">
    <w:p w:rsidR="0043509A" w:rsidRDefault="0043509A" w:rsidP="0032368D">
      <w:pPr>
        <w:spacing w:after="0" w:line="240" w:lineRule="auto"/>
      </w:pPr>
      <w:r>
        <w:continuationSeparator/>
      </w:r>
    </w:p>
  </w:footnote>
  <w:footnote w:id="1">
    <w:p w:rsidR="00ED76A1" w:rsidRPr="00ED76A1" w:rsidRDefault="00ED76A1">
      <w:pPr>
        <w:pStyle w:val="FootnoteText"/>
        <w:rPr>
          <w:rFonts w:ascii="Times New Roman" w:hAnsi="Times New Roman" w:cs="Times New Roman"/>
          <w:lang w:val="en-US"/>
        </w:rPr>
      </w:pPr>
      <w:r w:rsidRPr="00ED76A1">
        <w:rPr>
          <w:rStyle w:val="FootnoteReference"/>
          <w:rFonts w:ascii="Times New Roman" w:hAnsi="Times New Roman"/>
        </w:rPr>
        <w:footnoteRef/>
      </w:r>
      <w:r w:rsidRPr="00ED76A1">
        <w:rPr>
          <w:rFonts w:ascii="Times New Roman" w:hAnsi="Times New Roman" w:cs="Times New Roman"/>
        </w:rPr>
        <w:t xml:space="preserve"> Informācija par aktuālajām Eiropas dalībvalstu un EEZ valstu noteiktajām PKR normām ir pieejama ERRK mājaslapā: </w:t>
      </w:r>
      <w:hyperlink r:id="rId1" w:history="1">
        <w:r w:rsidRPr="00ED76A1">
          <w:rPr>
            <w:rStyle w:val="Hyperlink"/>
            <w:rFonts w:ascii="Times New Roman" w:hAnsi="Times New Roman" w:cs="Times New Roman"/>
          </w:rPr>
          <w:t>https://www.esrb.europa.eu/national_policy/ccb/html/index.en.html</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8D"/>
    <w:rsid w:val="0000345E"/>
    <w:rsid w:val="00006294"/>
    <w:rsid w:val="000219CE"/>
    <w:rsid w:val="00033609"/>
    <w:rsid w:val="000416B6"/>
    <w:rsid w:val="0004770A"/>
    <w:rsid w:val="0005216E"/>
    <w:rsid w:val="00053D55"/>
    <w:rsid w:val="00056361"/>
    <w:rsid w:val="000732CA"/>
    <w:rsid w:val="00073CF2"/>
    <w:rsid w:val="00074564"/>
    <w:rsid w:val="000760CC"/>
    <w:rsid w:val="0007732A"/>
    <w:rsid w:val="0008428A"/>
    <w:rsid w:val="00092FAB"/>
    <w:rsid w:val="000A78A0"/>
    <w:rsid w:val="000B500D"/>
    <w:rsid w:val="000C4CF1"/>
    <w:rsid w:val="000C5528"/>
    <w:rsid w:val="000D0CFE"/>
    <w:rsid w:val="000D3F5D"/>
    <w:rsid w:val="000E7C19"/>
    <w:rsid w:val="001107C9"/>
    <w:rsid w:val="001200D0"/>
    <w:rsid w:val="00133C4A"/>
    <w:rsid w:val="001462F3"/>
    <w:rsid w:val="00151AC3"/>
    <w:rsid w:val="0015490A"/>
    <w:rsid w:val="00157AFD"/>
    <w:rsid w:val="00160E17"/>
    <w:rsid w:val="0017114E"/>
    <w:rsid w:val="00173659"/>
    <w:rsid w:val="00174F2D"/>
    <w:rsid w:val="0019182F"/>
    <w:rsid w:val="00196BE7"/>
    <w:rsid w:val="001A066A"/>
    <w:rsid w:val="001A3D76"/>
    <w:rsid w:val="001B1DB2"/>
    <w:rsid w:val="001B255A"/>
    <w:rsid w:val="001B2BC2"/>
    <w:rsid w:val="001B386C"/>
    <w:rsid w:val="001B3A24"/>
    <w:rsid w:val="001B4A29"/>
    <w:rsid w:val="001B75E4"/>
    <w:rsid w:val="001C4A4B"/>
    <w:rsid w:val="001D0D8E"/>
    <w:rsid w:val="001D1AD1"/>
    <w:rsid w:val="001D7A88"/>
    <w:rsid w:val="001D7E5E"/>
    <w:rsid w:val="001E4DEF"/>
    <w:rsid w:val="001E54D3"/>
    <w:rsid w:val="001E5B20"/>
    <w:rsid w:val="001E631C"/>
    <w:rsid w:val="001F0D5B"/>
    <w:rsid w:val="001F36C7"/>
    <w:rsid w:val="001F3CBB"/>
    <w:rsid w:val="001F574A"/>
    <w:rsid w:val="001F7184"/>
    <w:rsid w:val="00200585"/>
    <w:rsid w:val="00201F2A"/>
    <w:rsid w:val="00202693"/>
    <w:rsid w:val="00211C78"/>
    <w:rsid w:val="00212C82"/>
    <w:rsid w:val="00214ED9"/>
    <w:rsid w:val="002204A7"/>
    <w:rsid w:val="00222721"/>
    <w:rsid w:val="002343BD"/>
    <w:rsid w:val="0024248F"/>
    <w:rsid w:val="002427C4"/>
    <w:rsid w:val="00250A7A"/>
    <w:rsid w:val="0025420C"/>
    <w:rsid w:val="0025718E"/>
    <w:rsid w:val="00257798"/>
    <w:rsid w:val="002578B4"/>
    <w:rsid w:val="00264AD0"/>
    <w:rsid w:val="00275056"/>
    <w:rsid w:val="002774E0"/>
    <w:rsid w:val="0028285A"/>
    <w:rsid w:val="00282D6E"/>
    <w:rsid w:val="00283EDB"/>
    <w:rsid w:val="00286B91"/>
    <w:rsid w:val="00297A9A"/>
    <w:rsid w:val="002A0A04"/>
    <w:rsid w:val="002A3173"/>
    <w:rsid w:val="002A37B2"/>
    <w:rsid w:val="002A623C"/>
    <w:rsid w:val="002A6B0A"/>
    <w:rsid w:val="002B0DEE"/>
    <w:rsid w:val="002C0998"/>
    <w:rsid w:val="002C17C8"/>
    <w:rsid w:val="002C4B94"/>
    <w:rsid w:val="002D0028"/>
    <w:rsid w:val="002D1280"/>
    <w:rsid w:val="002D66B5"/>
    <w:rsid w:val="002D763E"/>
    <w:rsid w:val="002E2D88"/>
    <w:rsid w:val="002E458C"/>
    <w:rsid w:val="002E5CD2"/>
    <w:rsid w:val="002E5D00"/>
    <w:rsid w:val="002E7702"/>
    <w:rsid w:val="002F0E6B"/>
    <w:rsid w:val="002F2C6A"/>
    <w:rsid w:val="0030576F"/>
    <w:rsid w:val="00307DBC"/>
    <w:rsid w:val="003146BA"/>
    <w:rsid w:val="0031554E"/>
    <w:rsid w:val="00317341"/>
    <w:rsid w:val="0032368D"/>
    <w:rsid w:val="00327AF2"/>
    <w:rsid w:val="00332E8E"/>
    <w:rsid w:val="00336DFF"/>
    <w:rsid w:val="003408BC"/>
    <w:rsid w:val="00342E7E"/>
    <w:rsid w:val="00347BD8"/>
    <w:rsid w:val="003510A3"/>
    <w:rsid w:val="003522C3"/>
    <w:rsid w:val="0036153F"/>
    <w:rsid w:val="0036687B"/>
    <w:rsid w:val="003676B7"/>
    <w:rsid w:val="00373687"/>
    <w:rsid w:val="003811B7"/>
    <w:rsid w:val="003833D9"/>
    <w:rsid w:val="003869BE"/>
    <w:rsid w:val="003950AB"/>
    <w:rsid w:val="003A1C21"/>
    <w:rsid w:val="003A4F4B"/>
    <w:rsid w:val="003A71F7"/>
    <w:rsid w:val="003A788B"/>
    <w:rsid w:val="003C0C57"/>
    <w:rsid w:val="003C4CFB"/>
    <w:rsid w:val="003C5456"/>
    <w:rsid w:val="003C6059"/>
    <w:rsid w:val="003C7C63"/>
    <w:rsid w:val="003D03F5"/>
    <w:rsid w:val="003D464B"/>
    <w:rsid w:val="003D54E7"/>
    <w:rsid w:val="003F243B"/>
    <w:rsid w:val="004058BC"/>
    <w:rsid w:val="00407879"/>
    <w:rsid w:val="00410BF9"/>
    <w:rsid w:val="00413C37"/>
    <w:rsid w:val="00421D1C"/>
    <w:rsid w:val="00427AFE"/>
    <w:rsid w:val="0043509A"/>
    <w:rsid w:val="0044271E"/>
    <w:rsid w:val="004438F2"/>
    <w:rsid w:val="004458CB"/>
    <w:rsid w:val="0046415C"/>
    <w:rsid w:val="00470CFE"/>
    <w:rsid w:val="004715BE"/>
    <w:rsid w:val="00471FDD"/>
    <w:rsid w:val="00477791"/>
    <w:rsid w:val="004802E1"/>
    <w:rsid w:val="00481DA2"/>
    <w:rsid w:val="00483023"/>
    <w:rsid w:val="0048333C"/>
    <w:rsid w:val="00483487"/>
    <w:rsid w:val="004852DF"/>
    <w:rsid w:val="00485DED"/>
    <w:rsid w:val="00490B38"/>
    <w:rsid w:val="004950F6"/>
    <w:rsid w:val="004A27C0"/>
    <w:rsid w:val="004A6195"/>
    <w:rsid w:val="004A6271"/>
    <w:rsid w:val="004D2A61"/>
    <w:rsid w:val="004D5F26"/>
    <w:rsid w:val="004E4EFF"/>
    <w:rsid w:val="004E598C"/>
    <w:rsid w:val="004F1E9D"/>
    <w:rsid w:val="004F22BD"/>
    <w:rsid w:val="004F57E6"/>
    <w:rsid w:val="004F663E"/>
    <w:rsid w:val="005002AE"/>
    <w:rsid w:val="0050101D"/>
    <w:rsid w:val="00501F69"/>
    <w:rsid w:val="005039A2"/>
    <w:rsid w:val="00505E20"/>
    <w:rsid w:val="00512D34"/>
    <w:rsid w:val="0051567D"/>
    <w:rsid w:val="00541087"/>
    <w:rsid w:val="00545D33"/>
    <w:rsid w:val="00551EDB"/>
    <w:rsid w:val="005530EC"/>
    <w:rsid w:val="005557E7"/>
    <w:rsid w:val="00556281"/>
    <w:rsid w:val="00563458"/>
    <w:rsid w:val="00575728"/>
    <w:rsid w:val="005809B2"/>
    <w:rsid w:val="0058464F"/>
    <w:rsid w:val="00584828"/>
    <w:rsid w:val="00594104"/>
    <w:rsid w:val="00595758"/>
    <w:rsid w:val="00597727"/>
    <w:rsid w:val="005B43FD"/>
    <w:rsid w:val="005B5A65"/>
    <w:rsid w:val="005B6F2D"/>
    <w:rsid w:val="005C192C"/>
    <w:rsid w:val="005C5BE4"/>
    <w:rsid w:val="005C6193"/>
    <w:rsid w:val="005C6820"/>
    <w:rsid w:val="005D0F48"/>
    <w:rsid w:val="005D72CD"/>
    <w:rsid w:val="005D7527"/>
    <w:rsid w:val="005E27EE"/>
    <w:rsid w:val="005F22B5"/>
    <w:rsid w:val="005F5E68"/>
    <w:rsid w:val="005F6B02"/>
    <w:rsid w:val="005F6B51"/>
    <w:rsid w:val="0060248D"/>
    <w:rsid w:val="00603E26"/>
    <w:rsid w:val="00611E90"/>
    <w:rsid w:val="0061393A"/>
    <w:rsid w:val="00626D69"/>
    <w:rsid w:val="00630A3C"/>
    <w:rsid w:val="00637145"/>
    <w:rsid w:val="006419D4"/>
    <w:rsid w:val="00647385"/>
    <w:rsid w:val="006506BC"/>
    <w:rsid w:val="00650A3F"/>
    <w:rsid w:val="00652B58"/>
    <w:rsid w:val="00665696"/>
    <w:rsid w:val="00676D29"/>
    <w:rsid w:val="006852AB"/>
    <w:rsid w:val="00686462"/>
    <w:rsid w:val="0068695B"/>
    <w:rsid w:val="00691959"/>
    <w:rsid w:val="00694A1E"/>
    <w:rsid w:val="006A0A25"/>
    <w:rsid w:val="006A2EA8"/>
    <w:rsid w:val="006A5D61"/>
    <w:rsid w:val="006C4BF1"/>
    <w:rsid w:val="006D53F7"/>
    <w:rsid w:val="006E2DE7"/>
    <w:rsid w:val="006E54D0"/>
    <w:rsid w:val="006F3C5A"/>
    <w:rsid w:val="007054B6"/>
    <w:rsid w:val="007101E0"/>
    <w:rsid w:val="007135B6"/>
    <w:rsid w:val="00715403"/>
    <w:rsid w:val="00722FBC"/>
    <w:rsid w:val="007240F6"/>
    <w:rsid w:val="00730C2D"/>
    <w:rsid w:val="007314BB"/>
    <w:rsid w:val="00732145"/>
    <w:rsid w:val="00734FF6"/>
    <w:rsid w:val="0075295B"/>
    <w:rsid w:val="00752964"/>
    <w:rsid w:val="00753A0C"/>
    <w:rsid w:val="00755306"/>
    <w:rsid w:val="0076445A"/>
    <w:rsid w:val="007711FA"/>
    <w:rsid w:val="0077191E"/>
    <w:rsid w:val="00781E70"/>
    <w:rsid w:val="00786278"/>
    <w:rsid w:val="00795CBC"/>
    <w:rsid w:val="00797CA5"/>
    <w:rsid w:val="007A0626"/>
    <w:rsid w:val="007A06E9"/>
    <w:rsid w:val="007A2552"/>
    <w:rsid w:val="007A3364"/>
    <w:rsid w:val="007A6003"/>
    <w:rsid w:val="007B0186"/>
    <w:rsid w:val="007B18EE"/>
    <w:rsid w:val="007B5C91"/>
    <w:rsid w:val="007B6DE4"/>
    <w:rsid w:val="007B70B4"/>
    <w:rsid w:val="007C062F"/>
    <w:rsid w:val="007C5CB7"/>
    <w:rsid w:val="007D02BE"/>
    <w:rsid w:val="007D0F9E"/>
    <w:rsid w:val="007D4B90"/>
    <w:rsid w:val="007F0B1F"/>
    <w:rsid w:val="007F27EB"/>
    <w:rsid w:val="007F43A8"/>
    <w:rsid w:val="008018ED"/>
    <w:rsid w:val="00803B31"/>
    <w:rsid w:val="008045C6"/>
    <w:rsid w:val="00804704"/>
    <w:rsid w:val="0080796D"/>
    <w:rsid w:val="008126F3"/>
    <w:rsid w:val="00812F55"/>
    <w:rsid w:val="008153A2"/>
    <w:rsid w:val="00823AC7"/>
    <w:rsid w:val="00827011"/>
    <w:rsid w:val="008321C2"/>
    <w:rsid w:val="0083262F"/>
    <w:rsid w:val="00833DD1"/>
    <w:rsid w:val="00834BCF"/>
    <w:rsid w:val="0084152B"/>
    <w:rsid w:val="008436E0"/>
    <w:rsid w:val="0086001F"/>
    <w:rsid w:val="00883B9E"/>
    <w:rsid w:val="008971A7"/>
    <w:rsid w:val="008A2AD7"/>
    <w:rsid w:val="008B0CC4"/>
    <w:rsid w:val="008B0FED"/>
    <w:rsid w:val="008B1AA7"/>
    <w:rsid w:val="008B2C91"/>
    <w:rsid w:val="008B365D"/>
    <w:rsid w:val="008B7997"/>
    <w:rsid w:val="008C19F9"/>
    <w:rsid w:val="008C4114"/>
    <w:rsid w:val="008E4105"/>
    <w:rsid w:val="008F031D"/>
    <w:rsid w:val="00900A60"/>
    <w:rsid w:val="009036F8"/>
    <w:rsid w:val="009044ED"/>
    <w:rsid w:val="00906956"/>
    <w:rsid w:val="009107FF"/>
    <w:rsid w:val="0091202B"/>
    <w:rsid w:val="0091533F"/>
    <w:rsid w:val="0092200A"/>
    <w:rsid w:val="00932616"/>
    <w:rsid w:val="00934B31"/>
    <w:rsid w:val="00936D45"/>
    <w:rsid w:val="00947530"/>
    <w:rsid w:val="009562C7"/>
    <w:rsid w:val="009654B7"/>
    <w:rsid w:val="00970803"/>
    <w:rsid w:val="00970B53"/>
    <w:rsid w:val="00973A4B"/>
    <w:rsid w:val="00973D6F"/>
    <w:rsid w:val="009751FA"/>
    <w:rsid w:val="009803DF"/>
    <w:rsid w:val="00990449"/>
    <w:rsid w:val="00997CAD"/>
    <w:rsid w:val="009A09F2"/>
    <w:rsid w:val="009A5CAC"/>
    <w:rsid w:val="009B053B"/>
    <w:rsid w:val="009C47C6"/>
    <w:rsid w:val="009D133E"/>
    <w:rsid w:val="009D5592"/>
    <w:rsid w:val="009D5C3F"/>
    <w:rsid w:val="009E69AE"/>
    <w:rsid w:val="009F4A34"/>
    <w:rsid w:val="009F4B08"/>
    <w:rsid w:val="009F6D73"/>
    <w:rsid w:val="00A066A5"/>
    <w:rsid w:val="00A06DCF"/>
    <w:rsid w:val="00A10CCE"/>
    <w:rsid w:val="00A111D3"/>
    <w:rsid w:val="00A17E24"/>
    <w:rsid w:val="00A2498A"/>
    <w:rsid w:val="00A254AC"/>
    <w:rsid w:val="00A31E93"/>
    <w:rsid w:val="00A343F8"/>
    <w:rsid w:val="00A37284"/>
    <w:rsid w:val="00A3730D"/>
    <w:rsid w:val="00A460F4"/>
    <w:rsid w:val="00A46727"/>
    <w:rsid w:val="00A51512"/>
    <w:rsid w:val="00A60AD7"/>
    <w:rsid w:val="00A61771"/>
    <w:rsid w:val="00A63FA3"/>
    <w:rsid w:val="00A73D5F"/>
    <w:rsid w:val="00A740A3"/>
    <w:rsid w:val="00A749AD"/>
    <w:rsid w:val="00A7579A"/>
    <w:rsid w:val="00A81C4E"/>
    <w:rsid w:val="00A90DD9"/>
    <w:rsid w:val="00A96FD2"/>
    <w:rsid w:val="00AA54E2"/>
    <w:rsid w:val="00AB0804"/>
    <w:rsid w:val="00AB7D3C"/>
    <w:rsid w:val="00AC017B"/>
    <w:rsid w:val="00AC3B42"/>
    <w:rsid w:val="00AC5314"/>
    <w:rsid w:val="00AD0F9A"/>
    <w:rsid w:val="00AD0FED"/>
    <w:rsid w:val="00AD3EE0"/>
    <w:rsid w:val="00AD4BAB"/>
    <w:rsid w:val="00AE237D"/>
    <w:rsid w:val="00AF1886"/>
    <w:rsid w:val="00AF5A22"/>
    <w:rsid w:val="00AF66DD"/>
    <w:rsid w:val="00B131EB"/>
    <w:rsid w:val="00B14758"/>
    <w:rsid w:val="00B2174C"/>
    <w:rsid w:val="00B228F2"/>
    <w:rsid w:val="00B340E6"/>
    <w:rsid w:val="00B35AC6"/>
    <w:rsid w:val="00B35E52"/>
    <w:rsid w:val="00B36036"/>
    <w:rsid w:val="00B45EF2"/>
    <w:rsid w:val="00B57DE1"/>
    <w:rsid w:val="00B70808"/>
    <w:rsid w:val="00B76C49"/>
    <w:rsid w:val="00B7762B"/>
    <w:rsid w:val="00B77A3A"/>
    <w:rsid w:val="00B933DE"/>
    <w:rsid w:val="00B94A70"/>
    <w:rsid w:val="00B94FA0"/>
    <w:rsid w:val="00BA7A20"/>
    <w:rsid w:val="00BC2EF8"/>
    <w:rsid w:val="00BC61BA"/>
    <w:rsid w:val="00BD4B42"/>
    <w:rsid w:val="00BD6400"/>
    <w:rsid w:val="00BE4CD6"/>
    <w:rsid w:val="00BE6527"/>
    <w:rsid w:val="00BF0EA9"/>
    <w:rsid w:val="00BF1FBC"/>
    <w:rsid w:val="00BF4770"/>
    <w:rsid w:val="00C01699"/>
    <w:rsid w:val="00C02112"/>
    <w:rsid w:val="00C04813"/>
    <w:rsid w:val="00C05C51"/>
    <w:rsid w:val="00C40D79"/>
    <w:rsid w:val="00C51304"/>
    <w:rsid w:val="00C617C6"/>
    <w:rsid w:val="00C63EB1"/>
    <w:rsid w:val="00C7742A"/>
    <w:rsid w:val="00C84AAE"/>
    <w:rsid w:val="00CA2374"/>
    <w:rsid w:val="00CB0996"/>
    <w:rsid w:val="00CB0997"/>
    <w:rsid w:val="00CB1528"/>
    <w:rsid w:val="00CB6ADE"/>
    <w:rsid w:val="00CC708A"/>
    <w:rsid w:val="00CC7720"/>
    <w:rsid w:val="00CD6726"/>
    <w:rsid w:val="00CD77B4"/>
    <w:rsid w:val="00CE0BC6"/>
    <w:rsid w:val="00D03E0C"/>
    <w:rsid w:val="00D07221"/>
    <w:rsid w:val="00D121EA"/>
    <w:rsid w:val="00D203B7"/>
    <w:rsid w:val="00D20E6D"/>
    <w:rsid w:val="00D225CA"/>
    <w:rsid w:val="00D32F4B"/>
    <w:rsid w:val="00D336FE"/>
    <w:rsid w:val="00D43F90"/>
    <w:rsid w:val="00D478AE"/>
    <w:rsid w:val="00D478E9"/>
    <w:rsid w:val="00D47D17"/>
    <w:rsid w:val="00D5033E"/>
    <w:rsid w:val="00D5186E"/>
    <w:rsid w:val="00D5282A"/>
    <w:rsid w:val="00D52888"/>
    <w:rsid w:val="00D804C6"/>
    <w:rsid w:val="00D901EC"/>
    <w:rsid w:val="00D92758"/>
    <w:rsid w:val="00D95035"/>
    <w:rsid w:val="00DA22B5"/>
    <w:rsid w:val="00DA566A"/>
    <w:rsid w:val="00DB2930"/>
    <w:rsid w:val="00DB366C"/>
    <w:rsid w:val="00DB4787"/>
    <w:rsid w:val="00DB689E"/>
    <w:rsid w:val="00DC02D1"/>
    <w:rsid w:val="00DC088E"/>
    <w:rsid w:val="00DC2C50"/>
    <w:rsid w:val="00DC3C4B"/>
    <w:rsid w:val="00DC5BC8"/>
    <w:rsid w:val="00DD1268"/>
    <w:rsid w:val="00DD45B1"/>
    <w:rsid w:val="00DD7B69"/>
    <w:rsid w:val="00DE2350"/>
    <w:rsid w:val="00DE4BD5"/>
    <w:rsid w:val="00DF3E48"/>
    <w:rsid w:val="00DF45EE"/>
    <w:rsid w:val="00E11FC9"/>
    <w:rsid w:val="00E20ACF"/>
    <w:rsid w:val="00E20F38"/>
    <w:rsid w:val="00E22DC2"/>
    <w:rsid w:val="00E234D1"/>
    <w:rsid w:val="00E25E99"/>
    <w:rsid w:val="00E32D20"/>
    <w:rsid w:val="00E360C4"/>
    <w:rsid w:val="00E361A8"/>
    <w:rsid w:val="00E479DE"/>
    <w:rsid w:val="00E60665"/>
    <w:rsid w:val="00E60F59"/>
    <w:rsid w:val="00E61ADB"/>
    <w:rsid w:val="00E6384B"/>
    <w:rsid w:val="00E6583E"/>
    <w:rsid w:val="00E72ACD"/>
    <w:rsid w:val="00E72E46"/>
    <w:rsid w:val="00E74D2B"/>
    <w:rsid w:val="00E75100"/>
    <w:rsid w:val="00E75495"/>
    <w:rsid w:val="00E76600"/>
    <w:rsid w:val="00E84344"/>
    <w:rsid w:val="00E9170F"/>
    <w:rsid w:val="00E9329D"/>
    <w:rsid w:val="00EA38B7"/>
    <w:rsid w:val="00EA39EE"/>
    <w:rsid w:val="00EA5186"/>
    <w:rsid w:val="00EB59C4"/>
    <w:rsid w:val="00EC0C38"/>
    <w:rsid w:val="00ED0319"/>
    <w:rsid w:val="00ED2B36"/>
    <w:rsid w:val="00ED4E21"/>
    <w:rsid w:val="00ED76A1"/>
    <w:rsid w:val="00EE1537"/>
    <w:rsid w:val="00EE1EEE"/>
    <w:rsid w:val="00EE74AB"/>
    <w:rsid w:val="00EE74B5"/>
    <w:rsid w:val="00EF0585"/>
    <w:rsid w:val="00EF6ACF"/>
    <w:rsid w:val="00F06CDC"/>
    <w:rsid w:val="00F13520"/>
    <w:rsid w:val="00F15844"/>
    <w:rsid w:val="00F40422"/>
    <w:rsid w:val="00F42D02"/>
    <w:rsid w:val="00F43086"/>
    <w:rsid w:val="00F4649E"/>
    <w:rsid w:val="00F511BD"/>
    <w:rsid w:val="00F511EA"/>
    <w:rsid w:val="00F514F0"/>
    <w:rsid w:val="00F62F5E"/>
    <w:rsid w:val="00F70483"/>
    <w:rsid w:val="00F75EF8"/>
    <w:rsid w:val="00F83F56"/>
    <w:rsid w:val="00F83F5F"/>
    <w:rsid w:val="00F85351"/>
    <w:rsid w:val="00F93372"/>
    <w:rsid w:val="00FA19CE"/>
    <w:rsid w:val="00FA2263"/>
    <w:rsid w:val="00FB659C"/>
    <w:rsid w:val="00FC0DF5"/>
    <w:rsid w:val="00FC3E17"/>
    <w:rsid w:val="00FC5E65"/>
    <w:rsid w:val="00FC6C58"/>
    <w:rsid w:val="00FD2440"/>
    <w:rsid w:val="00FE0283"/>
    <w:rsid w:val="00FF0A26"/>
    <w:rsid w:val="00FF783B"/>
    <w:rsid w:val="00FF78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D15A8"/>
  <w15:docId w15:val="{22C9DB6A-C965-446E-AE2E-145A1834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uiPriority w:val="99"/>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 w:type="paragraph" w:styleId="Header">
    <w:name w:val="header"/>
    <w:basedOn w:val="Normal"/>
    <w:link w:val="HeaderChar"/>
    <w:uiPriority w:val="99"/>
    <w:unhideWhenUsed/>
    <w:rsid w:val="00947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530"/>
  </w:style>
  <w:style w:type="paragraph" w:styleId="Footer">
    <w:name w:val="footer"/>
    <w:basedOn w:val="Normal"/>
    <w:link w:val="FooterChar"/>
    <w:uiPriority w:val="99"/>
    <w:unhideWhenUsed/>
    <w:rsid w:val="00947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530"/>
  </w:style>
  <w:style w:type="character" w:styleId="Hyperlink">
    <w:name w:val="Hyperlink"/>
    <w:basedOn w:val="DefaultParagraphFont"/>
    <w:uiPriority w:val="99"/>
    <w:unhideWhenUsed/>
    <w:rsid w:val="00470CFE"/>
    <w:rPr>
      <w:color w:val="0000FF" w:themeColor="hyperlink"/>
      <w:u w:val="single"/>
    </w:rPr>
  </w:style>
  <w:style w:type="character" w:styleId="FollowedHyperlink">
    <w:name w:val="FollowedHyperlink"/>
    <w:basedOn w:val="DefaultParagraphFont"/>
    <w:uiPriority w:val="99"/>
    <w:semiHidden/>
    <w:unhideWhenUsed/>
    <w:rsid w:val="00470C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srb.europa.eu/national_policy/ccb/html/index.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45E4C-D120-47FA-B619-3A1DC7F3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1753</Words>
  <Characters>9995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15</cp:revision>
  <cp:lastPrinted>2016-01-27T08:05:00Z</cp:lastPrinted>
  <dcterms:created xsi:type="dcterms:W3CDTF">2020-04-24T12:15:00Z</dcterms:created>
  <dcterms:modified xsi:type="dcterms:W3CDTF">2020-07-28T12:55:00Z</dcterms:modified>
</cp:coreProperties>
</file>