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C51" w:rsidRPr="00477791" w:rsidRDefault="000D3F5D" w:rsidP="00477791">
      <w:pPr>
        <w:keepNext/>
        <w:keepLines/>
        <w:spacing w:after="120" w:line="240" w:lineRule="auto"/>
        <w:jc w:val="both"/>
        <w:outlineLvl w:val="0"/>
        <w:rPr>
          <w:rFonts w:ascii="Times New Roman" w:eastAsia="Times New Roman" w:hAnsi="Times New Roman" w:cs="Times New Roman"/>
          <w:b/>
          <w:bCs/>
          <w:kern w:val="28"/>
        </w:rPr>
      </w:pPr>
      <w:bookmarkStart w:id="0" w:name="_Toc403946511"/>
      <w:bookmarkStart w:id="1" w:name="_GoBack"/>
      <w:bookmarkEnd w:id="1"/>
      <w:r>
        <w:rPr>
          <w:rFonts w:ascii="Times New Roman" w:eastAsia="Times New Roman" w:hAnsi="Times New Roman" w:cs="Times New Roman"/>
          <w:b/>
          <w:bCs/>
          <w:kern w:val="28"/>
        </w:rPr>
        <w:t>29</w:t>
      </w:r>
      <w:r w:rsidR="00C05C51" w:rsidRPr="00477791">
        <w:rPr>
          <w:rFonts w:ascii="Times New Roman" w:eastAsia="Times New Roman" w:hAnsi="Times New Roman" w:cs="Times New Roman"/>
          <w:b/>
          <w:bCs/>
          <w:kern w:val="28"/>
        </w:rPr>
        <w:t>.</w:t>
      </w:r>
      <w:r>
        <w:rPr>
          <w:rFonts w:ascii="Times New Roman" w:eastAsia="Times New Roman" w:hAnsi="Times New Roman" w:cs="Times New Roman"/>
          <w:b/>
          <w:bCs/>
          <w:kern w:val="28"/>
        </w:rPr>
        <w:t>10</w:t>
      </w:r>
      <w:r w:rsidR="00C05C51" w:rsidRPr="00477791">
        <w:rPr>
          <w:rFonts w:ascii="Times New Roman" w:eastAsia="Times New Roman" w:hAnsi="Times New Roman" w:cs="Times New Roman"/>
          <w:b/>
          <w:bCs/>
          <w:kern w:val="28"/>
        </w:rPr>
        <w:t>.201</w:t>
      </w:r>
      <w:r w:rsidR="00CD77B4" w:rsidRPr="00477791">
        <w:rPr>
          <w:rFonts w:ascii="Times New Roman" w:eastAsia="Times New Roman" w:hAnsi="Times New Roman" w:cs="Times New Roman"/>
          <w:b/>
          <w:bCs/>
          <w:kern w:val="28"/>
        </w:rPr>
        <w:t>9</w:t>
      </w:r>
      <w:r w:rsidR="00C05C51" w:rsidRPr="00477791">
        <w:rPr>
          <w:rFonts w:ascii="Times New Roman" w:eastAsia="Times New Roman" w:hAnsi="Times New Roman" w:cs="Times New Roman"/>
          <w:b/>
          <w:bCs/>
          <w:kern w:val="28"/>
        </w:rPr>
        <w:t xml:space="preserve">. lēmums par </w:t>
      </w:r>
      <w:r w:rsidR="008321C2" w:rsidRPr="00477791">
        <w:rPr>
          <w:rFonts w:ascii="Times New Roman" w:eastAsia="Times New Roman" w:hAnsi="Times New Roman" w:cs="Times New Roman"/>
          <w:b/>
          <w:bCs/>
          <w:kern w:val="28"/>
        </w:rPr>
        <w:t>p</w:t>
      </w:r>
      <w:r w:rsidR="00C05C51" w:rsidRPr="00477791">
        <w:rPr>
          <w:rFonts w:ascii="Times New Roman" w:eastAsia="Times New Roman" w:hAnsi="Times New Roman" w:cs="Times New Roman"/>
          <w:b/>
          <w:bCs/>
          <w:kern w:val="28"/>
        </w:rPr>
        <w:t>retcikliskās kapitāla rezerves</w:t>
      </w:r>
      <w:r w:rsidR="002A0A04"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 xml:space="preserve">normas </w:t>
      </w:r>
      <w:r w:rsidR="005D0F48" w:rsidRPr="00477791">
        <w:rPr>
          <w:rFonts w:ascii="Times New Roman" w:eastAsia="Times New Roman" w:hAnsi="Times New Roman" w:cs="Times New Roman"/>
          <w:b/>
          <w:bCs/>
          <w:kern w:val="28"/>
        </w:rPr>
        <w:t>darījumiem</w:t>
      </w:r>
      <w:r w:rsidR="002D1280" w:rsidRPr="00477791">
        <w:rPr>
          <w:rFonts w:ascii="Times New Roman" w:eastAsia="Times New Roman" w:hAnsi="Times New Roman" w:cs="Times New Roman"/>
          <w:b/>
          <w:bCs/>
          <w:kern w:val="28"/>
        </w:rPr>
        <w:t>, kuri noslēgti</w:t>
      </w:r>
      <w:r w:rsidR="005D0F48" w:rsidRPr="00477791">
        <w:rPr>
          <w:rFonts w:ascii="Times New Roman" w:eastAsia="Times New Roman" w:hAnsi="Times New Roman" w:cs="Times New Roman"/>
          <w:b/>
          <w:bCs/>
          <w:kern w:val="28"/>
        </w:rPr>
        <w:t xml:space="preserve"> ar Latvijas </w:t>
      </w:r>
      <w:r w:rsidR="004F22BD" w:rsidRPr="00477791">
        <w:rPr>
          <w:rFonts w:ascii="Times New Roman" w:eastAsia="Times New Roman" w:hAnsi="Times New Roman" w:cs="Times New Roman"/>
          <w:b/>
          <w:bCs/>
          <w:kern w:val="28"/>
        </w:rPr>
        <w:t xml:space="preserve">Republikas </w:t>
      </w:r>
      <w:r w:rsidR="005D0F48" w:rsidRPr="00477791">
        <w:rPr>
          <w:rFonts w:ascii="Times New Roman" w:eastAsia="Times New Roman" w:hAnsi="Times New Roman" w:cs="Times New Roman"/>
          <w:b/>
          <w:bCs/>
          <w:kern w:val="28"/>
        </w:rPr>
        <w:t>rezidentiem</w:t>
      </w:r>
      <w:r w:rsidR="004F22BD" w:rsidRPr="00477791">
        <w:rPr>
          <w:rFonts w:ascii="Times New Roman" w:eastAsia="Times New Roman" w:hAnsi="Times New Roman" w:cs="Times New Roman"/>
          <w:b/>
          <w:bCs/>
          <w:kern w:val="28"/>
        </w:rPr>
        <w:t>,</w:t>
      </w:r>
      <w:r w:rsidR="005D0F48"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noteikšanu</w:t>
      </w:r>
    </w:p>
    <w:p w:rsidR="00C05C51" w:rsidRPr="00A7579A" w:rsidRDefault="00C05C51" w:rsidP="00477791">
      <w:pPr>
        <w:keepNext/>
        <w:keepLines/>
        <w:spacing w:after="120" w:line="240" w:lineRule="auto"/>
        <w:jc w:val="both"/>
        <w:outlineLvl w:val="0"/>
        <w:rPr>
          <w:rFonts w:ascii="Times New Roman" w:eastAsia="Times New Roman" w:hAnsi="Times New Roman" w:cs="Times New Roman"/>
          <w:b/>
          <w:bCs/>
          <w:kern w:val="28"/>
        </w:rPr>
      </w:pPr>
      <w:r w:rsidRPr="00222721">
        <w:rPr>
          <w:rFonts w:ascii="Times New Roman" w:eastAsia="Times New Roman" w:hAnsi="Times New Roman" w:cs="Times New Roman"/>
          <w:b/>
          <w:bCs/>
          <w:kern w:val="28"/>
        </w:rPr>
        <w:t>Pretcikliskās kapitāla rezerves</w:t>
      </w:r>
      <w:r w:rsidR="002A0A04" w:rsidRPr="00222721">
        <w:rPr>
          <w:rFonts w:ascii="Times New Roman" w:eastAsia="Times New Roman" w:hAnsi="Times New Roman" w:cs="Times New Roman"/>
          <w:b/>
          <w:bCs/>
          <w:kern w:val="28"/>
        </w:rPr>
        <w:t xml:space="preserve"> </w:t>
      </w:r>
      <w:r w:rsidRPr="00222721">
        <w:rPr>
          <w:rFonts w:ascii="Times New Roman" w:eastAsia="Times New Roman" w:hAnsi="Times New Roman" w:cs="Times New Roman"/>
          <w:b/>
          <w:bCs/>
          <w:kern w:val="28"/>
        </w:rPr>
        <w:t xml:space="preserve">(PKR) norma </w:t>
      </w:r>
      <w:r w:rsidR="005D0F48" w:rsidRPr="00222721">
        <w:rPr>
          <w:rFonts w:ascii="Times New Roman" w:eastAsia="Times New Roman" w:hAnsi="Times New Roman" w:cs="Times New Roman"/>
          <w:b/>
          <w:bCs/>
          <w:kern w:val="28"/>
        </w:rPr>
        <w:t>darījumiem</w:t>
      </w:r>
      <w:r w:rsidR="002D1280" w:rsidRPr="00A7579A">
        <w:rPr>
          <w:rFonts w:ascii="Times New Roman" w:eastAsia="Times New Roman" w:hAnsi="Times New Roman" w:cs="Times New Roman"/>
          <w:b/>
          <w:bCs/>
          <w:kern w:val="28"/>
        </w:rPr>
        <w:t>, kuri noslēgti</w:t>
      </w:r>
      <w:r w:rsidR="005D0F48" w:rsidRPr="00A7579A">
        <w:rPr>
          <w:rFonts w:ascii="Times New Roman" w:eastAsia="Times New Roman" w:hAnsi="Times New Roman" w:cs="Times New Roman"/>
          <w:b/>
          <w:bCs/>
          <w:kern w:val="28"/>
        </w:rPr>
        <w:t xml:space="preserve"> ar Latvijas </w:t>
      </w:r>
      <w:r w:rsidR="004F22BD" w:rsidRPr="00A7579A">
        <w:rPr>
          <w:rFonts w:ascii="Times New Roman" w:eastAsia="Times New Roman" w:hAnsi="Times New Roman" w:cs="Times New Roman"/>
          <w:b/>
          <w:bCs/>
          <w:kern w:val="28"/>
        </w:rPr>
        <w:t xml:space="preserve">Republikas </w:t>
      </w:r>
      <w:r w:rsidR="005D0F48" w:rsidRPr="00A7579A">
        <w:rPr>
          <w:rFonts w:ascii="Times New Roman" w:eastAsia="Times New Roman" w:hAnsi="Times New Roman" w:cs="Times New Roman"/>
          <w:b/>
          <w:bCs/>
          <w:kern w:val="28"/>
        </w:rPr>
        <w:t>rezidentiem</w:t>
      </w:r>
      <w:r w:rsidR="004F22BD" w:rsidRPr="00A7579A">
        <w:rPr>
          <w:rFonts w:ascii="Times New Roman" w:eastAsia="Times New Roman" w:hAnsi="Times New Roman" w:cs="Times New Roman"/>
          <w:b/>
          <w:bCs/>
          <w:kern w:val="28"/>
        </w:rPr>
        <w:t>,</w:t>
      </w:r>
      <w:r w:rsidR="005D0F48"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tiek noteikta</w:t>
      </w:r>
      <w:r w:rsidR="0058464F"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0% apmērā. Noteikto PKR normu kredītiestādes specifiskās pretcikliskās kapitāla rezerves aprēķinā izmanto</w:t>
      </w:r>
      <w:r w:rsidR="00F06CDC" w:rsidRPr="00A7579A">
        <w:rPr>
          <w:rFonts w:ascii="Times New Roman" w:eastAsia="Times New Roman" w:hAnsi="Times New Roman" w:cs="Times New Roman"/>
          <w:b/>
          <w:bCs/>
          <w:kern w:val="28"/>
        </w:rPr>
        <w:t>s</w:t>
      </w:r>
      <w:r w:rsidR="002A0A04"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no 20</w:t>
      </w:r>
      <w:r w:rsidR="00CD77B4" w:rsidRPr="00A7579A">
        <w:rPr>
          <w:rFonts w:ascii="Times New Roman" w:eastAsia="Times New Roman" w:hAnsi="Times New Roman" w:cs="Times New Roman"/>
          <w:b/>
          <w:bCs/>
          <w:kern w:val="28"/>
        </w:rPr>
        <w:t>20</w:t>
      </w:r>
      <w:r w:rsidRPr="00A7579A">
        <w:rPr>
          <w:rFonts w:ascii="Times New Roman" w:eastAsia="Times New Roman" w:hAnsi="Times New Roman" w:cs="Times New Roman"/>
          <w:b/>
          <w:bCs/>
          <w:kern w:val="28"/>
        </w:rPr>
        <w:t>.</w:t>
      </w:r>
      <w:r w:rsidR="0058464F" w:rsidRPr="00A7579A">
        <w:rPr>
          <w:rFonts w:ascii="Times New Roman" w:eastAsia="Times New Roman" w:hAnsi="Times New Roman" w:cs="Times New Roman"/>
          <w:b/>
          <w:bCs/>
          <w:kern w:val="28"/>
        </w:rPr>
        <w:t> </w:t>
      </w:r>
      <w:r w:rsidRPr="00A7579A">
        <w:rPr>
          <w:rFonts w:ascii="Times New Roman" w:eastAsia="Times New Roman" w:hAnsi="Times New Roman" w:cs="Times New Roman"/>
          <w:b/>
          <w:bCs/>
          <w:kern w:val="28"/>
        </w:rPr>
        <w:t>gada 1.</w:t>
      </w:r>
      <w:r w:rsidR="002A0A04" w:rsidRPr="00A7579A">
        <w:rPr>
          <w:rFonts w:ascii="Times New Roman" w:eastAsia="Times New Roman" w:hAnsi="Times New Roman" w:cs="Times New Roman"/>
          <w:b/>
          <w:bCs/>
          <w:kern w:val="28"/>
        </w:rPr>
        <w:t> </w:t>
      </w:r>
      <w:r w:rsidR="000D3F5D">
        <w:rPr>
          <w:rFonts w:ascii="Times New Roman" w:eastAsia="Times New Roman" w:hAnsi="Times New Roman" w:cs="Times New Roman"/>
          <w:b/>
          <w:bCs/>
          <w:kern w:val="28"/>
        </w:rPr>
        <w:t>novembra</w:t>
      </w:r>
      <w:r w:rsidRPr="00A7579A">
        <w:rPr>
          <w:rFonts w:ascii="Times New Roman" w:eastAsia="Times New Roman" w:hAnsi="Times New Roman" w:cs="Times New Roman"/>
          <w:b/>
          <w:bCs/>
          <w:kern w:val="28"/>
        </w:rPr>
        <w:t xml:space="preserve">. </w:t>
      </w:r>
      <w:r w:rsidR="007D02BE" w:rsidRPr="00A7579A">
        <w:rPr>
          <w:rFonts w:ascii="Times New Roman" w:eastAsia="Times New Roman" w:hAnsi="Times New Roman" w:cs="Times New Roman"/>
          <w:b/>
          <w:bCs/>
          <w:kern w:val="28"/>
        </w:rPr>
        <w:t>Finanšu un kapitāla tirgus komisija (</w:t>
      </w:r>
      <w:r w:rsidR="00936D45" w:rsidRPr="00A7579A">
        <w:rPr>
          <w:rFonts w:ascii="Times New Roman" w:eastAsia="Times New Roman" w:hAnsi="Times New Roman" w:cs="Times New Roman"/>
          <w:b/>
          <w:bCs/>
          <w:kern w:val="28"/>
        </w:rPr>
        <w:t>FKTK</w:t>
      </w:r>
      <w:r w:rsidR="007D02BE" w:rsidRPr="00A7579A">
        <w:rPr>
          <w:rFonts w:ascii="Times New Roman" w:eastAsia="Times New Roman" w:hAnsi="Times New Roman" w:cs="Times New Roman"/>
          <w:b/>
          <w:bCs/>
          <w:kern w:val="28"/>
        </w:rPr>
        <w:t>)</w:t>
      </w:r>
      <w:r w:rsidR="00936D45" w:rsidRPr="00A7579A">
        <w:rPr>
          <w:rFonts w:ascii="Times New Roman" w:eastAsia="Times New Roman" w:hAnsi="Times New Roman" w:cs="Times New Roman"/>
          <w:b/>
          <w:bCs/>
          <w:kern w:val="28"/>
        </w:rPr>
        <w:t xml:space="preserve"> lems par nepieciešamību noteikt PKR normu virs 0%, ja Latvijas finanšu sektorā tiks novērots būtisks ciklisko sistēmisko risku pieaugums.</w:t>
      </w:r>
    </w:p>
    <w:bookmarkEnd w:id="0"/>
    <w:p w:rsidR="00545D33" w:rsidRPr="00545D33" w:rsidRDefault="00545D33" w:rsidP="00545D33">
      <w:pPr>
        <w:keepNext/>
        <w:keepLines/>
        <w:spacing w:after="120" w:line="240" w:lineRule="auto"/>
        <w:jc w:val="both"/>
        <w:outlineLvl w:val="0"/>
        <w:rPr>
          <w:rFonts w:ascii="Times New Roman" w:hAnsi="Times New Roman" w:cs="Times New Roman"/>
          <w:bCs/>
          <w:iCs/>
        </w:rPr>
      </w:pPr>
      <w:r w:rsidRPr="00545D33">
        <w:rPr>
          <w:rFonts w:ascii="Times New Roman" w:hAnsi="Times New Roman" w:cs="Times New Roman"/>
          <w:bCs/>
          <w:iCs/>
        </w:rPr>
        <w:t>2019. gadā Latvijas ekonomikas kāpums pamazām palēninās. Ja 2017.</w:t>
      </w:r>
      <w:r w:rsidR="002427C4">
        <w:rPr>
          <w:rFonts w:ascii="Times New Roman" w:hAnsi="Times New Roman" w:cs="Times New Roman"/>
          <w:bCs/>
          <w:iCs/>
        </w:rPr>
        <w:t xml:space="preserve"> </w:t>
      </w:r>
      <w:r w:rsidRPr="00545D33">
        <w:rPr>
          <w:rFonts w:ascii="Times New Roman" w:hAnsi="Times New Roman" w:cs="Times New Roman"/>
          <w:bCs/>
          <w:iCs/>
        </w:rPr>
        <w:t>un 2018. gadā IKP pieaugums</w:t>
      </w:r>
      <w:r w:rsidRPr="00545D33">
        <w:rPr>
          <w:rFonts w:ascii="Times New Roman" w:hAnsi="Times New Roman" w:cs="Times New Roman"/>
          <w:b/>
          <w:bCs/>
          <w:iCs/>
        </w:rPr>
        <w:t xml:space="preserve"> </w:t>
      </w:r>
      <w:r w:rsidRPr="00545D33">
        <w:rPr>
          <w:rFonts w:ascii="Times New Roman" w:hAnsi="Times New Roman" w:cs="Times New Roman"/>
          <w:bCs/>
          <w:iCs/>
        </w:rPr>
        <w:t>bija 5.0%, tad 2019. gada 1. pusgadā (gads pret gadu) tas palēninājies līdz 3.0%. Tiek prognozēts, ka turpmākajos gados IKP pieaugums saglabāsies mērens (ap 3% gadā), jo ārējā pieprasījuma negatīvais impulss mazinās izaugsmes tempu.</w:t>
      </w:r>
    </w:p>
    <w:p w:rsidR="00545D33" w:rsidRPr="00545D33" w:rsidRDefault="00545D33" w:rsidP="00545D33">
      <w:pPr>
        <w:keepNext/>
        <w:keepLines/>
        <w:spacing w:after="120" w:line="240" w:lineRule="auto"/>
        <w:jc w:val="both"/>
        <w:outlineLvl w:val="0"/>
        <w:rPr>
          <w:rFonts w:ascii="Times New Roman" w:hAnsi="Times New Roman" w:cs="Times New Roman"/>
          <w:bCs/>
          <w:iCs/>
        </w:rPr>
      </w:pPr>
      <w:r w:rsidRPr="00545D33">
        <w:rPr>
          <w:rFonts w:ascii="Times New Roman" w:hAnsi="Times New Roman" w:cs="Times New Roman"/>
          <w:bCs/>
          <w:iCs/>
        </w:rPr>
        <w:t>Ekonomiskā izaugsme patlaban nerada riskus finanšu stabilitātei, un tā joprojām turpinās bez aktīvas kreditēšanas ietekmes. Kredītu atlikuma un IKP novirze no ilgtermiņa tendences ilgstoši saglabājas negatīva – gan izmantojot plašo (-36% 2019. gada 1. ceturkšņa beigās),</w:t>
      </w:r>
      <w:r w:rsidR="00F43086">
        <w:rPr>
          <w:rFonts w:ascii="Times New Roman" w:hAnsi="Times New Roman" w:cs="Times New Roman"/>
          <w:bCs/>
          <w:iCs/>
        </w:rPr>
        <w:t xml:space="preserve"> </w:t>
      </w:r>
      <w:r w:rsidRPr="00545D33">
        <w:rPr>
          <w:rFonts w:ascii="Times New Roman" w:hAnsi="Times New Roman" w:cs="Times New Roman"/>
          <w:bCs/>
          <w:iCs/>
        </w:rPr>
        <w:t>gan</w:t>
      </w:r>
      <w:r w:rsidR="00F43086">
        <w:rPr>
          <w:rFonts w:ascii="Times New Roman" w:hAnsi="Times New Roman" w:cs="Times New Roman"/>
          <w:bCs/>
          <w:iCs/>
        </w:rPr>
        <w:t xml:space="preserve"> </w:t>
      </w:r>
      <w:r w:rsidRPr="00545D33">
        <w:rPr>
          <w:rFonts w:ascii="Times New Roman" w:hAnsi="Times New Roman" w:cs="Times New Roman"/>
          <w:bCs/>
          <w:iCs/>
        </w:rPr>
        <w:t xml:space="preserve"> šauro (-24% 2019. gada 2. ceturkšņa beigās) kredītu definīciju. Latvijas rezidentiem izsniegto kredītu (pēc šaurās definīcijas) un IKP attiecības līmenis turpina samazināties un 2019. gada 2.</w:t>
      </w:r>
      <w:r w:rsidR="00DC088E">
        <w:rPr>
          <w:rFonts w:ascii="Times New Roman" w:hAnsi="Times New Roman" w:cs="Times New Roman"/>
          <w:bCs/>
          <w:iCs/>
        </w:rPr>
        <w:t> </w:t>
      </w:r>
      <w:r w:rsidRPr="00545D33">
        <w:rPr>
          <w:rFonts w:ascii="Times New Roman" w:hAnsi="Times New Roman" w:cs="Times New Roman"/>
          <w:bCs/>
          <w:iCs/>
        </w:rPr>
        <w:t xml:space="preserve">ceturkšņa beigās bija 33%. Šāds kredītu un IKP attiecības līmenis Latvijā bija vērojams 2003.–2004. gadā.  </w:t>
      </w:r>
    </w:p>
    <w:p w:rsidR="00545D33" w:rsidRPr="00545D33" w:rsidRDefault="00545D33" w:rsidP="00545D33">
      <w:pPr>
        <w:keepNext/>
        <w:keepLines/>
        <w:spacing w:after="120" w:line="240" w:lineRule="auto"/>
        <w:jc w:val="both"/>
        <w:outlineLvl w:val="0"/>
        <w:rPr>
          <w:rFonts w:ascii="Times New Roman" w:hAnsi="Times New Roman" w:cs="Times New Roman"/>
          <w:bCs/>
          <w:iCs/>
        </w:rPr>
      </w:pPr>
      <w:r w:rsidRPr="00545D33">
        <w:rPr>
          <w:rFonts w:ascii="Times New Roman" w:hAnsi="Times New Roman" w:cs="Times New Roman"/>
          <w:bCs/>
          <w:iCs/>
        </w:rPr>
        <w:t xml:space="preserve">Turpinās Eiropas Savienības līdzfinansēto projektu attīstība, tomēr šī finansējuma pieejamība tuvāko gadu laikā pakāpeniski  samazināsies. Nenoteiktība ārējos tirgos, t.sk. eirozonas valstu tautsaimniecības izaugsmes mazināšanās, liek būt piesardzīgiem par eksporta iespējām. Kā izaugsmes veicinātājs saglabājas privātais patēriņš, ko nodrošina nodarbinātības un algas pieaugums. Tomēr ārējās vides augstā nenoteiktība ģeopolitisko un ekonomisko norišu dēļ pakāpeniski atbalsojas arī mērenākā investīciju aktivitātē iekšzemē un varētu vairot patērētāju piesardzību. </w:t>
      </w:r>
    </w:p>
    <w:p w:rsidR="00545D33" w:rsidRPr="00545D33" w:rsidRDefault="00545D33" w:rsidP="00545D33">
      <w:pPr>
        <w:keepNext/>
        <w:keepLines/>
        <w:spacing w:after="120" w:line="240" w:lineRule="auto"/>
        <w:jc w:val="both"/>
        <w:outlineLvl w:val="0"/>
        <w:rPr>
          <w:rFonts w:ascii="Times New Roman" w:hAnsi="Times New Roman" w:cs="Times New Roman"/>
          <w:bCs/>
          <w:iCs/>
        </w:rPr>
      </w:pPr>
      <w:r w:rsidRPr="00545D33">
        <w:rPr>
          <w:rFonts w:ascii="Times New Roman" w:hAnsi="Times New Roman" w:cs="Times New Roman"/>
          <w:bCs/>
          <w:iCs/>
        </w:rPr>
        <w:t>Balstoties uz nekoriģētiem datiem, iekšzemes nefinanšu sektoram izsniegto aizdevumu gada pieauguma temps pakāpeniski palielinās. 2019. gada jūlijā tas sasniedza 2.4%. Mājsaimniecību kreditēšana palielinājusies par 1.0%, salīdzinot ar iepriekšējo gadu (ieskaitot hipotēku kredītus – par 2.1%, salīdzinot ar iepriekšējo gadu). Nefinanšu sabiedrību kredītportfelis salīdzinājumā ar iepriekšējā gada atbilstošo periodu palielinājies par 3.6%, un to sekmējusi dažu lielu ilgtermiņa aizdevumu izsniegšana.</w:t>
      </w:r>
    </w:p>
    <w:p w:rsidR="00545D33" w:rsidRPr="00545D33" w:rsidRDefault="00545D33" w:rsidP="00545D33">
      <w:pPr>
        <w:keepNext/>
        <w:keepLines/>
        <w:spacing w:after="120" w:line="240" w:lineRule="auto"/>
        <w:jc w:val="both"/>
        <w:outlineLvl w:val="0"/>
        <w:rPr>
          <w:rFonts w:ascii="Times New Roman" w:hAnsi="Times New Roman" w:cs="Times New Roman"/>
          <w:bCs/>
          <w:iCs/>
        </w:rPr>
      </w:pPr>
      <w:r w:rsidRPr="00545D33">
        <w:rPr>
          <w:rFonts w:ascii="Times New Roman" w:hAnsi="Times New Roman" w:cs="Times New Roman"/>
          <w:bCs/>
          <w:iCs/>
        </w:rPr>
        <w:t>Nebanku sektora loma iekšzemes kreditēšanā pakāpeniski pieaug, tomēr nebanku kreditēšanas pieauguma tempi ir palēninājušies</w:t>
      </w:r>
      <w:r w:rsidR="00DC088E">
        <w:rPr>
          <w:rFonts w:ascii="Times New Roman" w:hAnsi="Times New Roman" w:cs="Times New Roman"/>
          <w:bCs/>
          <w:iCs/>
        </w:rPr>
        <w:t>.</w:t>
      </w:r>
      <w:r w:rsidRPr="00545D33">
        <w:rPr>
          <w:rFonts w:ascii="Times New Roman" w:hAnsi="Times New Roman" w:cs="Times New Roman"/>
          <w:bCs/>
          <w:iCs/>
        </w:rPr>
        <w:t xml:space="preserve"> 2019. gada 2. ceturksnī nebanku finanšu iestāžu izsniegt</w:t>
      </w:r>
      <w:r w:rsidR="00DC088E">
        <w:rPr>
          <w:rFonts w:ascii="Times New Roman" w:hAnsi="Times New Roman" w:cs="Times New Roman"/>
          <w:bCs/>
          <w:iCs/>
        </w:rPr>
        <w:t>o</w:t>
      </w:r>
      <w:r w:rsidRPr="00545D33">
        <w:rPr>
          <w:rFonts w:ascii="Times New Roman" w:hAnsi="Times New Roman" w:cs="Times New Roman"/>
          <w:bCs/>
          <w:iCs/>
        </w:rPr>
        <w:t xml:space="preserve"> kredīt</w:t>
      </w:r>
      <w:r w:rsidR="00DC088E">
        <w:rPr>
          <w:rFonts w:ascii="Times New Roman" w:hAnsi="Times New Roman" w:cs="Times New Roman"/>
          <w:bCs/>
          <w:iCs/>
        </w:rPr>
        <w:t xml:space="preserve">u </w:t>
      </w:r>
      <w:r w:rsidRPr="00545D33">
        <w:rPr>
          <w:rFonts w:ascii="Times New Roman" w:hAnsi="Times New Roman" w:cs="Times New Roman"/>
          <w:bCs/>
          <w:iCs/>
        </w:rPr>
        <w:t xml:space="preserve">portfelis pieauga par 5.3% (t.sk. līzings un faktorings – par 8.2%). Mājsaimniecībām un nefinanšu sabiedrībām izsniegto kredītu atlikums pieaudzis attiecīgi par 11.9% un 2.2%. Ātro kredītu </w:t>
      </w:r>
      <w:r w:rsidR="00DC088E">
        <w:rPr>
          <w:rFonts w:ascii="Times New Roman" w:hAnsi="Times New Roman" w:cs="Times New Roman"/>
          <w:bCs/>
          <w:iCs/>
        </w:rPr>
        <w:t>segments</w:t>
      </w:r>
      <w:r w:rsidR="00DC088E" w:rsidRPr="00545D33">
        <w:rPr>
          <w:rFonts w:ascii="Times New Roman" w:hAnsi="Times New Roman" w:cs="Times New Roman"/>
          <w:bCs/>
          <w:iCs/>
        </w:rPr>
        <w:t xml:space="preserve"> </w:t>
      </w:r>
      <w:r w:rsidRPr="00545D33">
        <w:rPr>
          <w:rFonts w:ascii="Times New Roman" w:hAnsi="Times New Roman" w:cs="Times New Roman"/>
          <w:bCs/>
          <w:iCs/>
        </w:rPr>
        <w:t xml:space="preserve">pastāvīgi uzrāda divciparu skaitļa pieaugumu (17%), un saistībā ar nesenajiem grozījumiem Patērētāju tiesību aizsardzības likumā (PTAL) patēriņa kredītu nozare pārveido savus produktus par kredītlīnijām un mazāk paļaujas uz aizņēmumiem. Lai arī ir iespējama zināma ietekme uz dažiem banku produktiem, kopējā PTAL grozījumu ietekme uz finanšu stabilitāti tiek vērtēta kā pozitīva. </w:t>
      </w:r>
    </w:p>
    <w:p w:rsidR="00545D33" w:rsidRPr="00545D33" w:rsidRDefault="00545D33" w:rsidP="00545D33">
      <w:pPr>
        <w:keepNext/>
        <w:keepLines/>
        <w:spacing w:after="120" w:line="240" w:lineRule="auto"/>
        <w:jc w:val="both"/>
        <w:outlineLvl w:val="0"/>
        <w:rPr>
          <w:rFonts w:ascii="Times New Roman" w:hAnsi="Times New Roman" w:cs="Times New Roman"/>
          <w:bCs/>
          <w:iCs/>
        </w:rPr>
      </w:pPr>
      <w:r w:rsidRPr="00545D33">
        <w:rPr>
          <w:rFonts w:ascii="Times New Roman" w:hAnsi="Times New Roman" w:cs="Times New Roman"/>
          <w:bCs/>
          <w:iCs/>
        </w:rPr>
        <w:t>Neskatoties uz pieaugošajiem nebanku finansējuma veidiem un apmēriem, nekas neliecina, ka nebanku kreditēšana rada risku finanšu stabilitātei. Nebanku kreditēšanas pieaugums notiek vienlaicīgi ar pastāvīgu darba samaksas pieaugumu (2019. gada 2. ceturksnī neto gada alga pieauga par 7.5%), spēcīg</w:t>
      </w:r>
      <w:r w:rsidR="00DC088E">
        <w:rPr>
          <w:rFonts w:ascii="Times New Roman" w:hAnsi="Times New Roman" w:cs="Times New Roman"/>
          <w:bCs/>
          <w:iCs/>
        </w:rPr>
        <w:t>u</w:t>
      </w:r>
      <w:r w:rsidRPr="00545D33">
        <w:rPr>
          <w:rFonts w:ascii="Times New Roman" w:hAnsi="Times New Roman" w:cs="Times New Roman"/>
          <w:bCs/>
          <w:iCs/>
        </w:rPr>
        <w:t xml:space="preserve"> ekonomisko izaugsmi pēdējos gados un Eiropas Savienības struktūrfondu apgūšanu. Lielāko daļu no nebanku kredītportfeļa (76%) piešķir līzinga kompānijas, kuras vairumā gadījumu ir banku meitasuzņēmumi un kuras ir pakļautas konsolidētajai uzraudzībai. Tāpēc nebanku kreditēšanas strukturālo pieaugumu lielā mērā atbalsta banku grupu stratēģijas un pieaugošais pieprasījums pēc banku pakalpojumiem, kurus nodrošina līzinga apakšstruktūras. Pašreizējā situācijā apskatot kreditēšanu plašākā kontekstā (ieskaitot nebanku kreditēšanu)</w:t>
      </w:r>
      <w:r w:rsidR="00DC088E">
        <w:rPr>
          <w:rFonts w:ascii="Times New Roman" w:hAnsi="Times New Roman" w:cs="Times New Roman"/>
          <w:bCs/>
          <w:iCs/>
        </w:rPr>
        <w:t>,</w:t>
      </w:r>
      <w:r w:rsidRPr="00545D33">
        <w:rPr>
          <w:rFonts w:ascii="Times New Roman" w:hAnsi="Times New Roman" w:cs="Times New Roman"/>
          <w:bCs/>
          <w:iCs/>
        </w:rPr>
        <w:t xml:space="preserve"> risku, kas saistīt</w:t>
      </w:r>
      <w:r w:rsidR="00DC088E">
        <w:rPr>
          <w:rFonts w:ascii="Times New Roman" w:hAnsi="Times New Roman" w:cs="Times New Roman"/>
          <w:bCs/>
          <w:iCs/>
        </w:rPr>
        <w:t>i</w:t>
      </w:r>
      <w:r w:rsidRPr="00545D33">
        <w:rPr>
          <w:rFonts w:ascii="Times New Roman" w:hAnsi="Times New Roman" w:cs="Times New Roman"/>
          <w:bCs/>
          <w:iCs/>
        </w:rPr>
        <w:t xml:space="preserve"> ar vispārējo kreditēšanas attīstību, novērtējums nemainās. </w:t>
      </w:r>
    </w:p>
    <w:p w:rsidR="00545D33" w:rsidRPr="00545D33" w:rsidRDefault="00545D33" w:rsidP="00545D33">
      <w:pPr>
        <w:keepNext/>
        <w:keepLines/>
        <w:spacing w:after="120" w:line="240" w:lineRule="auto"/>
        <w:jc w:val="both"/>
        <w:outlineLvl w:val="0"/>
        <w:rPr>
          <w:rFonts w:ascii="Times New Roman" w:hAnsi="Times New Roman" w:cs="Times New Roman"/>
          <w:bCs/>
          <w:iCs/>
        </w:rPr>
      </w:pPr>
      <w:r w:rsidRPr="00545D33">
        <w:rPr>
          <w:rFonts w:ascii="Times New Roman" w:hAnsi="Times New Roman" w:cs="Times New Roman"/>
          <w:bCs/>
          <w:iCs/>
        </w:rPr>
        <w:lastRenderedPageBreak/>
        <w:t>Kredītiestāžu, kas apkalpo</w:t>
      </w:r>
      <w:r w:rsidR="006A0A25">
        <w:rPr>
          <w:rFonts w:ascii="Times New Roman" w:hAnsi="Times New Roman" w:cs="Times New Roman"/>
          <w:bCs/>
          <w:iCs/>
        </w:rPr>
        <w:t>ja</w:t>
      </w:r>
      <w:r w:rsidRPr="00545D33">
        <w:rPr>
          <w:rFonts w:ascii="Times New Roman" w:hAnsi="Times New Roman" w:cs="Times New Roman"/>
          <w:bCs/>
          <w:iCs/>
        </w:rPr>
        <w:t xml:space="preserve"> galvenokārt ārvalstu klientus, biznesa modeļu maiņa nav ietekmējusi finanšu cikla dinamiku, jo šo kredītiestāžu iesaiste darījumos ar iekšzemes klientiem joprojām saglabājas nenozīmīga – noguldījumu īpatsvars kopējos iekšzemes noguldījumos 2019. gada augustā bija apmēram 6%, bet šo kredītiestāžu izsniegto iekšzemes aizdevumu īpatsvars kopējos iekšzemes aizdevumos – apmēram 7% (2017. gada beigās attiecīgi 9% un 12%). Tādējādi biznesa modeļa maiņa ir nozīmīga individuālu kredītiestāžu līmenī, taču sistēmiska ietekme šobrīd netiek novērota. </w:t>
      </w:r>
    </w:p>
    <w:p w:rsidR="00545D33" w:rsidRPr="00545D33" w:rsidRDefault="00545D33" w:rsidP="00545D33">
      <w:pPr>
        <w:keepNext/>
        <w:keepLines/>
        <w:spacing w:after="120" w:line="240" w:lineRule="auto"/>
        <w:jc w:val="both"/>
        <w:outlineLvl w:val="0"/>
        <w:rPr>
          <w:rFonts w:ascii="Times New Roman" w:hAnsi="Times New Roman" w:cs="Times New Roman"/>
          <w:bCs/>
          <w:iCs/>
        </w:rPr>
      </w:pPr>
      <w:r w:rsidRPr="00545D33">
        <w:rPr>
          <w:rFonts w:ascii="Times New Roman" w:hAnsi="Times New Roman" w:cs="Times New Roman"/>
          <w:bCs/>
          <w:iCs/>
        </w:rPr>
        <w:t>Ar nekustamā īpašuma tirgu saistīto risku novērtējums nav mainījies. 2019. gada sākumā mājokļu cenu pieaugums ir palēninājies, jo augošais ekonomiskās klases mājokļu piedāvājums sāk mazināt spiedienu uz mājokļu cenām. Mājokļu pirkuma darījumu skaits pēdējos gados kopumā nav būtiski mainījies. 2019. gada 1. ceturksnī Centrālās statistikas pārvaldes aprēķinātais mājokļu cenu indekss palielinājās par 7.1% (salīdzinājumā ar 11.1% 2018. gada 4.</w:t>
      </w:r>
      <w:r w:rsidR="00DC088E">
        <w:rPr>
          <w:rFonts w:ascii="Times New Roman" w:hAnsi="Times New Roman" w:cs="Times New Roman"/>
          <w:bCs/>
          <w:iCs/>
        </w:rPr>
        <w:t> </w:t>
      </w:r>
      <w:r w:rsidRPr="00545D33">
        <w:rPr>
          <w:rFonts w:ascii="Times New Roman" w:hAnsi="Times New Roman" w:cs="Times New Roman"/>
          <w:bCs/>
          <w:iCs/>
        </w:rPr>
        <w:t>ceturksnī), t.sk. esošo mājokļu cenas – par 9% (par 12.3% – 2018. gada 4. ceturksnī), jauno mājokļu cenas samazinājās par 2.4% ( par 4.6% – 2018. gada 4. ceturksnī).</w:t>
      </w:r>
    </w:p>
    <w:p w:rsidR="00545D33" w:rsidRPr="00545D33" w:rsidRDefault="00545D33" w:rsidP="00545D33">
      <w:pPr>
        <w:keepNext/>
        <w:keepLines/>
        <w:spacing w:after="120" w:line="240" w:lineRule="auto"/>
        <w:jc w:val="both"/>
        <w:outlineLvl w:val="0"/>
        <w:rPr>
          <w:rFonts w:ascii="Times New Roman" w:hAnsi="Times New Roman" w:cs="Times New Roman"/>
          <w:bCs/>
          <w:iCs/>
        </w:rPr>
      </w:pPr>
      <w:r w:rsidRPr="00545D33">
        <w:rPr>
          <w:rFonts w:ascii="Times New Roman" w:hAnsi="Times New Roman" w:cs="Times New Roman"/>
          <w:bCs/>
          <w:iCs/>
        </w:rPr>
        <w:t xml:space="preserve">Kopumā ciklisko risku novērtējums un arī nostāja attiecībā uz ciklisko politiku paliek iepriekšējā. Ar kreditēšanu un nekustamā īpašuma tirgu saistīto risku līmenis vērtējams kā zems. Mājsaimniecību parāda līmenis ir zems, hipotekārās kreditēšanas dinamika joprojām ir lēna. Mājsaimniecību ienākumi aug līdzīgā tempā kā mājokļu cenas, tādējādi mājokļu pieejamība kopumā būtiski nemainās un mājokļu cenu indeksa attiecība pret vidējās neto darba samaksas indeksu ir tuvu ilgtermiņa vidējam rādītājam. </w:t>
      </w:r>
    </w:p>
    <w:p w:rsidR="00545D33" w:rsidRPr="00545D33" w:rsidRDefault="00545D33" w:rsidP="00545D33">
      <w:pPr>
        <w:keepNext/>
        <w:keepLines/>
        <w:spacing w:after="120" w:line="240" w:lineRule="auto"/>
        <w:jc w:val="both"/>
        <w:outlineLvl w:val="0"/>
        <w:rPr>
          <w:rFonts w:ascii="Times New Roman" w:hAnsi="Times New Roman" w:cs="Times New Roman"/>
          <w:bCs/>
          <w:iCs/>
        </w:rPr>
      </w:pPr>
      <w:r w:rsidRPr="00545D33">
        <w:rPr>
          <w:rFonts w:ascii="Times New Roman" w:hAnsi="Times New Roman" w:cs="Times New Roman"/>
          <w:bCs/>
          <w:iCs/>
        </w:rPr>
        <w:t xml:space="preserve">Galvenie Latvijas finanšu sektora stabilitātes riski salīdzinājumā ar vērtējumu pirms ceturkšņa saglabājas nemainīgi. Tie ir saistīti ar Latvijas ekonomikas atvērtību, pasaules, t.sk. Eiropas Savienības, makroekonomiskās vides pasliktināšanos un vājā ārējā pieprasījuma turpināšanos, kā arī ar saglabājošos reputācijas risku. Aktuāli saglabājas arī riski, kas saistāmi ar nesabalansētu nekustamā īpašuma tirgus attīstību un augstu mājsaimniecību parādu līmeni Ziemeļvalstīs. Kopumā palielinās nenoteiktība saistībā ekonomikas turpmākās attīstības prognozēm. </w:t>
      </w:r>
    </w:p>
    <w:p w:rsidR="00342E7E" w:rsidRPr="00342E7E" w:rsidRDefault="00342E7E" w:rsidP="00342E7E">
      <w:pPr>
        <w:keepNext/>
        <w:keepLines/>
        <w:spacing w:after="120" w:line="240" w:lineRule="auto"/>
        <w:jc w:val="both"/>
        <w:outlineLvl w:val="0"/>
        <w:rPr>
          <w:rFonts w:ascii="Times New Roman" w:hAnsi="Times New Roman" w:cs="Times New Roman"/>
        </w:rPr>
      </w:pPr>
      <w:r w:rsidRPr="00342E7E">
        <w:rPr>
          <w:rFonts w:ascii="Times New Roman" w:hAnsi="Times New Roman" w:cs="Times New Roman"/>
          <w:bCs/>
          <w:iCs/>
        </w:rPr>
        <w:t xml:space="preserve">FKTK sadarbībā ar Latvijas Banku turpinās analizēt attiecīgos rādītājus un tendences, lemjot par PKR normas noteikšanu nākamajos ceturkšņos. </w:t>
      </w:r>
    </w:p>
    <w:p w:rsidR="00A3730D" w:rsidRPr="00A7579A" w:rsidRDefault="00A3730D" w:rsidP="00477791">
      <w:pPr>
        <w:keepNext/>
        <w:keepLines/>
        <w:spacing w:after="120" w:line="240" w:lineRule="auto"/>
        <w:jc w:val="both"/>
        <w:outlineLvl w:val="0"/>
        <w:rPr>
          <w:rFonts w:ascii="Times New Roman" w:hAnsi="Times New Roman" w:cs="Times New Roman"/>
        </w:rPr>
      </w:pPr>
    </w:p>
    <w:sectPr w:rsidR="00A3730D" w:rsidRPr="00A7579A" w:rsidSect="00FB659C">
      <w:pgSz w:w="11906" w:h="16838"/>
      <w:pgMar w:top="1440" w:right="1800"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DD1" w:rsidRDefault="00833DD1" w:rsidP="0032368D">
      <w:pPr>
        <w:spacing w:after="0" w:line="240" w:lineRule="auto"/>
      </w:pPr>
      <w:r>
        <w:separator/>
      </w:r>
    </w:p>
  </w:endnote>
  <w:endnote w:type="continuationSeparator" w:id="0">
    <w:p w:rsidR="00833DD1" w:rsidRDefault="00833DD1"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DD1" w:rsidRDefault="00833DD1" w:rsidP="0032368D">
      <w:pPr>
        <w:spacing w:after="0" w:line="240" w:lineRule="auto"/>
      </w:pPr>
      <w:r>
        <w:separator/>
      </w:r>
    </w:p>
  </w:footnote>
  <w:footnote w:type="continuationSeparator" w:id="0">
    <w:p w:rsidR="00833DD1" w:rsidRDefault="00833DD1" w:rsidP="003236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68D"/>
    <w:rsid w:val="0000345E"/>
    <w:rsid w:val="00006294"/>
    <w:rsid w:val="000219CE"/>
    <w:rsid w:val="00033609"/>
    <w:rsid w:val="000416B6"/>
    <w:rsid w:val="0004770A"/>
    <w:rsid w:val="0005216E"/>
    <w:rsid w:val="00056361"/>
    <w:rsid w:val="000732CA"/>
    <w:rsid w:val="00074564"/>
    <w:rsid w:val="000760CC"/>
    <w:rsid w:val="0007732A"/>
    <w:rsid w:val="0008428A"/>
    <w:rsid w:val="00092FAB"/>
    <w:rsid w:val="000A78A0"/>
    <w:rsid w:val="000B500D"/>
    <w:rsid w:val="000C4CF1"/>
    <w:rsid w:val="000C5528"/>
    <w:rsid w:val="000D0CFE"/>
    <w:rsid w:val="000D3F5D"/>
    <w:rsid w:val="000E7C19"/>
    <w:rsid w:val="001107C9"/>
    <w:rsid w:val="001200D0"/>
    <w:rsid w:val="001462F3"/>
    <w:rsid w:val="00151AC3"/>
    <w:rsid w:val="0015490A"/>
    <w:rsid w:val="00157AFD"/>
    <w:rsid w:val="00160E17"/>
    <w:rsid w:val="0017114E"/>
    <w:rsid w:val="00173659"/>
    <w:rsid w:val="00174F2D"/>
    <w:rsid w:val="0019182F"/>
    <w:rsid w:val="00196BE7"/>
    <w:rsid w:val="001B1DB2"/>
    <w:rsid w:val="001B2BC2"/>
    <w:rsid w:val="001B386C"/>
    <w:rsid w:val="001B3A24"/>
    <w:rsid w:val="001B4A29"/>
    <w:rsid w:val="001C4A4B"/>
    <w:rsid w:val="001D1AD1"/>
    <w:rsid w:val="001D7A88"/>
    <w:rsid w:val="001D7E5E"/>
    <w:rsid w:val="001E4DEF"/>
    <w:rsid w:val="001E54D3"/>
    <w:rsid w:val="001E5B20"/>
    <w:rsid w:val="001E631C"/>
    <w:rsid w:val="001F0D5B"/>
    <w:rsid w:val="001F3CBB"/>
    <w:rsid w:val="001F574A"/>
    <w:rsid w:val="001F7184"/>
    <w:rsid w:val="00200585"/>
    <w:rsid w:val="00201F2A"/>
    <w:rsid w:val="00202693"/>
    <w:rsid w:val="00211C78"/>
    <w:rsid w:val="00214ED9"/>
    <w:rsid w:val="002204A7"/>
    <w:rsid w:val="00222721"/>
    <w:rsid w:val="002343BD"/>
    <w:rsid w:val="002427C4"/>
    <w:rsid w:val="00250A7A"/>
    <w:rsid w:val="0025420C"/>
    <w:rsid w:val="0025718E"/>
    <w:rsid w:val="00257798"/>
    <w:rsid w:val="002578B4"/>
    <w:rsid w:val="00264AD0"/>
    <w:rsid w:val="00275056"/>
    <w:rsid w:val="002774E0"/>
    <w:rsid w:val="0028285A"/>
    <w:rsid w:val="00282D6E"/>
    <w:rsid w:val="00283EDB"/>
    <w:rsid w:val="00297A9A"/>
    <w:rsid w:val="002A0A04"/>
    <w:rsid w:val="002A3173"/>
    <w:rsid w:val="002A37B2"/>
    <w:rsid w:val="002A6B0A"/>
    <w:rsid w:val="002B0DEE"/>
    <w:rsid w:val="002C0998"/>
    <w:rsid w:val="002C17C8"/>
    <w:rsid w:val="002C4B94"/>
    <w:rsid w:val="002D0028"/>
    <w:rsid w:val="002D1280"/>
    <w:rsid w:val="002D66B5"/>
    <w:rsid w:val="002D763E"/>
    <w:rsid w:val="002E2D88"/>
    <w:rsid w:val="002E458C"/>
    <w:rsid w:val="002E5D00"/>
    <w:rsid w:val="002F0E6B"/>
    <w:rsid w:val="002F2C6A"/>
    <w:rsid w:val="0030576F"/>
    <w:rsid w:val="00307DBC"/>
    <w:rsid w:val="0031554E"/>
    <w:rsid w:val="00317341"/>
    <w:rsid w:val="0032368D"/>
    <w:rsid w:val="00327AF2"/>
    <w:rsid w:val="00332E8E"/>
    <w:rsid w:val="00336DFF"/>
    <w:rsid w:val="003408BC"/>
    <w:rsid w:val="00342E7E"/>
    <w:rsid w:val="00347BD8"/>
    <w:rsid w:val="003522C3"/>
    <w:rsid w:val="0036153F"/>
    <w:rsid w:val="003676B7"/>
    <w:rsid w:val="00373687"/>
    <w:rsid w:val="003811B7"/>
    <w:rsid w:val="003833D9"/>
    <w:rsid w:val="003869BE"/>
    <w:rsid w:val="003950AB"/>
    <w:rsid w:val="003A1C21"/>
    <w:rsid w:val="003A4F4B"/>
    <w:rsid w:val="003A71F7"/>
    <w:rsid w:val="003A788B"/>
    <w:rsid w:val="003C0C57"/>
    <w:rsid w:val="003C4CFB"/>
    <w:rsid w:val="003C5456"/>
    <w:rsid w:val="003C6059"/>
    <w:rsid w:val="003C7C63"/>
    <w:rsid w:val="003D03F5"/>
    <w:rsid w:val="003D464B"/>
    <w:rsid w:val="003D54E7"/>
    <w:rsid w:val="003F243B"/>
    <w:rsid w:val="004058BC"/>
    <w:rsid w:val="00407879"/>
    <w:rsid w:val="00410BF9"/>
    <w:rsid w:val="00413C37"/>
    <w:rsid w:val="00421D1C"/>
    <w:rsid w:val="00427AFE"/>
    <w:rsid w:val="0044271E"/>
    <w:rsid w:val="004458CB"/>
    <w:rsid w:val="0046415C"/>
    <w:rsid w:val="00471FDD"/>
    <w:rsid w:val="00477791"/>
    <w:rsid w:val="004802E1"/>
    <w:rsid w:val="00483023"/>
    <w:rsid w:val="00483487"/>
    <w:rsid w:val="00485DED"/>
    <w:rsid w:val="00490B38"/>
    <w:rsid w:val="004950F6"/>
    <w:rsid w:val="004A27C0"/>
    <w:rsid w:val="004A6195"/>
    <w:rsid w:val="004A6271"/>
    <w:rsid w:val="004D2A61"/>
    <w:rsid w:val="004D5F26"/>
    <w:rsid w:val="004E4EFF"/>
    <w:rsid w:val="004E598C"/>
    <w:rsid w:val="004F1E9D"/>
    <w:rsid w:val="004F22BD"/>
    <w:rsid w:val="004F57E6"/>
    <w:rsid w:val="004F663E"/>
    <w:rsid w:val="005002AE"/>
    <w:rsid w:val="0050101D"/>
    <w:rsid w:val="00501F69"/>
    <w:rsid w:val="005039A2"/>
    <w:rsid w:val="00505E20"/>
    <w:rsid w:val="00512D34"/>
    <w:rsid w:val="0051567D"/>
    <w:rsid w:val="00541087"/>
    <w:rsid w:val="00545D33"/>
    <w:rsid w:val="00551EDB"/>
    <w:rsid w:val="005530EC"/>
    <w:rsid w:val="005557E7"/>
    <w:rsid w:val="00556281"/>
    <w:rsid w:val="00563458"/>
    <w:rsid w:val="00575728"/>
    <w:rsid w:val="005809B2"/>
    <w:rsid w:val="0058464F"/>
    <w:rsid w:val="00584828"/>
    <w:rsid w:val="00594104"/>
    <w:rsid w:val="00595758"/>
    <w:rsid w:val="00597727"/>
    <w:rsid w:val="005B43FD"/>
    <w:rsid w:val="005B5A65"/>
    <w:rsid w:val="005B6F2D"/>
    <w:rsid w:val="005C192C"/>
    <w:rsid w:val="005C5BE4"/>
    <w:rsid w:val="005C6193"/>
    <w:rsid w:val="005C6820"/>
    <w:rsid w:val="005D0F48"/>
    <w:rsid w:val="005E27EE"/>
    <w:rsid w:val="005F22B5"/>
    <w:rsid w:val="005F5E68"/>
    <w:rsid w:val="005F6B02"/>
    <w:rsid w:val="005F6B51"/>
    <w:rsid w:val="0060248D"/>
    <w:rsid w:val="00603E26"/>
    <w:rsid w:val="00611E90"/>
    <w:rsid w:val="00626D69"/>
    <w:rsid w:val="00630A3C"/>
    <w:rsid w:val="00637145"/>
    <w:rsid w:val="006419D4"/>
    <w:rsid w:val="00647385"/>
    <w:rsid w:val="006506BC"/>
    <w:rsid w:val="00650A3F"/>
    <w:rsid w:val="00652B58"/>
    <w:rsid w:val="00665696"/>
    <w:rsid w:val="00676D29"/>
    <w:rsid w:val="006852AB"/>
    <w:rsid w:val="0068695B"/>
    <w:rsid w:val="00694A1E"/>
    <w:rsid w:val="006A0A25"/>
    <w:rsid w:val="006A2EA8"/>
    <w:rsid w:val="006A5D61"/>
    <w:rsid w:val="006D53F7"/>
    <w:rsid w:val="006F3C5A"/>
    <w:rsid w:val="007054B6"/>
    <w:rsid w:val="007101E0"/>
    <w:rsid w:val="007135B6"/>
    <w:rsid w:val="00722FBC"/>
    <w:rsid w:val="007240F6"/>
    <w:rsid w:val="00732145"/>
    <w:rsid w:val="00734FF6"/>
    <w:rsid w:val="0075295B"/>
    <w:rsid w:val="00752964"/>
    <w:rsid w:val="00755306"/>
    <w:rsid w:val="007711FA"/>
    <w:rsid w:val="0077191E"/>
    <w:rsid w:val="00781E70"/>
    <w:rsid w:val="00786278"/>
    <w:rsid w:val="00795CBC"/>
    <w:rsid w:val="00797CA5"/>
    <w:rsid w:val="007A06E9"/>
    <w:rsid w:val="007A2552"/>
    <w:rsid w:val="007A3364"/>
    <w:rsid w:val="007A6003"/>
    <w:rsid w:val="007B0186"/>
    <w:rsid w:val="007B18EE"/>
    <w:rsid w:val="007B5C91"/>
    <w:rsid w:val="007B6DE4"/>
    <w:rsid w:val="007B70B4"/>
    <w:rsid w:val="007C062F"/>
    <w:rsid w:val="007C5CB7"/>
    <w:rsid w:val="007D02BE"/>
    <w:rsid w:val="007D0F9E"/>
    <w:rsid w:val="007D4B90"/>
    <w:rsid w:val="007F0B1F"/>
    <w:rsid w:val="007F27EB"/>
    <w:rsid w:val="007F43A8"/>
    <w:rsid w:val="008018ED"/>
    <w:rsid w:val="00803B31"/>
    <w:rsid w:val="008045C6"/>
    <w:rsid w:val="00804704"/>
    <w:rsid w:val="0080796D"/>
    <w:rsid w:val="00812F55"/>
    <w:rsid w:val="008140D0"/>
    <w:rsid w:val="008153A2"/>
    <w:rsid w:val="00823AC7"/>
    <w:rsid w:val="00827011"/>
    <w:rsid w:val="008321C2"/>
    <w:rsid w:val="0083262F"/>
    <w:rsid w:val="00833DD1"/>
    <w:rsid w:val="00834BCF"/>
    <w:rsid w:val="0086001F"/>
    <w:rsid w:val="00883B9E"/>
    <w:rsid w:val="008971A7"/>
    <w:rsid w:val="008A2AD7"/>
    <w:rsid w:val="008B0CC4"/>
    <w:rsid w:val="008B0FED"/>
    <w:rsid w:val="008B2C91"/>
    <w:rsid w:val="008B365D"/>
    <w:rsid w:val="008C19F9"/>
    <w:rsid w:val="008C4114"/>
    <w:rsid w:val="008E4105"/>
    <w:rsid w:val="008F031D"/>
    <w:rsid w:val="00900A60"/>
    <w:rsid w:val="009036F8"/>
    <w:rsid w:val="009044ED"/>
    <w:rsid w:val="00906956"/>
    <w:rsid w:val="009107FF"/>
    <w:rsid w:val="0091202B"/>
    <w:rsid w:val="0091533F"/>
    <w:rsid w:val="0092200A"/>
    <w:rsid w:val="00932616"/>
    <w:rsid w:val="00936D45"/>
    <w:rsid w:val="009654B7"/>
    <w:rsid w:val="00970803"/>
    <w:rsid w:val="00970B53"/>
    <w:rsid w:val="00973A4B"/>
    <w:rsid w:val="00973D6F"/>
    <w:rsid w:val="009751FA"/>
    <w:rsid w:val="009803DF"/>
    <w:rsid w:val="00990449"/>
    <w:rsid w:val="00997CAD"/>
    <w:rsid w:val="009A09F2"/>
    <w:rsid w:val="009A5CAC"/>
    <w:rsid w:val="009B053B"/>
    <w:rsid w:val="009C47C6"/>
    <w:rsid w:val="009D133E"/>
    <w:rsid w:val="009D5592"/>
    <w:rsid w:val="009D5C3F"/>
    <w:rsid w:val="009E69AE"/>
    <w:rsid w:val="009F4A34"/>
    <w:rsid w:val="009F4B08"/>
    <w:rsid w:val="009F6D73"/>
    <w:rsid w:val="00A066A5"/>
    <w:rsid w:val="00A06DCF"/>
    <w:rsid w:val="00A10CCE"/>
    <w:rsid w:val="00A111D3"/>
    <w:rsid w:val="00A17E24"/>
    <w:rsid w:val="00A2498A"/>
    <w:rsid w:val="00A31E93"/>
    <w:rsid w:val="00A343F8"/>
    <w:rsid w:val="00A37284"/>
    <w:rsid w:val="00A3730D"/>
    <w:rsid w:val="00A460F4"/>
    <w:rsid w:val="00A46727"/>
    <w:rsid w:val="00A51512"/>
    <w:rsid w:val="00A60AD7"/>
    <w:rsid w:val="00A61771"/>
    <w:rsid w:val="00A63FA3"/>
    <w:rsid w:val="00A73D5F"/>
    <w:rsid w:val="00A740A3"/>
    <w:rsid w:val="00A749AD"/>
    <w:rsid w:val="00A7579A"/>
    <w:rsid w:val="00A81C4E"/>
    <w:rsid w:val="00A90DD9"/>
    <w:rsid w:val="00A96FD2"/>
    <w:rsid w:val="00AA54E2"/>
    <w:rsid w:val="00AB0804"/>
    <w:rsid w:val="00AB7D3C"/>
    <w:rsid w:val="00AC017B"/>
    <w:rsid w:val="00AC3B42"/>
    <w:rsid w:val="00AC5314"/>
    <w:rsid w:val="00AD0F9A"/>
    <w:rsid w:val="00AD0FED"/>
    <w:rsid w:val="00AD4BAB"/>
    <w:rsid w:val="00AE237D"/>
    <w:rsid w:val="00AF1886"/>
    <w:rsid w:val="00AF5A22"/>
    <w:rsid w:val="00AF66DD"/>
    <w:rsid w:val="00B131EB"/>
    <w:rsid w:val="00B14758"/>
    <w:rsid w:val="00B2174C"/>
    <w:rsid w:val="00B228F2"/>
    <w:rsid w:val="00B340E6"/>
    <w:rsid w:val="00B35AC6"/>
    <w:rsid w:val="00B35E52"/>
    <w:rsid w:val="00B36036"/>
    <w:rsid w:val="00B45EF2"/>
    <w:rsid w:val="00B57DE1"/>
    <w:rsid w:val="00B7762B"/>
    <w:rsid w:val="00B77A3A"/>
    <w:rsid w:val="00B933DE"/>
    <w:rsid w:val="00B94A70"/>
    <w:rsid w:val="00B94FA0"/>
    <w:rsid w:val="00BA7A20"/>
    <w:rsid w:val="00BC2EF8"/>
    <w:rsid w:val="00BC61BA"/>
    <w:rsid w:val="00BD4B42"/>
    <w:rsid w:val="00BD6400"/>
    <w:rsid w:val="00BE4CD6"/>
    <w:rsid w:val="00BE6527"/>
    <w:rsid w:val="00BF0EA9"/>
    <w:rsid w:val="00BF1FBC"/>
    <w:rsid w:val="00BF4770"/>
    <w:rsid w:val="00C01699"/>
    <w:rsid w:val="00C02112"/>
    <w:rsid w:val="00C04813"/>
    <w:rsid w:val="00C05C51"/>
    <w:rsid w:val="00C40D79"/>
    <w:rsid w:val="00C51304"/>
    <w:rsid w:val="00C617C6"/>
    <w:rsid w:val="00C63EB1"/>
    <w:rsid w:val="00C7742A"/>
    <w:rsid w:val="00C84AAE"/>
    <w:rsid w:val="00CA2374"/>
    <w:rsid w:val="00CB0996"/>
    <w:rsid w:val="00CB0997"/>
    <w:rsid w:val="00CB1528"/>
    <w:rsid w:val="00CB6ADE"/>
    <w:rsid w:val="00CC708A"/>
    <w:rsid w:val="00CC7720"/>
    <w:rsid w:val="00CD6726"/>
    <w:rsid w:val="00CD77B4"/>
    <w:rsid w:val="00CE0BC6"/>
    <w:rsid w:val="00D03E0C"/>
    <w:rsid w:val="00D07221"/>
    <w:rsid w:val="00D121EA"/>
    <w:rsid w:val="00D203B7"/>
    <w:rsid w:val="00D20E6D"/>
    <w:rsid w:val="00D225CA"/>
    <w:rsid w:val="00D32F4B"/>
    <w:rsid w:val="00D336FE"/>
    <w:rsid w:val="00D43F90"/>
    <w:rsid w:val="00D478E9"/>
    <w:rsid w:val="00D47D17"/>
    <w:rsid w:val="00D5033E"/>
    <w:rsid w:val="00D5186E"/>
    <w:rsid w:val="00D5282A"/>
    <w:rsid w:val="00D52888"/>
    <w:rsid w:val="00D804C6"/>
    <w:rsid w:val="00D901EC"/>
    <w:rsid w:val="00D92758"/>
    <w:rsid w:val="00D95035"/>
    <w:rsid w:val="00DA22B5"/>
    <w:rsid w:val="00DA566A"/>
    <w:rsid w:val="00DB2930"/>
    <w:rsid w:val="00DB4787"/>
    <w:rsid w:val="00DB689E"/>
    <w:rsid w:val="00DC02D1"/>
    <w:rsid w:val="00DC088E"/>
    <w:rsid w:val="00DC2C50"/>
    <w:rsid w:val="00DC3C4B"/>
    <w:rsid w:val="00DC5BC8"/>
    <w:rsid w:val="00DD1268"/>
    <w:rsid w:val="00DD45B1"/>
    <w:rsid w:val="00DD7B69"/>
    <w:rsid w:val="00DE2350"/>
    <w:rsid w:val="00DF3E48"/>
    <w:rsid w:val="00DF45EE"/>
    <w:rsid w:val="00E11FC9"/>
    <w:rsid w:val="00E20ACF"/>
    <w:rsid w:val="00E20F38"/>
    <w:rsid w:val="00E22DC2"/>
    <w:rsid w:val="00E234D1"/>
    <w:rsid w:val="00E25E99"/>
    <w:rsid w:val="00E32D20"/>
    <w:rsid w:val="00E360C4"/>
    <w:rsid w:val="00E361A8"/>
    <w:rsid w:val="00E479DE"/>
    <w:rsid w:val="00E60665"/>
    <w:rsid w:val="00E60F59"/>
    <w:rsid w:val="00E61ADB"/>
    <w:rsid w:val="00E6384B"/>
    <w:rsid w:val="00E6583E"/>
    <w:rsid w:val="00E72ACD"/>
    <w:rsid w:val="00E72E46"/>
    <w:rsid w:val="00E74D2B"/>
    <w:rsid w:val="00E76600"/>
    <w:rsid w:val="00E84344"/>
    <w:rsid w:val="00E9170F"/>
    <w:rsid w:val="00E9329D"/>
    <w:rsid w:val="00EA38B7"/>
    <w:rsid w:val="00EA39EE"/>
    <w:rsid w:val="00EA5186"/>
    <w:rsid w:val="00EB59C4"/>
    <w:rsid w:val="00EC0C38"/>
    <w:rsid w:val="00ED2B36"/>
    <w:rsid w:val="00ED4E21"/>
    <w:rsid w:val="00EE1537"/>
    <w:rsid w:val="00EE1EEE"/>
    <w:rsid w:val="00EE74AB"/>
    <w:rsid w:val="00EE74B5"/>
    <w:rsid w:val="00EF6ACF"/>
    <w:rsid w:val="00F06CDC"/>
    <w:rsid w:val="00F13520"/>
    <w:rsid w:val="00F15844"/>
    <w:rsid w:val="00F40422"/>
    <w:rsid w:val="00F42D02"/>
    <w:rsid w:val="00F43086"/>
    <w:rsid w:val="00F4649E"/>
    <w:rsid w:val="00F511BD"/>
    <w:rsid w:val="00F511EA"/>
    <w:rsid w:val="00F514F0"/>
    <w:rsid w:val="00F62F5E"/>
    <w:rsid w:val="00F70483"/>
    <w:rsid w:val="00F75EF8"/>
    <w:rsid w:val="00F83F56"/>
    <w:rsid w:val="00F83F5F"/>
    <w:rsid w:val="00F85351"/>
    <w:rsid w:val="00F93372"/>
    <w:rsid w:val="00FA19CE"/>
    <w:rsid w:val="00FA2263"/>
    <w:rsid w:val="00FB659C"/>
    <w:rsid w:val="00FC0DF5"/>
    <w:rsid w:val="00FC3E17"/>
    <w:rsid w:val="00FC6C58"/>
    <w:rsid w:val="00FD2440"/>
    <w:rsid w:val="00FE0283"/>
    <w:rsid w:val="00FF0A26"/>
    <w:rsid w:val="00FF78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6B5B2-E42C-4212-B9A7-BBE1D2B75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51261">
      <w:bodyDiv w:val="1"/>
      <w:marLeft w:val="0"/>
      <w:marRight w:val="0"/>
      <w:marTop w:val="0"/>
      <w:marBottom w:val="0"/>
      <w:divBdr>
        <w:top w:val="none" w:sz="0" w:space="0" w:color="auto"/>
        <w:left w:val="none" w:sz="0" w:space="0" w:color="auto"/>
        <w:bottom w:val="none" w:sz="0" w:space="0" w:color="auto"/>
        <w:right w:val="none" w:sz="0" w:space="0" w:color="auto"/>
      </w:divBdr>
    </w:div>
    <w:div w:id="10225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9014C-A019-404C-B0F3-446E0FD66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4207</Words>
  <Characters>2398</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Dace Jansone</cp:lastModifiedBy>
  <cp:revision>2</cp:revision>
  <cp:lastPrinted>2016-01-27T08:05:00Z</cp:lastPrinted>
  <dcterms:created xsi:type="dcterms:W3CDTF">2019-10-31T08:43:00Z</dcterms:created>
  <dcterms:modified xsi:type="dcterms:W3CDTF">2019-10-31T08:43:00Z</dcterms:modified>
</cp:coreProperties>
</file>