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5CE6" w:rsidRPr="00B05CE6" w:rsidRDefault="00B05CE6" w:rsidP="00B05CE6">
      <w:pPr>
        <w:keepNext/>
        <w:keepLines/>
        <w:spacing w:before="120" w:after="0" w:line="240" w:lineRule="auto"/>
        <w:jc w:val="both"/>
        <w:outlineLvl w:val="0"/>
        <w:rPr>
          <w:rFonts w:ascii="Times New Roman" w:eastAsia="Times New Roman" w:hAnsi="Times New Roman" w:cs="Times New Roman"/>
          <w:b/>
          <w:kern w:val="28"/>
          <w:szCs w:val="20"/>
        </w:rPr>
      </w:pPr>
      <w:bookmarkStart w:id="0" w:name="_Toc403946511"/>
      <w:r w:rsidRPr="00B05CE6">
        <w:rPr>
          <w:rFonts w:ascii="Times New Roman" w:eastAsia="Times New Roman" w:hAnsi="Times New Roman" w:cs="Times New Roman"/>
          <w:b/>
          <w:bCs/>
          <w:kern w:val="28"/>
          <w:szCs w:val="20"/>
        </w:rPr>
        <w:t>25.07.</w:t>
      </w:r>
      <w:bookmarkStart w:id="1" w:name="_GoBack"/>
      <w:bookmarkEnd w:id="1"/>
      <w:r w:rsidRPr="00B05CE6">
        <w:rPr>
          <w:rFonts w:ascii="Times New Roman" w:eastAsia="Times New Roman" w:hAnsi="Times New Roman" w:cs="Times New Roman"/>
          <w:b/>
          <w:bCs/>
          <w:kern w:val="28"/>
          <w:szCs w:val="20"/>
        </w:rPr>
        <w:t xml:space="preserve">2016. lēmums par </w:t>
      </w:r>
      <w:proofErr w:type="spellStart"/>
      <w:r w:rsidRPr="00B05CE6">
        <w:rPr>
          <w:rFonts w:ascii="Times New Roman" w:eastAsia="Times New Roman" w:hAnsi="Times New Roman" w:cs="Times New Roman"/>
          <w:b/>
          <w:bCs/>
          <w:kern w:val="28"/>
          <w:szCs w:val="20"/>
        </w:rPr>
        <w:t>pretcikliskās</w:t>
      </w:r>
      <w:proofErr w:type="spellEnd"/>
      <w:r w:rsidRPr="00B05CE6">
        <w:rPr>
          <w:rFonts w:ascii="Times New Roman" w:eastAsia="Times New Roman" w:hAnsi="Times New Roman" w:cs="Times New Roman"/>
          <w:b/>
          <w:bCs/>
          <w:kern w:val="28"/>
          <w:szCs w:val="20"/>
        </w:rPr>
        <w:t xml:space="preserve"> kapitāla rezerves normas noteikšanu</w:t>
      </w:r>
    </w:p>
    <w:p w:rsidR="00B05CE6" w:rsidRPr="00B05CE6" w:rsidRDefault="00B05CE6" w:rsidP="00B05CE6">
      <w:pPr>
        <w:keepNext/>
        <w:keepLines/>
        <w:spacing w:before="120" w:after="0" w:line="240" w:lineRule="auto"/>
        <w:jc w:val="both"/>
        <w:outlineLvl w:val="0"/>
        <w:rPr>
          <w:rFonts w:ascii="Times New Roman" w:eastAsia="Times New Roman" w:hAnsi="Times New Roman" w:cs="Times New Roman"/>
          <w:b/>
          <w:kern w:val="28"/>
          <w:szCs w:val="20"/>
        </w:rPr>
      </w:pPr>
      <w:proofErr w:type="spellStart"/>
      <w:r w:rsidRPr="00B05CE6">
        <w:rPr>
          <w:rFonts w:ascii="Times New Roman" w:eastAsia="Times New Roman" w:hAnsi="Times New Roman" w:cs="Times New Roman"/>
          <w:b/>
          <w:bCs/>
          <w:kern w:val="28"/>
          <w:szCs w:val="20"/>
        </w:rPr>
        <w:t>Pretcikliskās</w:t>
      </w:r>
      <w:proofErr w:type="spellEnd"/>
      <w:r w:rsidRPr="00B05CE6">
        <w:rPr>
          <w:rFonts w:ascii="Times New Roman" w:eastAsia="Times New Roman" w:hAnsi="Times New Roman" w:cs="Times New Roman"/>
          <w:b/>
          <w:bCs/>
          <w:kern w:val="28"/>
          <w:szCs w:val="20"/>
        </w:rPr>
        <w:t xml:space="preserve"> kapitāla rezerves (PKR) norma darījumiem ar Latvijas rezidentiem no 2017. gada 1. augusta līdz 31. oktobrim tiek noteikta 0% apmērā. Nākamo divu gadu laikā nepieciešamība paaugstināt PKR normu nav paredzama.</w:t>
      </w:r>
    </w:p>
    <w:p w:rsidR="00B05CE6" w:rsidRDefault="00B05CE6" w:rsidP="00B05CE6">
      <w:pPr>
        <w:keepNext/>
        <w:keepLines/>
        <w:spacing w:before="120" w:after="0" w:line="240" w:lineRule="auto"/>
        <w:jc w:val="both"/>
        <w:outlineLvl w:val="0"/>
        <w:rPr>
          <w:rFonts w:ascii="Times New Roman" w:eastAsia="Times New Roman" w:hAnsi="Times New Roman" w:cs="Times New Roman"/>
          <w:b/>
          <w:kern w:val="28"/>
          <w:szCs w:val="20"/>
        </w:rPr>
      </w:pPr>
    </w:p>
    <w:p w:rsidR="00B05CE6" w:rsidRPr="00D1248D" w:rsidRDefault="00B05CE6" w:rsidP="00B05CE6">
      <w:pPr>
        <w:keepNext/>
        <w:keepLines/>
        <w:spacing w:before="120" w:after="0" w:line="240" w:lineRule="auto"/>
        <w:jc w:val="both"/>
        <w:outlineLvl w:val="0"/>
        <w:rPr>
          <w:rFonts w:ascii="Times New Roman" w:eastAsia="Times New Roman" w:hAnsi="Times New Roman" w:cs="Times New Roman"/>
          <w:kern w:val="28"/>
          <w:szCs w:val="20"/>
        </w:rPr>
      </w:pPr>
      <w:r w:rsidRPr="00D1248D">
        <w:rPr>
          <w:rFonts w:ascii="Times New Roman" w:eastAsia="Times New Roman" w:hAnsi="Times New Roman" w:cs="Times New Roman"/>
          <w:kern w:val="28"/>
          <w:szCs w:val="20"/>
        </w:rPr>
        <w:t>1. Saskaņā ar Kredītiestāžu likuma 35</w:t>
      </w:r>
      <w:r w:rsidRPr="00D1248D">
        <w:rPr>
          <w:rFonts w:ascii="Times New Roman" w:eastAsia="Times New Roman" w:hAnsi="Times New Roman" w:cs="Times New Roman"/>
          <w:kern w:val="28"/>
          <w:szCs w:val="20"/>
          <w:vertAlign w:val="superscript"/>
        </w:rPr>
        <w:t>5</w:t>
      </w:r>
      <w:r w:rsidRPr="00D1248D">
        <w:rPr>
          <w:rFonts w:ascii="Times New Roman" w:eastAsia="Times New Roman" w:hAnsi="Times New Roman" w:cs="Times New Roman"/>
          <w:kern w:val="28"/>
          <w:szCs w:val="20"/>
        </w:rPr>
        <w:t xml:space="preserve"> panta pirmo daļu Finanšu un kapitāla tirgus komisija (tālāk tekstā – Komisija) reizi ceturksnī nosaka </w:t>
      </w:r>
      <w:proofErr w:type="spellStart"/>
      <w:r w:rsidRPr="00D1248D">
        <w:rPr>
          <w:rFonts w:ascii="Times New Roman" w:eastAsia="Times New Roman" w:hAnsi="Times New Roman" w:cs="Times New Roman"/>
          <w:kern w:val="28"/>
          <w:szCs w:val="20"/>
        </w:rPr>
        <w:t>pretcikliskās</w:t>
      </w:r>
      <w:proofErr w:type="spellEnd"/>
      <w:r w:rsidRPr="00D1248D">
        <w:rPr>
          <w:rFonts w:ascii="Times New Roman" w:eastAsia="Times New Roman" w:hAnsi="Times New Roman" w:cs="Times New Roman"/>
          <w:kern w:val="28"/>
          <w:szCs w:val="20"/>
        </w:rPr>
        <w:t xml:space="preserve"> kapitāla rezerves (tālāk tekstā – PKR) normu, kas attiecināma uz riska darījumiem, kuri noslēgti ar Latvijas Republikas rezidentiem, ņemot vērā:</w:t>
      </w:r>
    </w:p>
    <w:p w:rsidR="00B05CE6" w:rsidRPr="00D1248D" w:rsidRDefault="00B05CE6" w:rsidP="00B05CE6">
      <w:pPr>
        <w:keepNext/>
        <w:keepLines/>
        <w:spacing w:before="120" w:after="0" w:line="240" w:lineRule="auto"/>
        <w:jc w:val="both"/>
        <w:outlineLvl w:val="0"/>
        <w:rPr>
          <w:rFonts w:ascii="Times New Roman" w:eastAsia="Times New Roman" w:hAnsi="Times New Roman" w:cs="Times New Roman"/>
          <w:kern w:val="28"/>
          <w:szCs w:val="20"/>
        </w:rPr>
      </w:pPr>
      <w:r w:rsidRPr="00D1248D">
        <w:rPr>
          <w:rFonts w:ascii="Times New Roman" w:eastAsia="Times New Roman" w:hAnsi="Times New Roman" w:cs="Times New Roman"/>
          <w:kern w:val="28"/>
          <w:szCs w:val="20"/>
        </w:rPr>
        <w:t>1) attiecīgajam ceturksnim aprēķināto PKR orientieri;</w:t>
      </w:r>
    </w:p>
    <w:p w:rsidR="00B05CE6" w:rsidRPr="00D1248D" w:rsidRDefault="00B05CE6" w:rsidP="00B05CE6">
      <w:pPr>
        <w:keepNext/>
        <w:keepLines/>
        <w:spacing w:before="120" w:after="0" w:line="240" w:lineRule="auto"/>
        <w:jc w:val="both"/>
        <w:outlineLvl w:val="0"/>
        <w:rPr>
          <w:rFonts w:ascii="Times New Roman" w:eastAsia="Times New Roman" w:hAnsi="Times New Roman" w:cs="Times New Roman"/>
          <w:kern w:val="28"/>
          <w:szCs w:val="20"/>
        </w:rPr>
      </w:pPr>
      <w:r w:rsidRPr="00D1248D">
        <w:rPr>
          <w:rFonts w:ascii="Times New Roman" w:eastAsia="Times New Roman" w:hAnsi="Times New Roman" w:cs="Times New Roman"/>
          <w:kern w:val="28"/>
          <w:szCs w:val="20"/>
        </w:rPr>
        <w:t>2) mainīgos lielumus, kurus tā uzskata par būtiskiem cikliskā sistēmiskā riska novērtēšanai;</w:t>
      </w:r>
    </w:p>
    <w:p w:rsidR="00B05CE6" w:rsidRPr="00D1248D" w:rsidRDefault="00B05CE6" w:rsidP="00B05CE6">
      <w:pPr>
        <w:keepNext/>
        <w:keepLines/>
        <w:spacing w:before="120" w:after="0" w:line="240" w:lineRule="auto"/>
        <w:jc w:val="both"/>
        <w:outlineLvl w:val="0"/>
        <w:rPr>
          <w:rFonts w:ascii="Times New Roman" w:eastAsia="Times New Roman" w:hAnsi="Times New Roman" w:cs="Times New Roman"/>
          <w:kern w:val="28"/>
          <w:szCs w:val="20"/>
        </w:rPr>
      </w:pPr>
      <w:r w:rsidRPr="00D1248D">
        <w:rPr>
          <w:rFonts w:ascii="Times New Roman" w:eastAsia="Times New Roman" w:hAnsi="Times New Roman" w:cs="Times New Roman"/>
          <w:kern w:val="28"/>
          <w:szCs w:val="20"/>
        </w:rPr>
        <w:t>3) spēkā esošās Eiropas Sistēmisko risku kolēģijas (tālāk tekstā – ESRK) rekomendācijas par PKR normas noteikšanu.</w:t>
      </w:r>
    </w:p>
    <w:p w:rsidR="00B05CE6" w:rsidRPr="00D1248D" w:rsidRDefault="00B05CE6" w:rsidP="00B05CE6">
      <w:pPr>
        <w:keepNext/>
        <w:keepLines/>
        <w:spacing w:before="120" w:after="0" w:line="240" w:lineRule="auto"/>
        <w:jc w:val="both"/>
        <w:outlineLvl w:val="0"/>
        <w:rPr>
          <w:rFonts w:ascii="Times New Roman" w:eastAsia="Times New Roman" w:hAnsi="Times New Roman" w:cs="Times New Roman"/>
          <w:kern w:val="28"/>
          <w:szCs w:val="20"/>
        </w:rPr>
      </w:pPr>
      <w:r w:rsidRPr="00D1248D">
        <w:rPr>
          <w:rFonts w:ascii="Times New Roman" w:eastAsia="Times New Roman" w:hAnsi="Times New Roman" w:cs="Times New Roman"/>
          <w:kern w:val="28"/>
          <w:szCs w:val="20"/>
        </w:rPr>
        <w:t>2. PKR orientieri aprēķina, ņemot vērā Latvijas Republikas rezidentiem izsniegto aizdevumu dinamiku un to attiecības pret iekšzemes kopproduktu (IKP) novirzi no tās ilgtermiņa tendences (turpmāk tekstā – kredīta un IKP novirze). </w:t>
      </w:r>
    </w:p>
    <w:p w:rsidR="00B05CE6" w:rsidRPr="00D1248D" w:rsidRDefault="00B05CE6" w:rsidP="00B05CE6">
      <w:pPr>
        <w:keepNext/>
        <w:keepLines/>
        <w:spacing w:before="120" w:after="0" w:line="240" w:lineRule="auto"/>
        <w:jc w:val="both"/>
        <w:outlineLvl w:val="0"/>
        <w:rPr>
          <w:rFonts w:ascii="Times New Roman" w:eastAsia="Times New Roman" w:hAnsi="Times New Roman" w:cs="Times New Roman"/>
          <w:kern w:val="28"/>
          <w:szCs w:val="20"/>
        </w:rPr>
      </w:pPr>
      <w:r w:rsidRPr="00D1248D">
        <w:rPr>
          <w:rFonts w:ascii="Times New Roman" w:eastAsia="Times New Roman" w:hAnsi="Times New Roman" w:cs="Times New Roman"/>
          <w:kern w:val="28"/>
          <w:szCs w:val="20"/>
        </w:rPr>
        <w:t>3. Saskaņā ar ESRK rekomendāciju</w:t>
      </w:r>
      <w:r w:rsidRPr="00D1248D">
        <w:rPr>
          <w:rFonts w:ascii="Times New Roman" w:eastAsia="Times New Roman" w:hAnsi="Times New Roman" w:cs="Times New Roman"/>
          <w:kern w:val="28"/>
          <w:szCs w:val="20"/>
          <w:vertAlign w:val="superscript"/>
        </w:rPr>
        <w:footnoteReference w:id="1"/>
      </w:r>
      <w:r w:rsidRPr="00D1248D">
        <w:rPr>
          <w:rFonts w:ascii="Times New Roman" w:eastAsia="Times New Roman" w:hAnsi="Times New Roman" w:cs="Times New Roman"/>
          <w:kern w:val="28"/>
          <w:szCs w:val="20"/>
        </w:rPr>
        <w:t>  (tālāk tekstā – Rekomendācija), PKR orientieri ir iespējams aprēķināt izmantojot laikrindas, kas balstās uz "plašo" un "šauro" kredītu definīciju. "Plašā" kredīta definīcija  ir kredīta vietējam privātajam nefinanšu sektoram  atlikums</w:t>
      </w:r>
      <w:r w:rsidRPr="00D1248D">
        <w:rPr>
          <w:rFonts w:ascii="Times New Roman" w:eastAsia="Times New Roman" w:hAnsi="Times New Roman" w:cs="Times New Roman"/>
          <w:kern w:val="28"/>
          <w:szCs w:val="20"/>
          <w:vertAlign w:val="superscript"/>
        </w:rPr>
        <w:footnoteReference w:id="2"/>
      </w:r>
      <w:r w:rsidRPr="00D1248D">
        <w:rPr>
          <w:rFonts w:ascii="Times New Roman" w:eastAsia="Times New Roman" w:hAnsi="Times New Roman" w:cs="Times New Roman"/>
          <w:kern w:val="28"/>
          <w:szCs w:val="20"/>
        </w:rPr>
        <w:t>. Uz šīs definīcijas balstīto laikrindu izmanto, lai novērtētu </w:t>
      </w:r>
      <w:r w:rsidRPr="00D1248D">
        <w:rPr>
          <w:rFonts w:ascii="Times New Roman" w:eastAsia="Times New Roman" w:hAnsi="Times New Roman" w:cs="Times New Roman"/>
          <w:bCs/>
          <w:kern w:val="28"/>
          <w:szCs w:val="20"/>
        </w:rPr>
        <w:t>standartizēto kredīta un IKP novirzi.</w:t>
      </w:r>
      <w:r w:rsidRPr="00D1248D">
        <w:rPr>
          <w:rFonts w:ascii="Times New Roman" w:eastAsia="Times New Roman" w:hAnsi="Times New Roman" w:cs="Times New Roman"/>
          <w:kern w:val="28"/>
          <w:szCs w:val="20"/>
        </w:rPr>
        <w:t> "Šaurā" kredīta definīcija Latvijas gadījumā ir banku kredītu vietējam privātajam nefinanšu sektoram atlikums (tas neietver sevī aizņēmumus no nebanku finanšu institūcijām). Uz šīs definīcijas balstīto laikrindu izmanto, lai novērtētu </w:t>
      </w:r>
      <w:r w:rsidRPr="00D1248D">
        <w:rPr>
          <w:rFonts w:ascii="Times New Roman" w:eastAsia="Times New Roman" w:hAnsi="Times New Roman" w:cs="Times New Roman"/>
          <w:bCs/>
          <w:kern w:val="28"/>
          <w:szCs w:val="20"/>
        </w:rPr>
        <w:t>papildus kredīta un IKP novirzi. </w:t>
      </w:r>
    </w:p>
    <w:p w:rsidR="00B05CE6" w:rsidRPr="00D1248D" w:rsidRDefault="00B05CE6" w:rsidP="00B05CE6">
      <w:pPr>
        <w:keepNext/>
        <w:keepLines/>
        <w:spacing w:before="120" w:after="0" w:line="240" w:lineRule="auto"/>
        <w:jc w:val="both"/>
        <w:outlineLvl w:val="0"/>
        <w:rPr>
          <w:rFonts w:ascii="Times New Roman" w:eastAsia="Times New Roman" w:hAnsi="Times New Roman" w:cs="Times New Roman"/>
          <w:kern w:val="28"/>
          <w:szCs w:val="20"/>
        </w:rPr>
      </w:pPr>
      <w:r w:rsidRPr="00D1248D">
        <w:rPr>
          <w:rFonts w:ascii="Times New Roman" w:eastAsia="Times New Roman" w:hAnsi="Times New Roman" w:cs="Times New Roman"/>
          <w:kern w:val="28"/>
          <w:szCs w:val="20"/>
        </w:rPr>
        <w:t>4. Latvijā izmantojot "plašo" kredītu definīciju, kredīta un IKP attiecība 2015. gada 4. ceturksnī bija 98%, bet tās standartizētā novirze bija -42%.</w:t>
      </w:r>
      <w:r w:rsidRPr="00D1248D">
        <w:rPr>
          <w:rFonts w:ascii="Times New Roman" w:eastAsia="Times New Roman" w:hAnsi="Times New Roman" w:cs="Times New Roman"/>
          <w:kern w:val="28"/>
          <w:szCs w:val="20"/>
          <w:vertAlign w:val="superscript"/>
        </w:rPr>
        <w:footnoteReference w:id="3"/>
      </w:r>
      <w:r w:rsidRPr="00D1248D">
        <w:rPr>
          <w:rFonts w:ascii="Times New Roman" w:eastAsia="Times New Roman" w:hAnsi="Times New Roman" w:cs="Times New Roman"/>
          <w:kern w:val="28"/>
          <w:szCs w:val="20"/>
        </w:rPr>
        <w:t xml:space="preserve">  Ja kredīta un IKP attiecība par 2 procentu punktiem pārsniedz ilgtermiņa tendenci, tad PKR </w:t>
      </w:r>
      <w:proofErr w:type="spellStart"/>
      <w:r w:rsidRPr="00D1248D">
        <w:rPr>
          <w:rFonts w:ascii="Times New Roman" w:eastAsia="Times New Roman" w:hAnsi="Times New Roman" w:cs="Times New Roman"/>
          <w:kern w:val="28"/>
          <w:szCs w:val="20"/>
        </w:rPr>
        <w:t>etalonnorma</w:t>
      </w:r>
      <w:proofErr w:type="spellEnd"/>
      <w:r w:rsidRPr="00D1248D">
        <w:rPr>
          <w:rFonts w:ascii="Times New Roman" w:eastAsia="Times New Roman" w:hAnsi="Times New Roman" w:cs="Times New Roman"/>
          <w:kern w:val="28"/>
          <w:szCs w:val="20"/>
        </w:rPr>
        <w:t xml:space="preserve"> lineāri  pieaug no nulles līdz augšējai robežai 2.5% apmērā no riska svērto aktīvu apjoma, kad kredīta un IKP novirze sasniedz 10 procentu punktus. Pastāvot -42% novirzei, PKR </w:t>
      </w:r>
      <w:proofErr w:type="spellStart"/>
      <w:r w:rsidRPr="00D1248D">
        <w:rPr>
          <w:rFonts w:ascii="Times New Roman" w:eastAsia="Times New Roman" w:hAnsi="Times New Roman" w:cs="Times New Roman"/>
          <w:kern w:val="28"/>
          <w:szCs w:val="20"/>
        </w:rPr>
        <w:t>etalonnorma</w:t>
      </w:r>
      <w:proofErr w:type="spellEnd"/>
      <w:r w:rsidRPr="00D1248D">
        <w:rPr>
          <w:rFonts w:ascii="Times New Roman" w:eastAsia="Times New Roman" w:hAnsi="Times New Roman" w:cs="Times New Roman"/>
          <w:kern w:val="28"/>
          <w:szCs w:val="20"/>
        </w:rPr>
        <w:t xml:space="preserve"> ir 0%.</w:t>
      </w:r>
    </w:p>
    <w:p w:rsidR="00B05CE6" w:rsidRPr="00D1248D" w:rsidRDefault="00B05CE6" w:rsidP="00B05CE6">
      <w:pPr>
        <w:keepNext/>
        <w:keepLines/>
        <w:spacing w:before="120" w:after="0" w:line="240" w:lineRule="auto"/>
        <w:jc w:val="both"/>
        <w:outlineLvl w:val="0"/>
        <w:rPr>
          <w:rFonts w:ascii="Times New Roman" w:eastAsia="Times New Roman" w:hAnsi="Times New Roman" w:cs="Times New Roman"/>
          <w:kern w:val="28"/>
          <w:szCs w:val="20"/>
        </w:rPr>
      </w:pPr>
      <w:r w:rsidRPr="00D1248D">
        <w:rPr>
          <w:rFonts w:ascii="Times New Roman" w:eastAsia="Times New Roman" w:hAnsi="Times New Roman" w:cs="Times New Roman"/>
          <w:kern w:val="28"/>
          <w:szCs w:val="20"/>
        </w:rPr>
        <w:t>5. Izmantojot "šauro" kredītu definīciju, kredīta un IKP attiecība 2016. gada 1. ceturksnī bija 44%, bet tās papildus novirze bija -32%</w:t>
      </w:r>
      <w:r w:rsidRPr="00D1248D">
        <w:rPr>
          <w:rFonts w:ascii="Times New Roman" w:eastAsia="Times New Roman" w:hAnsi="Times New Roman" w:cs="Times New Roman"/>
          <w:kern w:val="28"/>
          <w:szCs w:val="20"/>
          <w:vertAlign w:val="superscript"/>
        </w:rPr>
        <w:footnoteReference w:id="4"/>
      </w:r>
      <w:r w:rsidRPr="00D1248D">
        <w:rPr>
          <w:rFonts w:ascii="Times New Roman" w:eastAsia="Times New Roman" w:hAnsi="Times New Roman" w:cs="Times New Roman"/>
          <w:kern w:val="28"/>
          <w:szCs w:val="20"/>
        </w:rPr>
        <w:t xml:space="preserve"> , kā rezultātā uz papildus kredīta un IKP novirzi balstītā PKR </w:t>
      </w:r>
      <w:proofErr w:type="spellStart"/>
      <w:r w:rsidRPr="00D1248D">
        <w:rPr>
          <w:rFonts w:ascii="Times New Roman" w:eastAsia="Times New Roman" w:hAnsi="Times New Roman" w:cs="Times New Roman"/>
          <w:kern w:val="28"/>
          <w:szCs w:val="20"/>
        </w:rPr>
        <w:t>etalonnorma</w:t>
      </w:r>
      <w:proofErr w:type="spellEnd"/>
      <w:r w:rsidRPr="00D1248D">
        <w:rPr>
          <w:rFonts w:ascii="Times New Roman" w:eastAsia="Times New Roman" w:hAnsi="Times New Roman" w:cs="Times New Roman"/>
          <w:kern w:val="28"/>
          <w:szCs w:val="20"/>
        </w:rPr>
        <w:t xml:space="preserve"> bija 0%. Saskaņā ar Rekomendāciju par PKR orientieri tiek izvēlēta tā PKR </w:t>
      </w:r>
      <w:proofErr w:type="spellStart"/>
      <w:r w:rsidRPr="00D1248D">
        <w:rPr>
          <w:rFonts w:ascii="Times New Roman" w:eastAsia="Times New Roman" w:hAnsi="Times New Roman" w:cs="Times New Roman"/>
          <w:kern w:val="28"/>
          <w:szCs w:val="20"/>
        </w:rPr>
        <w:t>etalonnorma</w:t>
      </w:r>
      <w:proofErr w:type="spellEnd"/>
      <w:r w:rsidRPr="00D1248D">
        <w:rPr>
          <w:rFonts w:ascii="Times New Roman" w:eastAsia="Times New Roman" w:hAnsi="Times New Roman" w:cs="Times New Roman"/>
          <w:kern w:val="28"/>
          <w:szCs w:val="20"/>
        </w:rPr>
        <w:t xml:space="preserve">, kas vislabāk atspoguļo nacionālās ekonomikas īpatnības. Latvijas gadījumā PKR </w:t>
      </w:r>
      <w:proofErr w:type="spellStart"/>
      <w:r w:rsidRPr="00D1248D">
        <w:rPr>
          <w:rFonts w:ascii="Times New Roman" w:eastAsia="Times New Roman" w:hAnsi="Times New Roman" w:cs="Times New Roman"/>
          <w:kern w:val="28"/>
          <w:szCs w:val="20"/>
        </w:rPr>
        <w:t>etalonnorma</w:t>
      </w:r>
      <w:proofErr w:type="spellEnd"/>
      <w:r w:rsidRPr="00D1248D">
        <w:rPr>
          <w:rFonts w:ascii="Times New Roman" w:eastAsia="Times New Roman" w:hAnsi="Times New Roman" w:cs="Times New Roman"/>
          <w:kern w:val="28"/>
          <w:szCs w:val="20"/>
        </w:rPr>
        <w:t xml:space="preserve">, kas aprēķināta balstoties uz "šauro" kredīta definīciju sniedz pamatotākus rezultātus nekā izmantojot "plašo" kredītu definīciju. "Šaurās" definīcijas kredītu laikrindas dati ir stabilāki (tie netiek retrospektīvi koriģēti) un ir operatīvāk pieejami. Līdz ar to, Latvijas gadījumā, par PKR orientieri tiek pieņemta PKR </w:t>
      </w:r>
      <w:proofErr w:type="spellStart"/>
      <w:r w:rsidRPr="00D1248D">
        <w:rPr>
          <w:rFonts w:ascii="Times New Roman" w:eastAsia="Times New Roman" w:hAnsi="Times New Roman" w:cs="Times New Roman"/>
          <w:kern w:val="28"/>
          <w:szCs w:val="20"/>
        </w:rPr>
        <w:t>etalonnorma</w:t>
      </w:r>
      <w:proofErr w:type="spellEnd"/>
      <w:r w:rsidRPr="00D1248D">
        <w:rPr>
          <w:rFonts w:ascii="Times New Roman" w:eastAsia="Times New Roman" w:hAnsi="Times New Roman" w:cs="Times New Roman"/>
          <w:kern w:val="28"/>
          <w:szCs w:val="20"/>
        </w:rPr>
        <w:t>, kas aprēķināta no papildus kreditēšanas un IKP novirzes.</w:t>
      </w:r>
    </w:p>
    <w:p w:rsidR="00B05CE6" w:rsidRPr="00D1248D" w:rsidRDefault="00B05CE6" w:rsidP="00B05CE6">
      <w:pPr>
        <w:keepNext/>
        <w:keepLines/>
        <w:spacing w:before="120" w:after="0" w:line="240" w:lineRule="auto"/>
        <w:jc w:val="both"/>
        <w:outlineLvl w:val="0"/>
        <w:rPr>
          <w:rFonts w:ascii="Times New Roman" w:eastAsia="Times New Roman" w:hAnsi="Times New Roman" w:cs="Times New Roman"/>
          <w:kern w:val="28"/>
          <w:szCs w:val="20"/>
        </w:rPr>
      </w:pPr>
      <w:r w:rsidRPr="00D1248D">
        <w:rPr>
          <w:rFonts w:ascii="Times New Roman" w:eastAsia="Times New Roman" w:hAnsi="Times New Roman" w:cs="Times New Roman"/>
          <w:kern w:val="28"/>
          <w:szCs w:val="20"/>
        </w:rPr>
        <w:lastRenderedPageBreak/>
        <w:t xml:space="preserve">6. Kopumā, indikatori kas tiek izmantoti, nosakot </w:t>
      </w:r>
      <w:proofErr w:type="spellStart"/>
      <w:r w:rsidRPr="00D1248D">
        <w:rPr>
          <w:rFonts w:ascii="Times New Roman" w:eastAsia="Times New Roman" w:hAnsi="Times New Roman" w:cs="Times New Roman"/>
          <w:kern w:val="28"/>
          <w:szCs w:val="20"/>
        </w:rPr>
        <w:t>pretcikliskās</w:t>
      </w:r>
      <w:proofErr w:type="spellEnd"/>
      <w:r w:rsidRPr="00D1248D">
        <w:rPr>
          <w:rFonts w:ascii="Times New Roman" w:eastAsia="Times New Roman" w:hAnsi="Times New Roman" w:cs="Times New Roman"/>
          <w:kern w:val="28"/>
          <w:szCs w:val="20"/>
        </w:rPr>
        <w:t xml:space="preserve"> rezerves normu, neliecina par ciklisko sistēmisko risku pieaugumu finanšu sektorā. </w:t>
      </w:r>
    </w:p>
    <w:p w:rsidR="00B05CE6" w:rsidRPr="00D1248D" w:rsidRDefault="00B05CE6" w:rsidP="00B05CE6">
      <w:pPr>
        <w:keepNext/>
        <w:keepLines/>
        <w:spacing w:before="120" w:after="0" w:line="240" w:lineRule="auto"/>
        <w:jc w:val="both"/>
        <w:outlineLvl w:val="0"/>
        <w:rPr>
          <w:rFonts w:ascii="Times New Roman" w:eastAsia="Times New Roman" w:hAnsi="Times New Roman" w:cs="Times New Roman"/>
          <w:kern w:val="28"/>
          <w:szCs w:val="20"/>
        </w:rPr>
      </w:pPr>
      <w:r w:rsidRPr="00D1248D">
        <w:rPr>
          <w:rFonts w:ascii="Times New Roman" w:eastAsia="Times New Roman" w:hAnsi="Times New Roman" w:cs="Times New Roman"/>
          <w:kern w:val="28"/>
          <w:szCs w:val="20"/>
        </w:rPr>
        <w:t xml:space="preserve">7. 2016. gadā 1. ceturkšņa dati liecina, ka banku sektora kredīta privātajam nefinanšu sektoram atlikums turpina samazināties (par -4.2% pret 2015.gada 1. ceturksni). Līdz ar kredīta atlikuma samazinājumu kritās arī kredīta un IKP attiecība – attiecīgi no 47% uz 44%. </w:t>
      </w:r>
    </w:p>
    <w:p w:rsidR="00B05CE6" w:rsidRPr="00D1248D" w:rsidRDefault="00B05CE6" w:rsidP="00B05CE6">
      <w:pPr>
        <w:keepNext/>
        <w:keepLines/>
        <w:spacing w:before="120" w:after="0" w:line="240" w:lineRule="auto"/>
        <w:jc w:val="both"/>
        <w:outlineLvl w:val="0"/>
        <w:rPr>
          <w:rFonts w:ascii="Times New Roman" w:eastAsia="Times New Roman" w:hAnsi="Times New Roman" w:cs="Times New Roman"/>
          <w:kern w:val="28"/>
          <w:szCs w:val="20"/>
        </w:rPr>
      </w:pPr>
      <w:r w:rsidRPr="00D1248D">
        <w:rPr>
          <w:rFonts w:ascii="Times New Roman" w:eastAsia="Times New Roman" w:hAnsi="Times New Roman" w:cs="Times New Roman"/>
          <w:kern w:val="28"/>
          <w:szCs w:val="20"/>
        </w:rPr>
        <w:t xml:space="preserve">8. Nekustamā īpašuma cenas 2015. gadā mēreni pieauga, mājokļu cenu indeksam gada laikā pieaugot par 6%, taču tās joprojām atrodas par 36% zemāk salīdzinot ar maksimālo līmeni, kas bija sasniegts 2008. gadā. Mājokļa cenas un darījumu skaits nekustamā īpašuma nozarē turpināja mēreni pieaugt arī 2016. gadā, </w:t>
      </w:r>
      <w:proofErr w:type="gramStart"/>
      <w:r w:rsidRPr="00D1248D">
        <w:rPr>
          <w:rFonts w:ascii="Times New Roman" w:eastAsia="Times New Roman" w:hAnsi="Times New Roman" w:cs="Times New Roman"/>
          <w:kern w:val="28"/>
          <w:szCs w:val="20"/>
        </w:rPr>
        <w:t>uzlabojoties kredītu pieejamībai</w:t>
      </w:r>
      <w:proofErr w:type="gramEnd"/>
      <w:r w:rsidRPr="00D1248D">
        <w:rPr>
          <w:rFonts w:ascii="Times New Roman" w:eastAsia="Times New Roman" w:hAnsi="Times New Roman" w:cs="Times New Roman"/>
          <w:kern w:val="28"/>
          <w:szCs w:val="20"/>
        </w:rPr>
        <w:t xml:space="preserve"> ko ietekmēja gan darba samaksas kāpums, gan valsts atbalsta programma mājokļa iegādei.</w:t>
      </w:r>
    </w:p>
    <w:p w:rsidR="00B05CE6" w:rsidRPr="00D1248D" w:rsidRDefault="00B05CE6" w:rsidP="00B05CE6">
      <w:pPr>
        <w:keepNext/>
        <w:keepLines/>
        <w:spacing w:before="120" w:after="0" w:line="240" w:lineRule="auto"/>
        <w:jc w:val="both"/>
        <w:outlineLvl w:val="0"/>
        <w:rPr>
          <w:rFonts w:ascii="Times New Roman" w:eastAsia="Times New Roman" w:hAnsi="Times New Roman" w:cs="Times New Roman"/>
          <w:kern w:val="28"/>
          <w:szCs w:val="20"/>
        </w:rPr>
      </w:pPr>
      <w:r w:rsidRPr="00D1248D">
        <w:rPr>
          <w:rFonts w:ascii="Times New Roman" w:eastAsia="Times New Roman" w:hAnsi="Times New Roman" w:cs="Times New Roman"/>
          <w:kern w:val="28"/>
          <w:szCs w:val="20"/>
        </w:rPr>
        <w:t xml:space="preserve">9. Samazinoties nefinanšu sabiedrību un mājsaimniecību parāda slogam, krītas arī to parāda apkalpošanas izdevumi – gada procentu maksājumu attiecība pret IKP samazinājās no 5.5% 2009.gada 2. ceturksnī līdz 1.5% 2015. gada 4. ceturksnī. </w:t>
      </w:r>
    </w:p>
    <w:p w:rsidR="00B05CE6" w:rsidRPr="00D1248D" w:rsidRDefault="00B05CE6" w:rsidP="00B05CE6">
      <w:pPr>
        <w:keepNext/>
        <w:keepLines/>
        <w:spacing w:before="120" w:after="0" w:line="240" w:lineRule="auto"/>
        <w:jc w:val="both"/>
        <w:outlineLvl w:val="0"/>
        <w:rPr>
          <w:rFonts w:ascii="Times New Roman" w:eastAsia="Times New Roman" w:hAnsi="Times New Roman" w:cs="Times New Roman"/>
          <w:kern w:val="28"/>
          <w:szCs w:val="20"/>
        </w:rPr>
      </w:pPr>
      <w:r w:rsidRPr="00D1248D">
        <w:rPr>
          <w:rFonts w:ascii="Times New Roman" w:eastAsia="Times New Roman" w:hAnsi="Times New Roman" w:cs="Times New Roman"/>
          <w:kern w:val="28"/>
          <w:szCs w:val="20"/>
        </w:rPr>
        <w:t xml:space="preserve">10. Latvijas ekonomiskais pieaugums 2015. gadā saglabājās mērens, IKP pieaugot par 2.6%. 2015. gada 4. ceturksnī un 2016. gada 1. ceturksnī tautsaimniecības izaugsme ievērojami palēninājās, liecinot par augstu nenoteiktību un riskiem tautsaimniecības turpmākai izaugsmei saistībā ar ārējiem faktoriem un vāju banku kreditēšanu. </w:t>
      </w:r>
    </w:p>
    <w:p w:rsidR="00B05CE6" w:rsidRPr="00D1248D" w:rsidRDefault="00B05CE6" w:rsidP="00B05CE6">
      <w:pPr>
        <w:keepNext/>
        <w:keepLines/>
        <w:spacing w:before="120" w:after="0" w:line="240" w:lineRule="auto"/>
        <w:jc w:val="both"/>
        <w:outlineLvl w:val="0"/>
        <w:rPr>
          <w:rFonts w:ascii="Times New Roman" w:eastAsia="Times New Roman" w:hAnsi="Times New Roman" w:cs="Times New Roman"/>
          <w:kern w:val="28"/>
          <w:szCs w:val="20"/>
        </w:rPr>
      </w:pPr>
      <w:r w:rsidRPr="00D1248D">
        <w:rPr>
          <w:rFonts w:ascii="Times New Roman" w:eastAsia="Times New Roman" w:hAnsi="Times New Roman" w:cs="Times New Roman"/>
          <w:kern w:val="28"/>
          <w:szCs w:val="20"/>
        </w:rPr>
        <w:t xml:space="preserve">11. 2015.gadā, kā arī iepriekšējos gados, privātais patēriņš turpināja virzīt tautsaimniecības izaugsmi: pieaugot par 3.1% tas nodrošināja 2.0 procentu punktu IKP pieaugumam (no 2.6%). Privātā patēriņa pieaugumu veicināja ievērojams reālās darba samaksas pieaugums. Nostiprinoties iedzīvotāju pirktspējai, sagaidāms, ka arī 2016. gadā privātais patēriņš būs galvenais ekonomiskā pieauguma virzītājs. </w:t>
      </w:r>
    </w:p>
    <w:p w:rsidR="00B05CE6" w:rsidRPr="00D1248D" w:rsidRDefault="00B05CE6" w:rsidP="00B05CE6">
      <w:pPr>
        <w:keepNext/>
        <w:keepLines/>
        <w:spacing w:before="120" w:after="0" w:line="240" w:lineRule="auto"/>
        <w:jc w:val="both"/>
        <w:outlineLvl w:val="0"/>
        <w:rPr>
          <w:rFonts w:ascii="Times New Roman" w:eastAsia="Times New Roman" w:hAnsi="Times New Roman" w:cs="Times New Roman"/>
          <w:kern w:val="28"/>
          <w:szCs w:val="20"/>
        </w:rPr>
      </w:pPr>
      <w:r w:rsidRPr="00D1248D">
        <w:rPr>
          <w:rFonts w:ascii="Times New Roman" w:eastAsia="Times New Roman" w:hAnsi="Times New Roman" w:cs="Times New Roman"/>
          <w:kern w:val="28"/>
          <w:szCs w:val="20"/>
        </w:rPr>
        <w:t xml:space="preserve">12. Bezdarba līmenis 2015. gadā turpināja samazināties, taču tā samazinājuma temps kļuva lēnāks. Inflācijas līmenis bija 0.2%, un tā sarukumu salīdzinājumā ar iepriekšējo gadu galvenokārt radīja energoresursu un pārtikas preču cenu kritums pasaulē. </w:t>
      </w:r>
    </w:p>
    <w:p w:rsidR="00B05CE6" w:rsidRPr="00D1248D" w:rsidRDefault="00B05CE6" w:rsidP="00B05CE6">
      <w:pPr>
        <w:keepNext/>
        <w:keepLines/>
        <w:spacing w:before="120" w:after="0" w:line="240" w:lineRule="auto"/>
        <w:jc w:val="both"/>
        <w:outlineLvl w:val="0"/>
        <w:rPr>
          <w:rFonts w:ascii="Times New Roman" w:eastAsia="Times New Roman" w:hAnsi="Times New Roman" w:cs="Times New Roman"/>
          <w:kern w:val="28"/>
          <w:szCs w:val="20"/>
        </w:rPr>
      </w:pPr>
      <w:r w:rsidRPr="00D1248D">
        <w:rPr>
          <w:rFonts w:ascii="Times New Roman" w:eastAsia="Times New Roman" w:hAnsi="Times New Roman" w:cs="Times New Roman"/>
          <w:kern w:val="28"/>
          <w:szCs w:val="20"/>
        </w:rPr>
        <w:t>13. Banku sektora kapitalizācija un ienesīgums saglabājas augsti: 2016.gada 1. ceturkšņa beigās ROE bija 11.5% un pirmā līmeņa pamatkapitāla pietiekamības rādītājs bija 17%.</w:t>
      </w:r>
    </w:p>
    <w:p w:rsidR="00B05CE6" w:rsidRPr="00D1248D" w:rsidRDefault="00B05CE6" w:rsidP="00B05CE6">
      <w:pPr>
        <w:keepNext/>
        <w:keepLines/>
        <w:spacing w:before="120" w:after="0" w:line="240" w:lineRule="auto"/>
        <w:jc w:val="both"/>
        <w:outlineLvl w:val="0"/>
        <w:rPr>
          <w:rFonts w:ascii="Times New Roman" w:eastAsia="Times New Roman" w:hAnsi="Times New Roman" w:cs="Times New Roman"/>
          <w:kern w:val="28"/>
          <w:szCs w:val="20"/>
        </w:rPr>
      </w:pPr>
      <w:r w:rsidRPr="00D1248D">
        <w:rPr>
          <w:rFonts w:ascii="Times New Roman" w:eastAsia="Times New Roman" w:hAnsi="Times New Roman" w:cs="Times New Roman"/>
          <w:kern w:val="28"/>
          <w:szCs w:val="20"/>
        </w:rPr>
        <w:t>14. Ņemot vērā augstākminētos apsvērumus, Komisija nosaka PKR normu 0% apmērā. Saskaņā ar pašreizējām kreditēšanas un IKP izaugsmes tempu prognozēm, nākamo divu gadu laikā nav paredzama nepieciešamība paaugstināt PKR. </w:t>
      </w:r>
    </w:p>
    <w:p w:rsidR="00E759B3" w:rsidRDefault="00B05CE6" w:rsidP="00554011">
      <w:pPr>
        <w:keepNext/>
        <w:keepLines/>
        <w:spacing w:before="120" w:after="0" w:line="240" w:lineRule="auto"/>
        <w:jc w:val="both"/>
        <w:outlineLvl w:val="0"/>
        <w:rPr>
          <w:rFonts w:ascii="Times New Roman" w:eastAsia="Times New Roman" w:hAnsi="Times New Roman" w:cs="Times New Roman"/>
          <w:kern w:val="28"/>
          <w:szCs w:val="20"/>
        </w:rPr>
      </w:pPr>
      <w:r w:rsidRPr="00D1248D">
        <w:rPr>
          <w:rFonts w:ascii="Times New Roman" w:eastAsia="Times New Roman" w:hAnsi="Times New Roman" w:cs="Times New Roman"/>
          <w:kern w:val="28"/>
          <w:szCs w:val="20"/>
        </w:rPr>
        <w:t xml:space="preserve">15. Komisija 2016. gada 11. jūnijā nosūtīja pārējiem </w:t>
      </w:r>
      <w:proofErr w:type="spellStart"/>
      <w:r w:rsidRPr="00D1248D">
        <w:rPr>
          <w:rFonts w:ascii="Times New Roman" w:eastAsia="Times New Roman" w:hAnsi="Times New Roman" w:cs="Times New Roman"/>
          <w:kern w:val="28"/>
          <w:szCs w:val="20"/>
        </w:rPr>
        <w:t>Makrouzraudzības</w:t>
      </w:r>
      <w:proofErr w:type="spellEnd"/>
      <w:r w:rsidRPr="00D1248D">
        <w:rPr>
          <w:rFonts w:ascii="Times New Roman" w:eastAsia="Times New Roman" w:hAnsi="Times New Roman" w:cs="Times New Roman"/>
          <w:kern w:val="28"/>
          <w:szCs w:val="20"/>
        </w:rPr>
        <w:t xml:space="preserve"> padomes  dalībniekiem (Latvijas Bankai un Finanšu ministrijai) vēstuli par nodomu noteikt PKR normu 0% apmērā; no abām institūcijām tika saņemta atbilde, ka nav iebildumu pret šādu nodomu. </w:t>
      </w:r>
      <w:bookmarkEnd w:id="0"/>
    </w:p>
    <w:p w:rsidR="00A63FA3" w:rsidRPr="00B05CE6" w:rsidRDefault="00A63FA3" w:rsidP="00554011">
      <w:pPr>
        <w:keepNext/>
        <w:keepLines/>
        <w:spacing w:before="120" w:after="0" w:line="240" w:lineRule="auto"/>
        <w:jc w:val="both"/>
        <w:outlineLvl w:val="0"/>
      </w:pPr>
    </w:p>
    <w:sectPr w:rsidR="00A63FA3" w:rsidRPr="00B05CE6">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7B87" w:rsidRDefault="00127B87" w:rsidP="0032368D">
      <w:pPr>
        <w:spacing w:after="0" w:line="240" w:lineRule="auto"/>
      </w:pPr>
      <w:r>
        <w:separator/>
      </w:r>
    </w:p>
  </w:endnote>
  <w:endnote w:type="continuationSeparator" w:id="0">
    <w:p w:rsidR="00127B87" w:rsidRDefault="00127B87" w:rsidP="003236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7B87" w:rsidRDefault="00127B87" w:rsidP="0032368D">
      <w:pPr>
        <w:spacing w:after="0" w:line="240" w:lineRule="auto"/>
      </w:pPr>
      <w:r>
        <w:separator/>
      </w:r>
    </w:p>
  </w:footnote>
  <w:footnote w:type="continuationSeparator" w:id="0">
    <w:p w:rsidR="00127B87" w:rsidRDefault="00127B87" w:rsidP="0032368D">
      <w:pPr>
        <w:spacing w:after="0" w:line="240" w:lineRule="auto"/>
      </w:pPr>
      <w:r>
        <w:continuationSeparator/>
      </w:r>
    </w:p>
  </w:footnote>
  <w:footnote w:id="1">
    <w:p w:rsidR="00B05CE6" w:rsidRPr="00052106" w:rsidRDefault="00B05CE6" w:rsidP="00B05CE6">
      <w:pPr>
        <w:pStyle w:val="FootnoteText"/>
      </w:pPr>
      <w:r>
        <w:rPr>
          <w:rStyle w:val="FootnoteReference"/>
        </w:rPr>
        <w:footnoteRef/>
      </w:r>
      <w:r>
        <w:t xml:space="preserve"> </w:t>
      </w:r>
      <w:r w:rsidRPr="00052106">
        <w:t xml:space="preserve">Eiropas Sistēmisko risku kolēģijas 2014. gada 18. jūnija ieteikums par norādījumiem </w:t>
      </w:r>
      <w:proofErr w:type="spellStart"/>
      <w:r w:rsidRPr="00052106">
        <w:t>pretciklisko</w:t>
      </w:r>
      <w:proofErr w:type="spellEnd"/>
      <w:r w:rsidRPr="00052106">
        <w:t xml:space="preserve"> kapitāla rezervju normas noteikšanai (ESRK/2014/1).</w:t>
      </w:r>
    </w:p>
    <w:p w:rsidR="00B05CE6" w:rsidRDefault="00B05CE6" w:rsidP="00B05CE6">
      <w:pPr>
        <w:pStyle w:val="FootnoteText"/>
      </w:pPr>
    </w:p>
  </w:footnote>
  <w:footnote w:id="2">
    <w:p w:rsidR="00B05CE6" w:rsidRPr="004209EF" w:rsidRDefault="00B05CE6" w:rsidP="00B05CE6">
      <w:pPr>
        <w:pStyle w:val="FootnoteText"/>
      </w:pPr>
      <w:r>
        <w:rPr>
          <w:rStyle w:val="FootnoteReference"/>
        </w:rPr>
        <w:footnoteRef/>
      </w:r>
      <w:r>
        <w:t xml:space="preserve"> </w:t>
      </w:r>
      <w:r w:rsidRPr="004209EF">
        <w:t xml:space="preserve">Ietver nefinanšu </w:t>
      </w:r>
      <w:r>
        <w:t>uzņēmumus</w:t>
      </w:r>
      <w:r w:rsidRPr="004209EF">
        <w:t xml:space="preserve">, mājsaimniecības un mājsaimniecības apkalpojošās bezpeļņas institūcijas. Kredīta atlikums atspoguļo ne tikai privātā sektora saistības pret kredītiestādēm, bet arī aizņēmumus no nebanku finanšu institūcijām. </w:t>
      </w:r>
    </w:p>
    <w:p w:rsidR="00B05CE6" w:rsidRDefault="00B05CE6" w:rsidP="00B05CE6">
      <w:pPr>
        <w:pStyle w:val="FootnoteText"/>
      </w:pPr>
    </w:p>
  </w:footnote>
  <w:footnote w:id="3">
    <w:p w:rsidR="00B05CE6" w:rsidRPr="000D0311" w:rsidRDefault="00B05CE6" w:rsidP="00B05CE6">
      <w:pPr>
        <w:pStyle w:val="FootnoteText"/>
      </w:pPr>
      <w:r>
        <w:rPr>
          <w:rStyle w:val="FootnoteReference"/>
        </w:rPr>
        <w:footnoteRef/>
      </w:r>
      <w:r>
        <w:t xml:space="preserve"> </w:t>
      </w:r>
      <w:r w:rsidRPr="000D0311">
        <w:t xml:space="preserve">Kredīta laikrinda no 1995. gada 4. ceturkšņa līdz 2015. gada </w:t>
      </w:r>
      <w:r>
        <w:t>4</w:t>
      </w:r>
      <w:r w:rsidRPr="000D0311">
        <w:t>. ceturksnim</w:t>
      </w:r>
    </w:p>
    <w:p w:rsidR="00B05CE6" w:rsidRDefault="00B05CE6" w:rsidP="00B05CE6">
      <w:pPr>
        <w:pStyle w:val="FootnoteText"/>
      </w:pPr>
    </w:p>
  </w:footnote>
  <w:footnote w:id="4">
    <w:p w:rsidR="00B05CE6" w:rsidRPr="004A6AA0" w:rsidRDefault="00B05CE6" w:rsidP="00B05CE6">
      <w:pPr>
        <w:pStyle w:val="FootnoteText"/>
      </w:pPr>
      <w:r>
        <w:rPr>
          <w:rStyle w:val="FootnoteReference"/>
        </w:rPr>
        <w:footnoteRef/>
      </w:r>
      <w:r>
        <w:t xml:space="preserve"> </w:t>
      </w:r>
      <w:r w:rsidRPr="004A6AA0">
        <w:t>Kredīta laikrinda no 1</w:t>
      </w:r>
      <w:r>
        <w:t>999. gada 1. ceturkšņa līdz 2016</w:t>
      </w:r>
      <w:r w:rsidRPr="004A6AA0">
        <w:t xml:space="preserve">. gada </w:t>
      </w:r>
      <w:r>
        <w:t>1</w:t>
      </w:r>
      <w:r w:rsidRPr="004A6AA0">
        <w:t>. ceturksnim</w:t>
      </w:r>
    </w:p>
    <w:p w:rsidR="00B05CE6" w:rsidRDefault="00B05CE6" w:rsidP="00B05CE6">
      <w:pPr>
        <w:pStyle w:val="FootnoteText"/>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368D"/>
    <w:rsid w:val="000219CE"/>
    <w:rsid w:val="000C5528"/>
    <w:rsid w:val="00127B87"/>
    <w:rsid w:val="00134E43"/>
    <w:rsid w:val="00174F2D"/>
    <w:rsid w:val="0019182F"/>
    <w:rsid w:val="001B4A29"/>
    <w:rsid w:val="001E4DEF"/>
    <w:rsid w:val="001F3CBB"/>
    <w:rsid w:val="00257798"/>
    <w:rsid w:val="002A6B0A"/>
    <w:rsid w:val="0032368D"/>
    <w:rsid w:val="00342C71"/>
    <w:rsid w:val="003811B7"/>
    <w:rsid w:val="003950AB"/>
    <w:rsid w:val="003A788B"/>
    <w:rsid w:val="003D03F5"/>
    <w:rsid w:val="00445742"/>
    <w:rsid w:val="00483487"/>
    <w:rsid w:val="004A6271"/>
    <w:rsid w:val="004F663E"/>
    <w:rsid w:val="0050109D"/>
    <w:rsid w:val="005237C0"/>
    <w:rsid w:val="00554011"/>
    <w:rsid w:val="00597727"/>
    <w:rsid w:val="005C192C"/>
    <w:rsid w:val="005E0EC5"/>
    <w:rsid w:val="005E27EE"/>
    <w:rsid w:val="005F6B51"/>
    <w:rsid w:val="00604075"/>
    <w:rsid w:val="0065127E"/>
    <w:rsid w:val="006A2EA8"/>
    <w:rsid w:val="006D5AC3"/>
    <w:rsid w:val="00732145"/>
    <w:rsid w:val="007F27EB"/>
    <w:rsid w:val="008018ED"/>
    <w:rsid w:val="008045C6"/>
    <w:rsid w:val="00823AC7"/>
    <w:rsid w:val="00836291"/>
    <w:rsid w:val="0091533F"/>
    <w:rsid w:val="009654B7"/>
    <w:rsid w:val="00970B53"/>
    <w:rsid w:val="00A06DCF"/>
    <w:rsid w:val="00A37284"/>
    <w:rsid w:val="00A61938"/>
    <w:rsid w:val="00A63FA3"/>
    <w:rsid w:val="00A65FB4"/>
    <w:rsid w:val="00AB6A72"/>
    <w:rsid w:val="00AC3B42"/>
    <w:rsid w:val="00B05CE6"/>
    <w:rsid w:val="00B14758"/>
    <w:rsid w:val="00B2143A"/>
    <w:rsid w:val="00B228F2"/>
    <w:rsid w:val="00BC61BA"/>
    <w:rsid w:val="00BC7DA9"/>
    <w:rsid w:val="00C22E6B"/>
    <w:rsid w:val="00C4158C"/>
    <w:rsid w:val="00C41E6B"/>
    <w:rsid w:val="00C51304"/>
    <w:rsid w:val="00CE2367"/>
    <w:rsid w:val="00D07221"/>
    <w:rsid w:val="00D121EA"/>
    <w:rsid w:val="00D1248D"/>
    <w:rsid w:val="00D43F90"/>
    <w:rsid w:val="00DC5BC8"/>
    <w:rsid w:val="00DD7B69"/>
    <w:rsid w:val="00DF45EE"/>
    <w:rsid w:val="00E6384B"/>
    <w:rsid w:val="00E6583E"/>
    <w:rsid w:val="00E759B3"/>
    <w:rsid w:val="00E76600"/>
    <w:rsid w:val="00E9329D"/>
    <w:rsid w:val="00EA39EE"/>
    <w:rsid w:val="00ED205B"/>
    <w:rsid w:val="00EE74AB"/>
    <w:rsid w:val="00F40422"/>
    <w:rsid w:val="00F40C71"/>
    <w:rsid w:val="00F85351"/>
    <w:rsid w:val="00FC3F80"/>
    <w:rsid w:val="00FE33C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32368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2368D"/>
    <w:rPr>
      <w:sz w:val="20"/>
      <w:szCs w:val="20"/>
    </w:rPr>
  </w:style>
  <w:style w:type="character" w:styleId="FootnoteReference">
    <w:name w:val="footnote reference"/>
    <w:rsid w:val="0032368D"/>
    <w:rPr>
      <w:rFonts w:cs="Times New Roman"/>
      <w:vertAlign w:val="superscript"/>
    </w:rPr>
  </w:style>
  <w:style w:type="paragraph" w:styleId="BalloonText">
    <w:name w:val="Balloon Text"/>
    <w:basedOn w:val="Normal"/>
    <w:link w:val="BalloonTextChar"/>
    <w:uiPriority w:val="99"/>
    <w:semiHidden/>
    <w:unhideWhenUsed/>
    <w:rsid w:val="00DC5B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5BC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32368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2368D"/>
    <w:rPr>
      <w:sz w:val="20"/>
      <w:szCs w:val="20"/>
    </w:rPr>
  </w:style>
  <w:style w:type="character" w:styleId="FootnoteReference">
    <w:name w:val="footnote reference"/>
    <w:rsid w:val="0032368D"/>
    <w:rPr>
      <w:rFonts w:cs="Times New Roman"/>
      <w:vertAlign w:val="superscript"/>
    </w:rPr>
  </w:style>
  <w:style w:type="paragraph" w:styleId="BalloonText">
    <w:name w:val="Balloon Text"/>
    <w:basedOn w:val="Normal"/>
    <w:link w:val="BalloonTextChar"/>
    <w:uiPriority w:val="99"/>
    <w:semiHidden/>
    <w:unhideWhenUsed/>
    <w:rsid w:val="00DC5B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5BC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1381</TotalTime>
  <Pages>2</Pages>
  <Words>3612</Words>
  <Characters>2059</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Zubkova</dc:creator>
  <cp:lastModifiedBy>Jelena Zubkova</cp:lastModifiedBy>
  <cp:revision>50</cp:revision>
  <cp:lastPrinted>2016-07-21T10:31:00Z</cp:lastPrinted>
  <dcterms:created xsi:type="dcterms:W3CDTF">2015-07-16T14:37:00Z</dcterms:created>
  <dcterms:modified xsi:type="dcterms:W3CDTF">2016-07-21T11:19:00Z</dcterms:modified>
</cp:coreProperties>
</file>