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52EEE" w14:textId="77777777" w:rsidR="001126CB" w:rsidRDefault="001126CB" w:rsidP="0089742C">
      <w:pPr>
        <w:spacing w:line="160" w:lineRule="atLeast"/>
        <w:ind w:left="720"/>
        <w:jc w:val="right"/>
        <w:rPr>
          <w:rFonts w:cs="Arial"/>
          <w:b/>
          <w:bCs/>
          <w:szCs w:val="20"/>
          <w:lang w:val="en-US"/>
        </w:rPr>
      </w:pPr>
    </w:p>
    <w:p w14:paraId="20B45E23" w14:textId="2071AAD9" w:rsidR="002E224B" w:rsidRPr="0087216D" w:rsidRDefault="002E224B" w:rsidP="002E224B">
      <w:pPr>
        <w:pStyle w:val="DocTitle"/>
        <w:tabs>
          <w:tab w:val="clear" w:pos="9356"/>
          <w:tab w:val="right" w:pos="9072"/>
        </w:tabs>
        <w:spacing w:line="240" w:lineRule="auto"/>
        <w:rPr>
          <w:rFonts w:ascii="Arial" w:hAnsi="Arial" w:cs="Arial"/>
          <w:sz w:val="20"/>
          <w:szCs w:val="20"/>
        </w:rPr>
      </w:pPr>
    </w:p>
    <w:p w14:paraId="177B647D" w14:textId="539218E6" w:rsidR="00A25FA2" w:rsidRPr="0089742C" w:rsidRDefault="00A25FA2" w:rsidP="00A25FA2">
      <w:pPr>
        <w:spacing w:line="240" w:lineRule="auto"/>
        <w:jc w:val="center"/>
        <w:rPr>
          <w:rFonts w:cs="Arial"/>
          <w:b/>
          <w:szCs w:val="20"/>
        </w:rPr>
      </w:pPr>
      <w:r>
        <w:rPr>
          <w:b/>
        </w:rPr>
        <w:t>Norādījumi par mazāk nozīmīgo iestāžu ienākumus nenesošo riska darījumu seguma veidnes aizpildīšanu</w:t>
      </w:r>
    </w:p>
    <w:p w14:paraId="73CADFF5" w14:textId="77777777" w:rsidR="004E5558" w:rsidRPr="0089742C" w:rsidRDefault="004E5558" w:rsidP="00BF4A86">
      <w:pPr>
        <w:pStyle w:val="ECBBodyText"/>
        <w:rPr>
          <w:rFonts w:eastAsia="Arial" w:cs="Arial"/>
          <w:szCs w:val="20"/>
        </w:rPr>
      </w:pPr>
    </w:p>
    <w:p w14:paraId="48FE9DF5" w14:textId="77777777" w:rsidR="00A25FA2" w:rsidRDefault="00A25FA2" w:rsidP="00A25FA2">
      <w:pPr>
        <w:pStyle w:val="Heading1"/>
        <w:tabs>
          <w:tab w:val="num" w:pos="567"/>
          <w:tab w:val="left" w:pos="851"/>
          <w:tab w:val="right" w:pos="9356"/>
        </w:tabs>
        <w:spacing w:before="360" w:line="360" w:lineRule="auto"/>
        <w:ind w:left="567" w:hanging="567"/>
        <w:jc w:val="both"/>
        <w:rPr>
          <w:rFonts w:cs="Arial"/>
          <w:sz w:val="20"/>
          <w:szCs w:val="20"/>
        </w:rPr>
      </w:pPr>
      <w:r>
        <w:rPr>
          <w:sz w:val="20"/>
        </w:rPr>
        <w:t>Vispārīgie norādījumi</w:t>
      </w:r>
    </w:p>
    <w:p w14:paraId="706B4BAB" w14:textId="0725B891" w:rsidR="003D3877" w:rsidRPr="0087216D" w:rsidRDefault="003D3877" w:rsidP="003D3877">
      <w:pPr>
        <w:pStyle w:val="ECBBodyText"/>
        <w:rPr>
          <w:rFonts w:cs="Arial"/>
          <w:szCs w:val="20"/>
        </w:rPr>
      </w:pPr>
      <w:r>
        <w:t xml:space="preserve">Ienākumus nenesošo riska darījumu seguma veidne ietver uzraudzības pārskatus, kas jāsniedz par ienākumus nenesošiem riska darījumiem (INRD), lai aprēķinātu iespējamo iztrūkumu salīdzinājumā ar uzraudzības seguma gaidām. Šī veidne attiecas tikai uz riska darījumiem, kuri radušies pirms 2019. gada 26. aprīļa un uz kuriem neattiecas CRR nosacījumi attiecībā uz zaudējumu seguma minimumu ienākumus nenesošiem riska darījumiem. </w:t>
      </w:r>
    </w:p>
    <w:p w14:paraId="5F42DDD3" w14:textId="35D1B2E7" w:rsidR="003D3877" w:rsidRPr="0087216D" w:rsidRDefault="00DB7CE2" w:rsidP="003D3877">
      <w:pPr>
        <w:jc w:val="both"/>
        <w:rPr>
          <w:rFonts w:cs="Arial"/>
          <w:szCs w:val="20"/>
        </w:rPr>
      </w:pPr>
      <w:r>
        <w:t>Uzraudzības seguma gaidas un iztrūkum</w:t>
      </w:r>
      <w:r w:rsidR="00026BF9">
        <w:t>a</w:t>
      </w:r>
      <w:r>
        <w:t xml:space="preserve"> aprēķināšana jāpiemēro riska darījumu līmenī, t. i., iztrūkumu nav atļauts kompensēt ar citu riska darījumu un attiecīgi arī citu grupas iestāžu seguma pārpalikumu.</w:t>
      </w:r>
    </w:p>
    <w:p w14:paraId="2344C77D" w14:textId="4F513783" w:rsidR="003D3877" w:rsidRPr="0087216D" w:rsidRDefault="003D3877" w:rsidP="003D3877">
      <w:pPr>
        <w:jc w:val="both"/>
        <w:rPr>
          <w:rFonts w:cs="Arial"/>
          <w:szCs w:val="20"/>
          <w:u w:val="single"/>
        </w:rPr>
      </w:pPr>
      <w:r>
        <w:rPr>
          <w:u w:val="single"/>
        </w:rPr>
        <w:t>Veidne jāsagatavo konsolidētā līmenī, tādējādi veicinot uzraudzības gaidu konsekventu piemērošanu visās grupas iestādēs un ģeogrāfiskajās zonās.</w:t>
      </w:r>
    </w:p>
    <w:p w14:paraId="20A5C61A" w14:textId="6213615B" w:rsidR="003D3877" w:rsidRPr="0087216D" w:rsidRDefault="003D3877" w:rsidP="003D3877">
      <w:pPr>
        <w:pStyle w:val="ECBBodyText"/>
        <w:rPr>
          <w:rFonts w:cs="Arial"/>
          <w:szCs w:val="20"/>
        </w:rPr>
      </w:pPr>
      <w:r>
        <w:t>Pārskatu veido divas lapas:</w:t>
      </w:r>
    </w:p>
    <w:p w14:paraId="032155CB" w14:textId="6D1F2A6C" w:rsidR="004E5558" w:rsidRPr="0089742C" w:rsidRDefault="004E5558" w:rsidP="00BF4A86">
      <w:pPr>
        <w:pStyle w:val="numberedparagraph"/>
        <w:ind w:left="568"/>
        <w:rPr>
          <w:rFonts w:ascii="Arial" w:hAnsi="Arial" w:cs="Arial"/>
          <w:sz w:val="20"/>
          <w:szCs w:val="20"/>
        </w:rPr>
      </w:pPr>
      <w:r>
        <w:rPr>
          <w:rFonts w:ascii="Arial" w:hAnsi="Arial"/>
          <w:sz w:val="20"/>
        </w:rPr>
        <w:t>Ietvertie INRD</w:t>
      </w:r>
    </w:p>
    <w:p w14:paraId="58EC07F5" w14:textId="11E21488" w:rsidR="00123150" w:rsidRDefault="004E5558" w:rsidP="008800FC">
      <w:pPr>
        <w:widowControl w:val="0"/>
        <w:tabs>
          <w:tab w:val="left" w:pos="567"/>
          <w:tab w:val="left" w:pos="1134"/>
        </w:tabs>
        <w:autoSpaceDE w:val="0"/>
        <w:autoSpaceDN w:val="0"/>
        <w:adjustRightInd w:val="0"/>
        <w:spacing w:line="340" w:lineRule="exact"/>
        <w:ind w:left="567"/>
        <w:jc w:val="both"/>
        <w:rPr>
          <w:rFonts w:cs="Arial"/>
          <w:szCs w:val="20"/>
        </w:rPr>
      </w:pPr>
      <w:r>
        <w:t xml:space="preserve">Šajā tabulā parādīts iztrūkums salīdzinājumā ar gaidām tiem INRD, kuri radušies pirms 2019. gada 26. aprīļa un uz kuriem neattiecas Regulas (ES) 2019/630 nosacījumi attiecībā uz zaudējumu seguma minimumu ienākumus nenesošiem riska darījumiem. Tradicionālās vai sintētiskās </w:t>
      </w:r>
      <w:proofErr w:type="spellStart"/>
      <w:r>
        <w:t>vērtspapīrošanas</w:t>
      </w:r>
      <w:proofErr w:type="spellEnd"/>
      <w:r>
        <w:t xml:space="preserve"> pamatā esošie riska darījumi netiek ietverti, ja šie riska darījumi atbilst vienam no šādiem nosacījumiem:</w:t>
      </w:r>
    </w:p>
    <w:p w14:paraId="71FA2090" w14:textId="17E43E85" w:rsidR="00123150" w:rsidRDefault="00123150" w:rsidP="00123150">
      <w:pPr>
        <w:pStyle w:val="Paragraphs"/>
        <w:numPr>
          <w:ilvl w:val="0"/>
          <w:numId w:val="41"/>
        </w:numPr>
        <w:tabs>
          <w:tab w:val="clear" w:pos="9073"/>
          <w:tab w:val="left" w:pos="1701"/>
        </w:tabs>
        <w:spacing w:before="60" w:after="60" w:line="340" w:lineRule="exact"/>
        <w:ind w:left="1134" w:hanging="567"/>
        <w:rPr>
          <w:rFonts w:ascii="Arial" w:hAnsi="Arial" w:cs="Arial"/>
          <w:sz w:val="20"/>
          <w:szCs w:val="20"/>
        </w:rPr>
      </w:pPr>
      <w:r>
        <w:rPr>
          <w:rFonts w:ascii="Arial" w:hAnsi="Arial"/>
          <w:sz w:val="20"/>
        </w:rPr>
        <w:t xml:space="preserve">uzraudzītā iestāde panākusi būtiska riska pārvešanu saskaņā ar Regulas (ES) Nr. 575/2013 244. panta 1. punkta a) apakšpunktu vai 245. panta 1. punkta a) apakšpunktu; </w:t>
      </w:r>
    </w:p>
    <w:p w14:paraId="23C016FF" w14:textId="05C4E2FB" w:rsidR="00123150" w:rsidRDefault="00123150" w:rsidP="00123150">
      <w:pPr>
        <w:pStyle w:val="Paragraphs"/>
        <w:numPr>
          <w:ilvl w:val="0"/>
          <w:numId w:val="41"/>
        </w:numPr>
        <w:tabs>
          <w:tab w:val="clear" w:pos="9073"/>
          <w:tab w:val="left" w:pos="1701"/>
        </w:tabs>
        <w:spacing w:before="60" w:after="60" w:line="340" w:lineRule="exact"/>
        <w:ind w:left="1134" w:hanging="567"/>
        <w:rPr>
          <w:rFonts w:ascii="Arial" w:hAnsi="Arial" w:cs="Arial"/>
          <w:sz w:val="20"/>
          <w:szCs w:val="20"/>
        </w:rPr>
      </w:pPr>
      <w:r>
        <w:rPr>
          <w:rFonts w:ascii="Arial" w:hAnsi="Arial"/>
          <w:sz w:val="20"/>
        </w:rPr>
        <w:t>uzraudzītā iestāde ievēro pilna apjoma samazinājuma pieeju saskaņā ar Regulas (ES) Nr. 575/2013 244. panta 1. punkta b) apakšpunktu vai 245. panta 1. punkta b) apakšpunktu.</w:t>
      </w:r>
    </w:p>
    <w:p w14:paraId="560D8F24" w14:textId="3A1B4E3F" w:rsidR="00F55AF8" w:rsidRDefault="00F55AF8" w:rsidP="008800FC">
      <w:pPr>
        <w:pStyle w:val="Paragraphs"/>
        <w:tabs>
          <w:tab w:val="clear" w:pos="9073"/>
          <w:tab w:val="left" w:pos="1701"/>
        </w:tabs>
        <w:spacing w:before="60" w:after="60" w:line="340" w:lineRule="exact"/>
        <w:ind w:left="567"/>
        <w:rPr>
          <w:rFonts w:ascii="Arial" w:hAnsi="Arial" w:cs="Arial"/>
          <w:sz w:val="20"/>
          <w:szCs w:val="20"/>
        </w:rPr>
      </w:pPr>
      <w:r>
        <w:rPr>
          <w:rFonts w:ascii="Arial" w:hAnsi="Arial"/>
          <w:sz w:val="20"/>
        </w:rPr>
        <w:t>Turklāt netiek ietverti arī INRD, ko garantējusi vai apdrošinājusi oficiāla eksporta kredītu aģentūra, nodrošinot saskaņotību ar to izslēgšanu no prudenciālā atbalsta mehānisma, pamatojoties uz Eiropas Parlamenta un Padomes 2024. gada 31. maija Regulu (ES) 2024/1623, ar ko groza Regulu (ES) Nr. 575/2013.</w:t>
      </w:r>
    </w:p>
    <w:p w14:paraId="30E50DA3" w14:textId="6F40B625" w:rsidR="004E5558" w:rsidRDefault="004E5558" w:rsidP="002A252C">
      <w:pPr>
        <w:pStyle w:val="ECBBodyText"/>
        <w:ind w:left="568"/>
        <w:jc w:val="both"/>
        <w:rPr>
          <w:rFonts w:cs="Arial"/>
          <w:szCs w:val="20"/>
        </w:rPr>
      </w:pPr>
      <w:r>
        <w:lastRenderedPageBreak/>
        <w:t>Tabulā ir trīs galvenie informācijas bloki: iztrūkums salīdzinājumā ar seguma gaidām, minimālā seguma gaidas un pieejamais segums.</w:t>
      </w:r>
    </w:p>
    <w:p w14:paraId="19A694B2" w14:textId="77777777" w:rsidR="002E224B" w:rsidRDefault="002E224B" w:rsidP="002A252C">
      <w:pPr>
        <w:pStyle w:val="ECBBodyText"/>
        <w:ind w:left="568"/>
        <w:jc w:val="both"/>
        <w:rPr>
          <w:rFonts w:cs="Arial"/>
          <w:szCs w:val="20"/>
        </w:rPr>
      </w:pPr>
    </w:p>
    <w:p w14:paraId="0EFE2D25" w14:textId="4E4C48A4" w:rsidR="002E224B" w:rsidRPr="0087216D" w:rsidRDefault="00F0192A" w:rsidP="002E224B">
      <w:pPr>
        <w:pStyle w:val="numberedparagraph"/>
        <w:ind w:left="568"/>
        <w:rPr>
          <w:rFonts w:ascii="Arial" w:hAnsi="Arial" w:cs="Arial"/>
          <w:sz w:val="20"/>
          <w:szCs w:val="20"/>
        </w:rPr>
      </w:pPr>
      <w:r>
        <w:rPr>
          <w:rFonts w:ascii="Arial" w:hAnsi="Arial"/>
          <w:sz w:val="20"/>
        </w:rPr>
        <w:t>Izņēmumi</w:t>
      </w:r>
    </w:p>
    <w:p w14:paraId="48169E49" w14:textId="1EB4D203" w:rsidR="002E224B" w:rsidRPr="0087216D" w:rsidRDefault="00F0192A" w:rsidP="002E224B">
      <w:pPr>
        <w:pStyle w:val="ECBBodyText"/>
        <w:ind w:left="568"/>
        <w:rPr>
          <w:rFonts w:cs="Arial"/>
          <w:szCs w:val="20"/>
        </w:rPr>
      </w:pPr>
      <w:r>
        <w:t xml:space="preserve">Šī lapa ļauj sniegt informāciju par riska darījumu grupām, kas atbilst nosacījumiem attiecībā uz īpašiem apstākļiem, kuru dēļ uzraudzības seguma gaidas var būt neatbilstošas. Lai uzrādītu šādas riska darījumu grupas, tām jāatbilst noteiktiem kritērijiem, un uzraudzības iestādes novērtē katru atsevišķo gadījumu, lai noskaidrotu, vai uzraudzības seguma gaidu piemērošana ir vai nav atbilstoša (sk. 3.2. iedaļu). </w:t>
      </w:r>
    </w:p>
    <w:p w14:paraId="033EAF7F" w14:textId="77777777" w:rsidR="002E224B" w:rsidRDefault="002E224B" w:rsidP="002A252C">
      <w:pPr>
        <w:pStyle w:val="ECBBodyText"/>
        <w:ind w:left="568"/>
        <w:jc w:val="both"/>
        <w:rPr>
          <w:rFonts w:cs="Arial"/>
          <w:szCs w:val="20"/>
        </w:rPr>
      </w:pPr>
    </w:p>
    <w:p w14:paraId="0AE7FFB8" w14:textId="03DA6C6B" w:rsidR="004E5558" w:rsidRPr="0089742C" w:rsidRDefault="00162C17" w:rsidP="002A252C">
      <w:pPr>
        <w:pStyle w:val="ECBBodyText"/>
        <w:jc w:val="both"/>
        <w:rPr>
          <w:rFonts w:cs="Arial"/>
          <w:szCs w:val="20"/>
        </w:rPr>
      </w:pPr>
      <w:r>
        <w:t>Uzraudzītajām iestādēm jānošķir INRD nenodrošinātā un nodrošinātā daļa. Šajā nolūkā tās uzrāda riska darījumu vērtības un minimālā seguma gaidas atsevišķi nenodrošinātajiem un nodrošinātajiem INRD.</w:t>
      </w:r>
      <w:r w:rsidR="0070577F" w:rsidRPr="0089742C">
        <w:rPr>
          <w:rStyle w:val="FootnoteReference"/>
          <w:rFonts w:cs="Arial"/>
          <w:szCs w:val="20"/>
        </w:rPr>
        <w:footnoteReference w:id="1"/>
      </w:r>
      <w:r>
        <w:t xml:space="preserve"> Tas noteikts, lai saskaņotu šo pārskatu sniegšanu ar Regulas (ES) Nr. 575/2013 47.c panta 1. punktu.</w:t>
      </w:r>
    </w:p>
    <w:p w14:paraId="0149FC48" w14:textId="687C8325" w:rsidR="00040D4E" w:rsidRPr="0089742C" w:rsidRDefault="00040D4E" w:rsidP="002A252C">
      <w:pPr>
        <w:pStyle w:val="ECBBodyText"/>
        <w:jc w:val="both"/>
        <w:rPr>
          <w:rFonts w:cs="Arial"/>
          <w:szCs w:val="20"/>
        </w:rPr>
      </w:pPr>
      <w:r>
        <w:t>Atbilstoši Regulas (ES) Nr. 575/2013 47.c panta 3. punktam minimālā seguma prasību aprēķināšanas vajadzībām INRD nodrošināto daļu klasificē šādi: 1) "kura ir nodrošināta ar nekustamo īpašumu vai kura ir mājokļa kredīts, ko garantē atbilstošs aizsardzības devējs, kas minēts 201. pantā", 2) "kura ir nodrošināta ar citu fondētu vai nefondētu kredītaizsardzību" vai 3) "ko garantējis vai kā atbalsta garantiju sniedzis atbilstošs kredītaizsardzības devējs"</w:t>
      </w:r>
      <w:r w:rsidR="002166E6">
        <w:rPr>
          <w:rStyle w:val="FootnoteReference"/>
          <w:rFonts w:cs="Arial"/>
          <w:szCs w:val="20"/>
        </w:rPr>
        <w:footnoteReference w:id="2"/>
      </w:r>
      <w:r>
        <w:t>.Ja ienākumus nenesošs riska darījums nodrošināts ar vairāk nekā viena veida kredītaizsardzību, tā riska darījuma vērtību sadala atbilstoši kredītaizsardzības kvalitātei, sākot no tās, kurai ir visaugstākā kvalitāte.</w:t>
      </w:r>
    </w:p>
    <w:p w14:paraId="0E5FFFBF" w14:textId="718D5B2B" w:rsidR="00475C32" w:rsidRPr="0089742C" w:rsidRDefault="00475C32" w:rsidP="00BF4A86">
      <w:pPr>
        <w:pStyle w:val="ECBBodyText"/>
        <w:rPr>
          <w:rFonts w:cs="Arial"/>
          <w:szCs w:val="20"/>
        </w:rPr>
      </w:pPr>
      <w:r>
        <w:t>Veid</w:t>
      </w:r>
      <w:r w:rsidR="00026BF9">
        <w:t>nes</w:t>
      </w:r>
      <w:r>
        <w:t xml:space="preserve"> šūnu krāsu kodi:</w:t>
      </w:r>
    </w:p>
    <w:p w14:paraId="13E2EE99" w14:textId="176DDDBC" w:rsidR="00475C32" w:rsidRPr="0089742C" w:rsidRDefault="00475C32" w:rsidP="00F421F7">
      <w:pPr>
        <w:pStyle w:val="ECBBodyText"/>
        <w:numPr>
          <w:ilvl w:val="0"/>
          <w:numId w:val="33"/>
        </w:numPr>
        <w:rPr>
          <w:rFonts w:cs="Arial"/>
          <w:szCs w:val="20"/>
        </w:rPr>
      </w:pPr>
      <w:r>
        <w:t>Gaiši pelēkās šūnas tiek automātiski aprēķinātas, šajās šūnās nedrīkst veikt pārmaiņas;</w:t>
      </w:r>
    </w:p>
    <w:p w14:paraId="03E82902" w14:textId="3C587EA2" w:rsidR="00475C32" w:rsidRPr="0089742C" w:rsidRDefault="00475C32" w:rsidP="00F421F7">
      <w:pPr>
        <w:pStyle w:val="ECBBodyText"/>
        <w:numPr>
          <w:ilvl w:val="0"/>
          <w:numId w:val="33"/>
        </w:numPr>
        <w:rPr>
          <w:rFonts w:cs="Arial"/>
          <w:szCs w:val="20"/>
        </w:rPr>
      </w:pPr>
      <w:r>
        <w:t>Tumši pelēkas šūnas nav jāaizpilda, šajās šūnās nedrīkst veikt pārmaiņas;</w:t>
      </w:r>
    </w:p>
    <w:p w14:paraId="46FB6F91" w14:textId="1704A230" w:rsidR="00FB54F5" w:rsidRDefault="00475C32" w:rsidP="001C54BE">
      <w:pPr>
        <w:pStyle w:val="ECBBodyText"/>
        <w:numPr>
          <w:ilvl w:val="0"/>
          <w:numId w:val="33"/>
        </w:numPr>
        <w:rPr>
          <w:rFonts w:cs="Arial"/>
          <w:szCs w:val="20"/>
        </w:rPr>
      </w:pPr>
      <w:r>
        <w:t>Dzeltenās šūnas jāaizpilda uzraudzītajai iestādei.</w:t>
      </w:r>
    </w:p>
    <w:p w14:paraId="7216D7DE" w14:textId="74278983" w:rsidR="001C54BE" w:rsidRDefault="001C54BE" w:rsidP="001C54BE">
      <w:pPr>
        <w:pStyle w:val="ECBBodyText"/>
        <w:rPr>
          <w:rFonts w:cs="Arial"/>
          <w:szCs w:val="20"/>
        </w:rPr>
      </w:pPr>
      <w:r>
        <w:t>Summas jānorāda euro.</w:t>
      </w:r>
    </w:p>
    <w:p w14:paraId="2BD36A3E" w14:textId="77777777" w:rsidR="001C54BE" w:rsidRDefault="001C54BE" w:rsidP="001C54BE">
      <w:pPr>
        <w:pStyle w:val="ECBBodyText"/>
        <w:rPr>
          <w:rFonts w:cs="Arial"/>
          <w:szCs w:val="20"/>
        </w:rPr>
      </w:pPr>
    </w:p>
    <w:p w14:paraId="339BAF08" w14:textId="77777777" w:rsidR="003667E3" w:rsidRDefault="003667E3">
      <w:pPr>
        <w:spacing w:before="0" w:after="0" w:line="240" w:lineRule="auto"/>
        <w:rPr>
          <w:b/>
        </w:rPr>
      </w:pPr>
      <w:r>
        <w:rPr>
          <w:b/>
        </w:rPr>
        <w:br w:type="page"/>
      </w:r>
    </w:p>
    <w:p w14:paraId="36F3F7A0" w14:textId="72FB73F0" w:rsidR="004867F5" w:rsidRPr="0089742C" w:rsidRDefault="00A25FA2" w:rsidP="00A25FA2">
      <w:pPr>
        <w:pStyle w:val="ECBBodyText"/>
        <w:outlineLvl w:val="0"/>
        <w:rPr>
          <w:rFonts w:cs="Arial"/>
          <w:szCs w:val="20"/>
        </w:rPr>
      </w:pPr>
      <w:r>
        <w:rPr>
          <w:b/>
        </w:rPr>
        <w:lastRenderedPageBreak/>
        <w:t>2. Aprēķini riska darījumu līmenī</w:t>
      </w:r>
    </w:p>
    <w:p w14:paraId="486F88D2" w14:textId="066FF1BE" w:rsidR="001C365E" w:rsidRPr="0089742C" w:rsidRDefault="001C365E" w:rsidP="002A252C">
      <w:pPr>
        <w:pStyle w:val="ECBBodyText"/>
        <w:jc w:val="both"/>
        <w:rPr>
          <w:rFonts w:cs="Arial"/>
          <w:szCs w:val="20"/>
        </w:rPr>
      </w:pPr>
      <w:r>
        <w:t xml:space="preserve">Aprēķini par iztrūkumiem salīdzinājumā ar seguma gaidām obligāti jāveic riska darījumu līmenī, </w:t>
      </w:r>
      <w:r>
        <w:rPr>
          <w:u w:val="single"/>
        </w:rPr>
        <w:t>nevis</w:t>
      </w:r>
      <w:r>
        <w:t xml:space="preserve"> parādnieku vai portfeļu līmenī, lai nodrošinātu, ka citi riska darījumi nekompensē iztrūkumu. Šajā norādījumu iedaļā sniegtas norādes par to, kā aprēķina iztrūkumu salīdzinājumā ar seguma gaidām riska darījumu līmenī, lai atvieglotu skaidrojumu par informāciju, kas jānorāda katrā no lapas "Ietvertie INRD" rindām.</w:t>
      </w:r>
    </w:p>
    <w:p w14:paraId="79E0B601" w14:textId="7201CFC8" w:rsidR="00637559" w:rsidRPr="0089742C" w:rsidRDefault="001C365E" w:rsidP="002A252C">
      <w:pPr>
        <w:pStyle w:val="ECBBodyText"/>
        <w:jc w:val="both"/>
        <w:rPr>
          <w:rFonts w:cs="Arial"/>
          <w:szCs w:val="20"/>
        </w:rPr>
      </w:pPr>
      <w:r>
        <w:t>Šajā iedaļā pieņemti šādi noteiktas informācijas apzīmējumi:</w:t>
      </w:r>
    </w:p>
    <w:p w14:paraId="3CB33CC6" w14:textId="77777777" w:rsidR="00637559" w:rsidRPr="0089742C" w:rsidRDefault="00637559" w:rsidP="00F55543">
      <w:pPr>
        <w:pStyle w:val="ECBBodyText"/>
        <w:spacing w:line="240" w:lineRule="auto"/>
        <w:jc w:val="both"/>
        <w:rPr>
          <w:rFonts w:cs="Arial"/>
          <w:bCs/>
          <w:kern w:val="28"/>
          <w:szCs w:val="20"/>
        </w:rPr>
      </w:pPr>
    </w:p>
    <w:bookmarkStart w:id="0" w:name="_Hlk213824468"/>
    <w:p w14:paraId="432F4DDF" w14:textId="2A87889F" w:rsidR="00637559" w:rsidRPr="0089742C" w:rsidRDefault="00802E0B" w:rsidP="00F55543">
      <w:pPr>
        <w:pStyle w:val="ECBBodyText"/>
        <w:spacing w:line="240" w:lineRule="auto"/>
        <w:jc w:val="both"/>
        <w:rPr>
          <w:rFonts w:cs="Arial"/>
          <w:szCs w:val="20"/>
        </w:rPr>
      </w:pPr>
      <m:oMathPara>
        <m:oMathParaPr>
          <m:jc m:val="left"/>
        </m:oMathParaPr>
        <m:oMath>
          <m:sSubSup>
            <m:sSubSupPr>
              <m:ctrlPr>
                <w:rPr>
                  <w:rFonts w:ascii="Cambria Math" w:hAnsi="Cambria Math" w:cs="Arial"/>
                  <w:i/>
                  <w:szCs w:val="20"/>
                </w:rPr>
              </m:ctrlPr>
            </m:sSubSupPr>
            <m:e>
              <m:r>
                <w:rPr>
                  <w:rFonts w:ascii="Cambria Math" w:hAnsi="Cambria Math" w:cs="Arial"/>
                  <w:szCs w:val="20"/>
                </w:rPr>
                <m:t>EV</m:t>
              </m:r>
            </m:e>
            <m:sub>
              <m:r>
                <w:rPr>
                  <w:rFonts w:ascii="Cambria Math" w:hAnsi="Cambria Math" w:cs="Arial"/>
                  <w:szCs w:val="20"/>
                </w:rPr>
                <m:t>i</m:t>
              </m:r>
            </m:sub>
            <m:sup>
              <m:r>
                <w:rPr>
                  <w:rFonts w:ascii="Cambria Math" w:hAnsi="Cambria Math" w:cs="Arial"/>
                </w:rPr>
                <m:t>Nenodrošināti</m:t>
              </m:r>
            </m:sup>
          </m:sSubSup>
          <m:r>
            <w:rPr>
              <w:rFonts w:ascii="Cambria Math" w:hAnsi="Cambria Math" w:cs="Arial"/>
              <w:szCs w:val="20"/>
            </w:rPr>
            <m:t>=</m:t>
          </m:r>
          <w:bookmarkEnd w:id="0"/>
          <m:r>
            <w:rPr>
              <w:rFonts w:ascii="Cambria Math" w:hAnsi="Cambria Math" w:cs="Arial"/>
              <w:szCs w:val="20"/>
            </w:rPr>
            <m:t>INRD "i" nenodrošinātās daļas riska darījuma vērtība (EV) (ja tāda ir)</m:t>
          </m:r>
          <m:r>
            <w:rPr>
              <w:rStyle w:val="FootnoteReference"/>
              <w:rFonts w:ascii="Cambria Math" w:hAnsi="Cambria Math" w:cs="Arial"/>
              <w:i/>
              <w:szCs w:val="20"/>
            </w:rPr>
            <w:footnoteReference w:id="3"/>
          </m:r>
        </m:oMath>
      </m:oMathPara>
    </w:p>
    <w:bookmarkStart w:id="1" w:name="_Hlk213824511"/>
    <w:p w14:paraId="08CB4AF8" w14:textId="551EC4CE" w:rsidR="009C4D8A" w:rsidRPr="0089742C" w:rsidRDefault="00802E0B" w:rsidP="009C4D8A">
      <w:pPr>
        <w:pStyle w:val="ECBBodyText"/>
        <w:spacing w:line="240" w:lineRule="auto"/>
        <w:jc w:val="both"/>
        <w:rPr>
          <w:rFonts w:cs="Arial"/>
          <w:szCs w:val="20"/>
        </w:rPr>
      </w:pPr>
      <m:oMathPara>
        <m:oMathParaPr>
          <m:jc m:val="left"/>
        </m:oMathParaPr>
        <m:oMath>
          <m:sSubSup>
            <m:sSubSupPr>
              <m:ctrlPr>
                <w:rPr>
                  <w:rFonts w:ascii="Cambria Math" w:hAnsi="Cambria Math" w:cs="Arial"/>
                  <w:i/>
                  <w:szCs w:val="20"/>
                </w:rPr>
              </m:ctrlPr>
            </m:sSubSupPr>
            <m:e>
              <m:r>
                <w:rPr>
                  <w:rFonts w:ascii="Cambria Math" w:hAnsi="Cambria Math" w:cs="Arial"/>
                  <w:szCs w:val="20"/>
                </w:rPr>
                <m:t>EV</m:t>
              </m:r>
            </m:e>
            <m:sub>
              <m:r>
                <w:rPr>
                  <w:rFonts w:ascii="Cambria Math" w:hAnsi="Cambria Math" w:cs="Arial"/>
                  <w:szCs w:val="20"/>
                </w:rPr>
                <m:t>i</m:t>
              </m:r>
            </m:sub>
            <m:sup>
              <m:r>
                <w:rPr>
                  <w:rFonts w:ascii="Cambria Math" w:hAnsi="Cambria Math" w:cs="Arial"/>
                  <w:szCs w:val="20"/>
                </w:rPr>
                <m:t>Nodrošināti</m:t>
              </m:r>
            </m:sup>
          </m:sSubSup>
          <m:r>
            <w:rPr>
              <w:rFonts w:ascii="Cambria Math" w:hAnsi="Cambria Math" w:cs="Arial"/>
              <w:szCs w:val="20"/>
            </w:rPr>
            <m:t>=INRD "i" nodrošinātās daļas riska darījuma vērtība (EV) (ja tāda ir)</m:t>
          </m:r>
        </m:oMath>
      </m:oMathPara>
    </w:p>
    <w:bookmarkStart w:id="2" w:name="_Hlk213824525"/>
    <w:bookmarkEnd w:id="1"/>
    <w:p w14:paraId="7A07AF3B" w14:textId="5359C72E" w:rsidR="009C4D8A" w:rsidRPr="0089742C" w:rsidRDefault="00802E0B" w:rsidP="009C4D8A">
      <w:pPr>
        <w:pStyle w:val="ECBBodyText"/>
        <w:spacing w:line="240" w:lineRule="auto"/>
        <w:jc w:val="both"/>
        <w:rPr>
          <w:rFonts w:cs="Arial"/>
          <w:szCs w:val="20"/>
        </w:rPr>
      </w:pPr>
      <m:oMathPara>
        <m:oMathParaPr>
          <m:jc m:val="left"/>
        </m:oMathParaPr>
        <m:oMath>
          <m:sSub>
            <m:sSubPr>
              <m:ctrlPr>
                <w:rPr>
                  <w:rFonts w:ascii="Cambria Math" w:hAnsi="Cambria Math" w:cs="Arial"/>
                  <w:i/>
                  <w:szCs w:val="20"/>
                </w:rPr>
              </m:ctrlPr>
            </m:sSubPr>
            <m:e>
              <m:r>
                <w:rPr>
                  <w:rFonts w:ascii="Cambria Math" w:hAnsi="Cambria Math" w:cs="Arial"/>
                  <w:szCs w:val="20"/>
                </w:rPr>
                <m:t>v</m:t>
              </m:r>
            </m:e>
            <m:sub>
              <m:r>
                <w:rPr>
                  <w:rFonts w:ascii="Cambria Math" w:hAnsi="Cambria Math" w:cs="Arial"/>
                  <w:szCs w:val="20"/>
                </w:rPr>
                <m:t>i</m:t>
              </m:r>
            </m:sub>
          </m:sSub>
          <m:r>
            <w:rPr>
              <w:rFonts w:ascii="Cambria Math" w:hAnsi="Cambria Math" w:cs="Arial"/>
              <w:szCs w:val="20"/>
            </w:rPr>
            <m:t>=Turēšanas ilguma grupa (v), kurā RD "i" klasificēts kā INRD</m:t>
          </m:r>
        </m:oMath>
      </m:oMathPara>
    </w:p>
    <w:bookmarkStart w:id="3" w:name="_Hlk213824539"/>
    <w:bookmarkEnd w:id="2"/>
    <w:p w14:paraId="13DA71E8" w14:textId="33E11466" w:rsidR="009C4D8A" w:rsidRPr="0046063E" w:rsidRDefault="00802E0B" w:rsidP="009C4D8A">
      <w:pPr>
        <w:pStyle w:val="ECBBodyText"/>
        <w:spacing w:line="240" w:lineRule="auto"/>
        <w:jc w:val="both"/>
        <w:rPr>
          <w:rFonts w:cs="Arial"/>
          <w:szCs w:val="20"/>
        </w:rPr>
      </w:pPr>
      <m:oMathPara>
        <m:oMathParaPr>
          <m:jc m:val="left"/>
        </m:oMathParaPr>
        <m:oMath>
          <m:sSub>
            <m:sSubPr>
              <m:ctrlPr>
                <w:rPr>
                  <w:rFonts w:ascii="Cambria Math" w:hAnsi="Cambria Math" w:cs="Arial"/>
                  <w:i/>
                  <w:szCs w:val="20"/>
                </w:rPr>
              </m:ctrlPr>
            </m:sSubPr>
            <m:e>
              <m:r>
                <w:rPr>
                  <w:rFonts w:ascii="Cambria Math" w:hAnsi="Cambria Math" w:cs="Arial"/>
                  <w:szCs w:val="20"/>
                </w:rPr>
                <m:t>v</m:t>
              </m:r>
            </m:e>
            <m:sub>
              <m:r>
                <w:rPr>
                  <w:rFonts w:ascii="Cambria Math" w:hAnsi="Cambria Math" w:cs="Arial"/>
                  <w:szCs w:val="20"/>
                </w:rPr>
                <m:t>i</m:t>
              </m:r>
            </m:sub>
          </m:sSub>
          <m:r>
            <w:rPr>
              <w:rFonts w:ascii="Cambria Math" w:hAnsi="Cambria Math" w:cs="Arial"/>
              <w:szCs w:val="20"/>
            </w:rPr>
            <m:t xml:space="preserve"> ∈V</m:t>
          </m:r>
          <m:d>
            <m:dPr>
              <m:begChr m:val="{"/>
              <m:endChr m:val="}"/>
              <m:ctrlPr>
                <w:rPr>
                  <w:rFonts w:ascii="Cambria Math" w:hAnsi="Cambria Math" w:cs="Arial"/>
                  <w:i/>
                  <w:szCs w:val="20"/>
                </w:rPr>
              </m:ctrlPr>
            </m:dPr>
            <m:e>
              <m:r>
                <w:rPr>
                  <w:rFonts w:ascii="Cambria Math" w:hAnsi="Cambria Math" w:cs="Arial"/>
                  <w:szCs w:val="20"/>
                </w:rPr>
                <m:t>'&lt;= 1 gads'</m:t>
              </m:r>
            </m:e>
            <m:e>
              <m:r>
                <w:rPr>
                  <w:rFonts w:ascii="Cambria Math" w:hAnsi="Cambria Math" w:cs="Arial"/>
                  <w:szCs w:val="20"/>
                </w:rPr>
                <m:t>'&gt; 1 gads; &lt;= 2 gadi'</m:t>
              </m:r>
              <m:ctrlPr>
                <w:rPr>
                  <w:rFonts w:ascii="Cambria Math" w:eastAsia="Cambria Math" w:hAnsi="Cambria Math" w:cs="Arial"/>
                  <w:i/>
                  <w:szCs w:val="20"/>
                </w:rPr>
              </m:ctrlPr>
            </m:e>
            <m:e>
              <m:r>
                <w:rPr>
                  <w:rFonts w:ascii="Cambria Math" w:eastAsia="Cambria Math" w:hAnsi="Cambria Math" w:cs="Arial"/>
                  <w:szCs w:val="20"/>
                </w:rPr>
                <m:t>'&gt; 2 gadi; &lt;= 3 gadi'</m:t>
              </m:r>
              <m:ctrlPr>
                <w:rPr>
                  <w:rFonts w:ascii="Cambria Math" w:eastAsia="Cambria Math" w:hAnsi="Cambria Math" w:cs="Arial"/>
                  <w:i/>
                  <w:szCs w:val="20"/>
                </w:rPr>
              </m:ctrlPr>
            </m:e>
            <m:e>
              <m:r>
                <w:rPr>
                  <w:rFonts w:ascii="Cambria Math" w:eastAsia="Cambria Math" w:hAnsi="Cambria Math" w:cs="Arial"/>
                  <w:szCs w:val="20"/>
                </w:rPr>
                <m:t>…</m:t>
              </m:r>
              <m:ctrlPr>
                <w:rPr>
                  <w:rFonts w:ascii="Cambria Math" w:eastAsia="Cambria Math" w:hAnsi="Cambria Math" w:cs="Arial"/>
                  <w:i/>
                  <w:szCs w:val="20"/>
                </w:rPr>
              </m:ctrlPr>
            </m:e>
            <m:e>
              <m:r>
                <w:rPr>
                  <w:rFonts w:ascii="Cambria Math" w:eastAsia="Cambria Math" w:hAnsi="Cambria Math" w:cs="Arial"/>
                  <w:szCs w:val="20"/>
                </w:rPr>
                <m:t>'</m:t>
              </m:r>
              <m:sSup>
                <m:sSupPr>
                  <m:ctrlPr>
                    <w:rPr>
                      <w:rFonts w:ascii="Cambria Math" w:eastAsia="Cambria Math" w:hAnsi="Cambria Math" w:cs="Arial"/>
                      <w:i/>
                      <w:szCs w:val="20"/>
                    </w:rPr>
                  </m:ctrlPr>
                </m:sSupPr>
                <m:e>
                  <m:r>
                    <w:rPr>
                      <w:rFonts w:ascii="Cambria Math" w:eastAsia="Cambria Math" w:hAnsi="Cambria Math" w:cs="Arial"/>
                      <w:szCs w:val="20"/>
                    </w:rPr>
                    <m:t>/</m:t>
                  </m:r>
                </m:e>
                <m:sup>
                  <m:r>
                    <w:rPr>
                      <w:rFonts w:ascii="Cambria Math" w:eastAsia="Cambria Math" w:hAnsi="Cambria Math" w:cs="Arial"/>
                      <w:szCs w:val="20"/>
                    </w:rPr>
                    <m:t>'</m:t>
                  </m:r>
                </m:sup>
              </m:sSup>
              <m:r>
                <w:rPr>
                  <w:rFonts w:ascii="Cambria Math" w:eastAsia="Cambria Math" w:hAnsi="Cambria Math" w:cs="Arial"/>
                  <w:szCs w:val="20"/>
                </w:rPr>
                <m:t>&gt;9gadi'</m:t>
              </m:r>
            </m:e>
          </m:d>
          <w:bookmarkEnd w:id="3"/>
          <m:r>
            <w:rPr>
              <w:rStyle w:val="FootnoteReference"/>
              <w:rFonts w:ascii="Cambria Math" w:hAnsi="Cambria Math" w:cs="Arial"/>
              <w:i/>
              <w:szCs w:val="20"/>
            </w:rPr>
            <w:footnoteReference w:id="4"/>
          </m:r>
        </m:oMath>
      </m:oMathPara>
    </w:p>
    <w:p w14:paraId="5C6F2997" w14:textId="77777777" w:rsidR="0046063E" w:rsidRPr="0089742C" w:rsidRDefault="0046063E" w:rsidP="009C4D8A">
      <w:pPr>
        <w:pStyle w:val="ECBBodyText"/>
        <w:spacing w:line="240" w:lineRule="auto"/>
        <w:jc w:val="both"/>
        <w:rPr>
          <w:rFonts w:cs="Arial"/>
          <w:szCs w:val="20"/>
        </w:rPr>
      </w:pPr>
    </w:p>
    <w:tbl>
      <w:tblPr>
        <w:tblStyle w:val="TableGrid"/>
        <w:tblW w:w="0" w:type="auto"/>
        <w:tblInd w:w="250" w:type="dxa"/>
        <w:tblLook w:val="04A0" w:firstRow="1" w:lastRow="0" w:firstColumn="1" w:lastColumn="0" w:noHBand="0" w:noVBand="1"/>
      </w:tblPr>
      <w:tblGrid>
        <w:gridCol w:w="8930"/>
      </w:tblGrid>
      <w:tr w:rsidR="00393E1E" w:rsidRPr="0089742C" w14:paraId="3F452F12" w14:textId="77777777" w:rsidTr="00393E1E">
        <w:tc>
          <w:tcPr>
            <w:tcW w:w="8930" w:type="dxa"/>
          </w:tcPr>
          <w:p w14:paraId="3E509458" w14:textId="77777777" w:rsidR="00393E1E" w:rsidRPr="0089742C" w:rsidRDefault="00393E1E" w:rsidP="004867F5">
            <w:pPr>
              <w:pStyle w:val="ECBBodyText"/>
              <w:rPr>
                <w:rFonts w:cs="Arial"/>
                <w:b/>
                <w:szCs w:val="20"/>
              </w:rPr>
            </w:pPr>
            <w:r>
              <w:rPr>
                <w:b/>
              </w:rPr>
              <w:t>Turēšanas ilguma grupu, kurā riska darījums klasificēts kā INRD, aprēķina šādi.</w:t>
            </w:r>
          </w:p>
          <w:p w14:paraId="3457BD40" w14:textId="77777777" w:rsidR="00393E1E" w:rsidRPr="0089742C" w:rsidRDefault="00393E1E" w:rsidP="004867F5">
            <w:pPr>
              <w:pStyle w:val="ECBBodyText"/>
              <w:spacing w:line="240" w:lineRule="auto"/>
              <w:rPr>
                <w:rFonts w:cs="Arial"/>
                <w:szCs w:val="20"/>
              </w:rPr>
            </w:pPr>
            <w:r>
              <w:t xml:space="preserve">Turēšanas ilgums ir periods (izteikts gados), kas pagājis kopš riska darījums ticis klasificēts kā ienākumus nenesošs. </w:t>
            </w:r>
          </w:p>
          <w:p w14:paraId="25040C74" w14:textId="7BA73869" w:rsidR="00393E1E" w:rsidRPr="0089742C" w:rsidRDefault="00393E1E" w:rsidP="004867F5">
            <w:pPr>
              <w:pStyle w:val="ECBBodyText"/>
              <w:spacing w:line="240" w:lineRule="auto"/>
              <w:rPr>
                <w:rFonts w:cs="Arial"/>
                <w:szCs w:val="20"/>
              </w:rPr>
            </w:pPr>
            <w:r>
              <w:t xml:space="preserve">Attiecīgajā turēšanas ilguma grupā, ko apzīmē ar "&gt; X gads(gadi); &lt; = Y gads(gadi)", </w:t>
            </w:r>
            <w:bookmarkStart w:id="4" w:name="_Hlk209107279"/>
            <w:r>
              <w:t>uzraudzītās iestādes</w:t>
            </w:r>
            <w:bookmarkEnd w:id="4"/>
            <w:r>
              <w:t xml:space="preserve"> uzrāda datus par riska darījumiem, kuriem pārskata atsauces datums ir laikā no Y. gada pēc riska darījuma klasifikācijas par ienākumus nenesošu riska darījumu pirmās līdz pēdējai dienai, t. i., periods (gados) no datuma, kad darījums ticis klasificēts par ienākumus nenesošu, un atsauces datumu ir &gt; X un &lt; = Y. </w:t>
            </w:r>
          </w:p>
          <w:p w14:paraId="275E8D91" w14:textId="77777777" w:rsidR="00393E1E" w:rsidRPr="0089742C" w:rsidRDefault="00393E1E" w:rsidP="004867F5">
            <w:pPr>
              <w:pStyle w:val="ECBBodyText"/>
              <w:spacing w:line="240" w:lineRule="auto"/>
              <w:jc w:val="both"/>
              <w:rPr>
                <w:rFonts w:cs="Arial"/>
                <w:bCs/>
                <w:kern w:val="28"/>
                <w:szCs w:val="20"/>
              </w:rPr>
            </w:pPr>
          </w:p>
          <w:p w14:paraId="7169BBD4" w14:textId="271CA809" w:rsidR="00393E1E" w:rsidRPr="0089742C" w:rsidRDefault="00393E1E" w:rsidP="004867F5">
            <w:pPr>
              <w:pStyle w:val="ECBBodyText"/>
              <w:spacing w:line="240" w:lineRule="auto"/>
              <w:rPr>
                <w:rFonts w:cs="Arial"/>
                <w:szCs w:val="20"/>
              </w:rPr>
            </w:pPr>
            <w:r>
              <w:t>Piemēram, ja turēšanas ilguma grupa ir "&lt; = 1 gads", uzraudzītās iestādes sniedz datus par riska darījumiem, kas klasificēti par ienākumus nenesošiem vienu gadu vai mazāk pirms pārskata atsauces datuma, t. i., atsauces datums ir laikā no 1. gada pēc šo riska darījumu klasifikācijas par ienākumus nenesošiem riska darījumiem pirmās līdz pēdējai dienai.</w:t>
            </w:r>
          </w:p>
          <w:p w14:paraId="0057B126" w14:textId="77777777" w:rsidR="00450457" w:rsidRPr="0089742C" w:rsidRDefault="00450457" w:rsidP="004867F5">
            <w:pPr>
              <w:pStyle w:val="ECBBodyText"/>
              <w:spacing w:line="240" w:lineRule="auto"/>
              <w:rPr>
                <w:rFonts w:cs="Arial"/>
                <w:szCs w:val="20"/>
              </w:rPr>
            </w:pPr>
          </w:p>
          <w:p w14:paraId="3F33BF78" w14:textId="77777777" w:rsidR="00450457" w:rsidRPr="0089742C" w:rsidRDefault="00450457" w:rsidP="004867F5">
            <w:pPr>
              <w:pStyle w:val="ECBBodyText"/>
              <w:spacing w:line="240" w:lineRule="auto"/>
              <w:rPr>
                <w:rFonts w:cs="Arial"/>
                <w:szCs w:val="20"/>
              </w:rPr>
            </w:pPr>
            <w:r>
              <w:t>Lai novērstu neskaidrības, pārskatīšanas pasākumu pagarināšanas un INRD iegādes gadījumā turēšanas ilgumu nesāk skaitīt no jauna, t. i., gan pārskatītu, gan iegādātu INRD gadījumā turpinās sākotnējais turēšanas ilgums.</w:t>
            </w:r>
          </w:p>
        </w:tc>
      </w:tr>
    </w:tbl>
    <w:p w14:paraId="5C2B8A8C" w14:textId="77777777" w:rsidR="009C4D8A" w:rsidRPr="0089742C" w:rsidRDefault="009C4D8A" w:rsidP="009C4D8A">
      <w:pPr>
        <w:pStyle w:val="ECBBodyText"/>
        <w:spacing w:line="240" w:lineRule="auto"/>
        <w:jc w:val="both"/>
        <w:rPr>
          <w:rFonts w:cs="Arial"/>
          <w:szCs w:val="20"/>
        </w:rPr>
      </w:pPr>
    </w:p>
    <w:p w14:paraId="0D6F01DE" w14:textId="77777777" w:rsidR="00637559" w:rsidRPr="0089742C" w:rsidRDefault="00637559" w:rsidP="00F55543">
      <w:pPr>
        <w:pStyle w:val="ECBBodyText"/>
        <w:spacing w:line="240" w:lineRule="auto"/>
        <w:jc w:val="both"/>
        <w:rPr>
          <w:rFonts w:cs="Arial"/>
          <w:bCs/>
          <w:kern w:val="28"/>
          <w:szCs w:val="20"/>
        </w:rPr>
      </w:pPr>
      <w:r>
        <w:t>Papildu apzīmējumi:</w:t>
      </w:r>
    </w:p>
    <w:p w14:paraId="76A74F6D" w14:textId="41FD5A72" w:rsidR="009C4D8A" w:rsidRPr="0089742C" w:rsidRDefault="00802E0B" w:rsidP="009C4D8A">
      <w:pPr>
        <w:pStyle w:val="ECBBodyText"/>
        <w:spacing w:line="240" w:lineRule="auto"/>
        <w:jc w:val="both"/>
        <w:rPr>
          <w:rFonts w:cs="Arial"/>
          <w:szCs w:val="20"/>
        </w:rPr>
      </w:pPr>
      <m:oMathPara>
        <m:oMathParaPr>
          <m:jc m:val="left"/>
        </m:oMathParaPr>
        <m:oMath>
          <m:sSubSup>
            <m:sSubSupPr>
              <m:ctrlPr>
                <w:rPr>
                  <w:rFonts w:ascii="Cambria Math" w:hAnsi="Cambria Math" w:cs="Arial"/>
                  <w:i/>
                  <w:szCs w:val="20"/>
                </w:rPr>
              </m:ctrlPr>
            </m:sSubSupPr>
            <m:e>
              <m:r>
                <w:rPr>
                  <w:rFonts w:ascii="Cambria Math" w:hAnsi="Cambria Math" w:cs="Arial"/>
                  <w:szCs w:val="20"/>
                </w:rPr>
                <m:t>f</m:t>
              </m:r>
            </m:e>
            <m:sub>
              <m:r>
                <w:rPr>
                  <w:rFonts w:ascii="Cambria Math" w:hAnsi="Cambria Math" w:cs="Arial"/>
                  <w:szCs w:val="20"/>
                </w:rPr>
                <m:t>v</m:t>
              </m:r>
            </m:sub>
            <m:sup>
              <m:r>
                <w:rPr>
                  <w:rFonts w:ascii="Cambria Math" w:hAnsi="Cambria Math" w:cs="Arial"/>
                  <w:szCs w:val="20"/>
                </w:rPr>
                <m:t>nodrošināti</m:t>
              </m:r>
            </m:sup>
          </m:sSubSup>
          <m:r>
            <w:rPr>
              <w:rFonts w:ascii="Cambria Math" w:hAnsi="Cambria Math" w:cs="Arial"/>
              <w:szCs w:val="20"/>
            </w:rPr>
            <m:t>=Seguma gaidu koeficients (f) nodrošinātajiem RD turēšanas ilguma grupā "v"</m:t>
          </m:r>
        </m:oMath>
      </m:oMathPara>
    </w:p>
    <w:p w14:paraId="0B9F0821" w14:textId="69CDB543" w:rsidR="006A50DB" w:rsidRPr="0089742C" w:rsidRDefault="00802E0B" w:rsidP="006A50DB">
      <w:pPr>
        <w:pStyle w:val="ECBBodyText"/>
        <w:spacing w:line="240" w:lineRule="auto"/>
        <w:jc w:val="both"/>
        <w:rPr>
          <w:rFonts w:cs="Arial"/>
          <w:szCs w:val="20"/>
        </w:rPr>
      </w:pPr>
      <m:oMathPara>
        <m:oMathParaPr>
          <m:jc m:val="left"/>
        </m:oMathParaPr>
        <m:oMath>
          <m:sSubSup>
            <m:sSubSupPr>
              <m:ctrlPr>
                <w:rPr>
                  <w:rFonts w:ascii="Cambria Math" w:hAnsi="Cambria Math" w:cs="Arial"/>
                  <w:i/>
                  <w:szCs w:val="20"/>
                </w:rPr>
              </m:ctrlPr>
            </m:sSubSupPr>
            <m:e>
              <m:r>
                <w:rPr>
                  <w:rFonts w:ascii="Cambria Math" w:hAnsi="Cambria Math" w:cs="Arial"/>
                  <w:szCs w:val="20"/>
                </w:rPr>
                <m:t>f</m:t>
              </m:r>
            </m:e>
            <m:sub>
              <m:r>
                <w:rPr>
                  <w:rFonts w:ascii="Cambria Math" w:hAnsi="Cambria Math" w:cs="Arial"/>
                  <w:szCs w:val="20"/>
                </w:rPr>
                <m:t>v</m:t>
              </m:r>
            </m:sub>
            <m:sup>
              <m:r>
                <w:rPr>
                  <w:rFonts w:ascii="Cambria Math" w:hAnsi="Cambria Math" w:cs="Arial"/>
                  <w:szCs w:val="20"/>
                </w:rPr>
                <m:t>nenodrošināti</m:t>
              </m:r>
            </m:sup>
          </m:sSubSup>
          <m:r>
            <w:rPr>
              <w:rFonts w:ascii="Cambria Math" w:hAnsi="Cambria Math" w:cs="Arial"/>
              <w:szCs w:val="20"/>
            </w:rPr>
            <m:t>=Seguma gaidu koeficients (f) nenodrošinātajiem RD turēšanas ilguma grupā "v"</m:t>
          </m:r>
        </m:oMath>
      </m:oMathPara>
    </w:p>
    <w:p w14:paraId="6F079375" w14:textId="77777777" w:rsidR="00637559" w:rsidRPr="0089742C" w:rsidRDefault="00637559" w:rsidP="00F55543">
      <w:pPr>
        <w:pStyle w:val="ECBBodyText"/>
        <w:spacing w:line="240" w:lineRule="auto"/>
        <w:jc w:val="both"/>
        <w:rPr>
          <w:rFonts w:cs="Arial"/>
          <w:bCs/>
          <w:kern w:val="28"/>
          <w:szCs w:val="20"/>
        </w:rPr>
      </w:pPr>
    </w:p>
    <w:p w14:paraId="10B0D58F" w14:textId="6A8B3573" w:rsidR="003A55FE" w:rsidRPr="0089742C" w:rsidRDefault="003A55FE" w:rsidP="004867F5">
      <w:pPr>
        <w:pStyle w:val="ECBBodyText"/>
        <w:rPr>
          <w:rFonts w:cs="Arial"/>
          <w:szCs w:val="20"/>
        </w:rPr>
      </w:pPr>
      <w:r>
        <w:rPr>
          <w:b/>
        </w:rPr>
        <w:lastRenderedPageBreak/>
        <w:t>1. solis.</w:t>
      </w:r>
      <w:r>
        <w:t xml:space="preserve"> Uzraudzītās iestādes aprēķina minimālā seguma gaidas attiecībā uz katru riska darījumu, veicot aprēķinu atsevišķi ienākumus nenesošo riska darījumu (INRD) nodrošinātajām un nenodrošinātajām daļām.</w:t>
      </w:r>
    </w:p>
    <w:p w14:paraId="6AFD91B5" w14:textId="77777777" w:rsidR="002F6359" w:rsidRPr="0089742C" w:rsidRDefault="002F6359" w:rsidP="00F55543">
      <w:pPr>
        <w:pStyle w:val="ECBBodyText"/>
        <w:spacing w:line="240" w:lineRule="auto"/>
        <w:jc w:val="both"/>
        <w:rPr>
          <w:rFonts w:cs="Arial"/>
          <w:szCs w:val="20"/>
        </w:rPr>
      </w:pPr>
    </w:p>
    <w:p w14:paraId="1CCBC6E4" w14:textId="7ACE436A" w:rsidR="002F6359" w:rsidRPr="0089742C" w:rsidRDefault="00014021" w:rsidP="00F55543">
      <w:pPr>
        <w:pStyle w:val="ECBBodyText"/>
        <w:spacing w:line="240" w:lineRule="auto"/>
        <w:jc w:val="both"/>
        <w:rPr>
          <w:rFonts w:cs="Arial"/>
          <w:szCs w:val="20"/>
        </w:rPr>
      </w:pPr>
      <m:oMathPara>
        <m:oMathParaPr>
          <m:jc m:val="left"/>
        </m:oMathParaPr>
        <m:oMath>
          <m:r>
            <w:rPr>
              <w:rFonts w:ascii="Cambria Math" w:hAnsi="Cambria Math" w:cs="Arial"/>
              <w:szCs w:val="20"/>
            </w:rPr>
            <m:t>Katrai turēšanas ilguma grupai v∈V:</m:t>
          </m:r>
        </m:oMath>
      </m:oMathPara>
    </w:p>
    <w:p w14:paraId="5099CF4D" w14:textId="76F44349" w:rsidR="00EE6BBA" w:rsidRPr="0089742C" w:rsidRDefault="00014021" w:rsidP="00F55543">
      <w:pPr>
        <w:pStyle w:val="ECBBodyText"/>
        <w:spacing w:line="240" w:lineRule="auto"/>
        <w:jc w:val="both"/>
        <w:rPr>
          <w:rFonts w:cs="Arial"/>
          <w:szCs w:val="20"/>
        </w:rPr>
      </w:pPr>
      <m:oMath>
        <m:r>
          <w:rPr>
            <w:rFonts w:ascii="Cambria Math" w:hAnsi="Cambria Math" w:cs="Arial"/>
            <w:szCs w:val="20"/>
          </w:rPr>
          <m:t xml:space="preserve">Pieņemam, ka </m:t>
        </m:r>
        <m:sSub>
          <m:sSubPr>
            <m:ctrlPr>
              <w:rPr>
                <w:rFonts w:ascii="Cambria Math" w:hAnsi="Cambria Math" w:cs="Arial"/>
                <w:i/>
                <w:szCs w:val="20"/>
              </w:rPr>
            </m:ctrlPr>
          </m:sSubPr>
          <m:e>
            <m:r>
              <w:rPr>
                <w:rFonts w:ascii="Cambria Math" w:hAnsi="Cambria Math" w:cs="Arial"/>
                <w:szCs w:val="20"/>
              </w:rPr>
              <m:t>I</m:t>
            </m:r>
          </m:e>
          <m:sub>
            <m:r>
              <w:rPr>
                <w:rFonts w:ascii="Cambria Math" w:hAnsi="Cambria Math" w:cs="Arial"/>
                <w:szCs w:val="20"/>
              </w:rPr>
              <m:t>v</m:t>
            </m:r>
          </m:sub>
        </m:sSub>
        <m:r>
          <w:rPr>
            <w:rFonts w:ascii="Cambria Math" w:hAnsi="Cambria Math" w:cs="Arial"/>
            <w:szCs w:val="20"/>
          </w:rPr>
          <m:t xml:space="preserve">  ir visi RD attiecīgajā turēšanas ilguma grupā (t. i., visi RD, kam </m:t>
        </m:r>
        <m:sSub>
          <m:sSubPr>
            <m:ctrlPr>
              <w:rPr>
                <w:rFonts w:ascii="Cambria Math" w:hAnsi="Cambria Math" w:cs="Arial"/>
                <w:i/>
                <w:szCs w:val="20"/>
              </w:rPr>
            </m:ctrlPr>
          </m:sSubPr>
          <m:e>
            <m:r>
              <w:rPr>
                <w:rFonts w:ascii="Cambria Math" w:hAnsi="Cambria Math" w:cs="Arial"/>
                <w:szCs w:val="20"/>
              </w:rPr>
              <m:t>v</m:t>
            </m:r>
          </m:e>
          <m:sub>
            <m:r>
              <w:rPr>
                <w:rFonts w:ascii="Cambria Math" w:hAnsi="Cambria Math" w:cs="Arial"/>
                <w:szCs w:val="20"/>
              </w:rPr>
              <m:t>i</m:t>
            </m:r>
          </m:sub>
        </m:sSub>
        <m:r>
          <w:rPr>
            <w:rFonts w:ascii="Cambria Math" w:hAnsi="Cambria Math" w:cs="Arial"/>
            <w:szCs w:val="20"/>
          </w:rPr>
          <m:t>=v)</m:t>
        </m:r>
      </m:oMath>
      <w:r w:rsidR="00EE6BBA">
        <w:t xml:space="preserve"> </w:t>
      </w:r>
    </w:p>
    <w:p w14:paraId="37B298D6" w14:textId="77777777" w:rsidR="002F6359" w:rsidRPr="0089742C" w:rsidRDefault="00EE6BBA" w:rsidP="00F55543">
      <w:pPr>
        <w:pStyle w:val="ECBBodyText"/>
        <w:spacing w:line="240" w:lineRule="auto"/>
        <w:jc w:val="both"/>
        <w:rPr>
          <w:rFonts w:cs="Arial"/>
          <w:szCs w:val="20"/>
        </w:rPr>
      </w:pPr>
      <w:r>
        <w:t xml:space="preserve">Šo indeksu </w:t>
      </w:r>
      <m:oMath>
        <m:sSub>
          <m:sSubPr>
            <m:ctrlPr>
              <w:rPr>
                <w:rFonts w:ascii="Cambria Math" w:hAnsi="Cambria Math" w:cs="Arial"/>
                <w:i/>
                <w:szCs w:val="20"/>
              </w:rPr>
            </m:ctrlPr>
          </m:sSubPr>
          <m:e>
            <m:r>
              <w:rPr>
                <w:rFonts w:ascii="Cambria Math" w:hAnsi="Cambria Math" w:cs="Arial"/>
                <w:szCs w:val="20"/>
              </w:rPr>
              <m:t>I</m:t>
            </m:r>
          </m:e>
          <m:sub>
            <m:r>
              <w:rPr>
                <w:rFonts w:ascii="Cambria Math" w:hAnsi="Cambria Math" w:cs="Arial"/>
                <w:szCs w:val="20"/>
              </w:rPr>
              <m:t>v</m:t>
            </m:r>
          </m:sub>
        </m:sSub>
        <m:r>
          <w:rPr>
            <w:rFonts w:ascii="Cambria Math" w:hAnsi="Cambria Math" w:cs="Arial"/>
            <w:szCs w:val="20"/>
          </w:rPr>
          <m:t xml:space="preserve">  </m:t>
        </m:r>
      </m:oMath>
      <w:r>
        <w:t xml:space="preserve"> izmanto tālāk, veicot summēšanu.</w:t>
      </w:r>
    </w:p>
    <w:p w14:paraId="599E17BE" w14:textId="77777777" w:rsidR="006A50DB" w:rsidRPr="0089742C" w:rsidRDefault="006A50DB" w:rsidP="00F55543">
      <w:pPr>
        <w:pStyle w:val="ECBBodyText"/>
        <w:spacing w:line="240" w:lineRule="auto"/>
        <w:jc w:val="both"/>
        <w:rPr>
          <w:rFonts w:cs="Arial"/>
          <w:szCs w:val="20"/>
        </w:rPr>
      </w:pPr>
    </w:p>
    <w:p w14:paraId="2101B13D" w14:textId="3DC83FEE" w:rsidR="00D7524E" w:rsidRPr="0089742C" w:rsidRDefault="00014021" w:rsidP="00D7524E">
      <w:pPr>
        <w:pStyle w:val="ECBBodyText"/>
        <w:spacing w:line="240" w:lineRule="auto"/>
        <w:jc w:val="both"/>
        <w:rPr>
          <w:rFonts w:cs="Arial"/>
          <w:szCs w:val="20"/>
        </w:rPr>
      </w:pPr>
      <m:oMathPara>
        <m:oMathParaPr>
          <m:jc m:val="left"/>
        </m:oMathParaPr>
        <m:oMath>
          <m:r>
            <w:rPr>
              <w:rFonts w:ascii="Cambria Math" w:hAnsi="Cambria Math" w:cs="Arial"/>
              <w:szCs w:val="20"/>
            </w:rPr>
            <m:t xml:space="preserve">Minimālā seguma gaidas (MCE) </m:t>
          </m:r>
          <m:sSubSup>
            <m:sSubSupPr>
              <m:ctrlPr>
                <w:rPr>
                  <w:rFonts w:ascii="Cambria Math" w:hAnsi="Cambria Math" w:cs="Arial"/>
                  <w:i/>
                  <w:szCs w:val="20"/>
                </w:rPr>
              </m:ctrlPr>
            </m:sSubSupPr>
            <m:e>
              <m:r>
                <w:rPr>
                  <w:rFonts w:ascii="Cambria Math" w:hAnsi="Cambria Math" w:cs="Arial"/>
                  <w:szCs w:val="20"/>
                </w:rPr>
                <m:t>EV</m:t>
              </m:r>
            </m:e>
            <m:sub>
              <m:r>
                <w:rPr>
                  <w:rFonts w:ascii="Cambria Math" w:hAnsi="Cambria Math" w:cs="Arial"/>
                  <w:szCs w:val="20"/>
                </w:rPr>
                <m:t>i</m:t>
              </m:r>
            </m:sub>
            <m:sup>
              <m:r>
                <w:rPr>
                  <w:rFonts w:ascii="Cambria Math" w:hAnsi="Cambria Math" w:cs="Arial"/>
                  <w:szCs w:val="20"/>
                </w:rPr>
                <m:t>Nodrošināti</m:t>
              </m:r>
            </m:sup>
          </m:sSubSup>
          <m:r>
            <w:rPr>
              <w:rFonts w:ascii="Cambria Math" w:hAnsi="Cambria Math" w:cs="Arial"/>
              <w:szCs w:val="20"/>
            </w:rPr>
            <m:t xml:space="preserve">= </m:t>
          </m:r>
          <m:sSubSup>
            <m:sSubSupPr>
              <m:ctrlPr>
                <w:rPr>
                  <w:rFonts w:ascii="Cambria Math" w:hAnsi="Cambria Math" w:cs="Arial"/>
                  <w:i/>
                  <w:szCs w:val="20"/>
                </w:rPr>
              </m:ctrlPr>
            </m:sSubSupPr>
            <m:e>
              <m:r>
                <w:rPr>
                  <w:rFonts w:ascii="Cambria Math" w:hAnsi="Cambria Math" w:cs="Arial"/>
                  <w:szCs w:val="20"/>
                </w:rPr>
                <m:t>MCE</m:t>
              </m:r>
            </m:e>
            <m:sub>
              <m:r>
                <w:rPr>
                  <w:rFonts w:ascii="Cambria Math" w:hAnsi="Cambria Math" w:cs="Arial"/>
                  <w:szCs w:val="20"/>
                </w:rPr>
                <m:t>i</m:t>
              </m:r>
            </m:sub>
            <m:sup>
              <m:r>
                <w:rPr>
                  <w:rFonts w:ascii="Cambria Math" w:hAnsi="Cambria Math" w:cs="Arial"/>
                  <w:szCs w:val="20"/>
                </w:rPr>
                <m:t>Nodrošināti</m:t>
              </m:r>
            </m:sup>
          </m:sSubSup>
          <m:r>
            <w:rPr>
              <w:rFonts w:ascii="Cambria Math" w:hAnsi="Cambria Math" w:cs="Arial"/>
              <w:szCs w:val="20"/>
            </w:rPr>
            <m:t>=</m:t>
          </m:r>
          <m:d>
            <m:dPr>
              <m:ctrlPr>
                <w:rPr>
                  <w:rFonts w:ascii="Cambria Math" w:hAnsi="Cambria Math" w:cs="Arial"/>
                  <w:i/>
                  <w:szCs w:val="20"/>
                </w:rPr>
              </m:ctrlPr>
            </m:dPr>
            <m:e>
              <m:sSubSup>
                <m:sSubSupPr>
                  <m:ctrlPr>
                    <w:rPr>
                      <w:rFonts w:ascii="Cambria Math" w:hAnsi="Cambria Math" w:cs="Arial"/>
                      <w:i/>
                      <w:szCs w:val="20"/>
                    </w:rPr>
                  </m:ctrlPr>
                </m:sSubSupPr>
                <m:e>
                  <m:r>
                    <w:rPr>
                      <w:rFonts w:ascii="Cambria Math" w:hAnsi="Cambria Math" w:cs="Arial"/>
                      <w:szCs w:val="20"/>
                    </w:rPr>
                    <m:t>EV</m:t>
                  </m:r>
                </m:e>
                <m:sub>
                  <m:r>
                    <w:rPr>
                      <w:rFonts w:ascii="Cambria Math" w:hAnsi="Cambria Math" w:cs="Arial"/>
                      <w:szCs w:val="20"/>
                    </w:rPr>
                    <m:t>i</m:t>
                  </m:r>
                </m:sub>
                <m:sup>
                  <m:r>
                    <w:rPr>
                      <w:rFonts w:ascii="Cambria Math" w:hAnsi="Cambria Math" w:cs="Arial"/>
                      <w:szCs w:val="20"/>
                    </w:rPr>
                    <m:t>Nodrošināti</m:t>
                  </m:r>
                </m:sup>
              </m:sSubSup>
              <m:r>
                <w:rPr>
                  <w:rFonts w:ascii="Cambria Math" w:hAnsi="Cambria Math" w:cs="Arial"/>
                  <w:szCs w:val="20"/>
                </w:rPr>
                <m:t>×</m:t>
              </m:r>
              <m:sSubSup>
                <m:sSubSupPr>
                  <m:ctrlPr>
                    <w:rPr>
                      <w:rFonts w:ascii="Cambria Math" w:hAnsi="Cambria Math" w:cs="Arial"/>
                      <w:i/>
                      <w:szCs w:val="20"/>
                    </w:rPr>
                  </m:ctrlPr>
                </m:sSubSupPr>
                <m:e>
                  <m:r>
                    <w:rPr>
                      <w:rFonts w:ascii="Cambria Math" w:hAnsi="Cambria Math" w:cs="Arial"/>
                      <w:szCs w:val="20"/>
                    </w:rPr>
                    <m:t>f</m:t>
                  </m:r>
                </m:e>
                <m:sub>
                  <m:sSub>
                    <m:sSubPr>
                      <m:ctrlPr>
                        <w:rPr>
                          <w:rFonts w:ascii="Cambria Math" w:hAnsi="Cambria Math" w:cs="Arial"/>
                          <w:i/>
                          <w:szCs w:val="20"/>
                        </w:rPr>
                      </m:ctrlPr>
                    </m:sSubPr>
                    <m:e>
                      <m:r>
                        <w:rPr>
                          <w:rFonts w:ascii="Cambria Math" w:hAnsi="Cambria Math" w:cs="Arial"/>
                          <w:szCs w:val="20"/>
                        </w:rPr>
                        <m:t>v</m:t>
                      </m:r>
                    </m:e>
                    <m:sub>
                      <m:r>
                        <w:rPr>
                          <w:rFonts w:ascii="Cambria Math" w:hAnsi="Cambria Math" w:cs="Arial"/>
                          <w:szCs w:val="20"/>
                        </w:rPr>
                        <m:t>i</m:t>
                      </m:r>
                    </m:sub>
                  </m:sSub>
                </m:sub>
                <m:sup>
                  <m:r>
                    <w:rPr>
                      <w:rFonts w:ascii="Cambria Math" w:hAnsi="Cambria Math" w:cs="Arial"/>
                      <w:szCs w:val="20"/>
                    </w:rPr>
                    <m:t>Nodrošināti</m:t>
                  </m:r>
                </m:sup>
              </m:sSubSup>
            </m:e>
          </m:d>
        </m:oMath>
      </m:oMathPara>
    </w:p>
    <w:p w14:paraId="58F92323" w14:textId="54397196" w:rsidR="00D7524E" w:rsidRPr="0089742C" w:rsidRDefault="00014021" w:rsidP="00F55543">
      <w:pPr>
        <w:pStyle w:val="ECBBodyText"/>
        <w:spacing w:line="240" w:lineRule="auto"/>
        <w:jc w:val="both"/>
        <w:rPr>
          <w:rFonts w:cs="Arial"/>
          <w:szCs w:val="20"/>
        </w:rPr>
      </w:pPr>
      <m:oMathPara>
        <m:oMathParaPr>
          <m:jc m:val="left"/>
        </m:oMathParaPr>
        <m:oMath>
          <m:r>
            <w:rPr>
              <w:rFonts w:ascii="Cambria Math" w:hAnsi="Cambria Math" w:cs="Arial"/>
              <w:szCs w:val="20"/>
            </w:rPr>
            <m:t xml:space="preserve">Minimālā seguma gaidas (MCE) </m:t>
          </m:r>
          <m:sSubSup>
            <m:sSubSupPr>
              <m:ctrlPr>
                <w:rPr>
                  <w:rFonts w:ascii="Cambria Math" w:hAnsi="Cambria Math" w:cs="Arial"/>
                  <w:i/>
                  <w:szCs w:val="20"/>
                </w:rPr>
              </m:ctrlPr>
            </m:sSubSupPr>
            <m:e>
              <m:r>
                <w:rPr>
                  <w:rFonts w:ascii="Cambria Math" w:hAnsi="Cambria Math" w:cs="Arial"/>
                  <w:szCs w:val="20"/>
                </w:rPr>
                <m:t>EV</m:t>
              </m:r>
            </m:e>
            <m:sub>
              <m:r>
                <w:rPr>
                  <w:rFonts w:ascii="Cambria Math" w:hAnsi="Cambria Math" w:cs="Arial"/>
                  <w:szCs w:val="20"/>
                </w:rPr>
                <m:t>i</m:t>
              </m:r>
            </m:sub>
            <m:sup>
              <m:r>
                <w:rPr>
                  <w:rFonts w:ascii="Cambria Math" w:hAnsi="Cambria Math" w:cs="Arial"/>
                  <w:szCs w:val="20"/>
                </w:rPr>
                <m:t>Nenodrošināti</m:t>
              </m:r>
            </m:sup>
          </m:sSubSup>
          <m:r>
            <w:rPr>
              <w:rFonts w:ascii="Cambria Math" w:hAnsi="Cambria Math" w:cs="Arial"/>
              <w:szCs w:val="20"/>
            </w:rPr>
            <m:t xml:space="preserve">= </m:t>
          </m:r>
          <m:sSubSup>
            <m:sSubSupPr>
              <m:ctrlPr>
                <w:rPr>
                  <w:rFonts w:ascii="Cambria Math" w:hAnsi="Cambria Math" w:cs="Arial"/>
                  <w:i/>
                  <w:szCs w:val="20"/>
                </w:rPr>
              </m:ctrlPr>
            </m:sSubSupPr>
            <m:e>
              <m:r>
                <w:rPr>
                  <w:rFonts w:ascii="Cambria Math" w:hAnsi="Cambria Math" w:cs="Arial"/>
                  <w:szCs w:val="20"/>
                </w:rPr>
                <m:t>MCE</m:t>
              </m:r>
            </m:e>
            <m:sub>
              <m:r>
                <w:rPr>
                  <w:rFonts w:ascii="Cambria Math" w:hAnsi="Cambria Math" w:cs="Arial"/>
                  <w:szCs w:val="20"/>
                </w:rPr>
                <m:t>i</m:t>
              </m:r>
            </m:sub>
            <m:sup>
              <m:r>
                <w:rPr>
                  <w:rFonts w:ascii="Cambria Math" w:hAnsi="Cambria Math" w:cs="Arial"/>
                  <w:szCs w:val="20"/>
                </w:rPr>
                <m:t>Nenodrošināti</m:t>
              </m:r>
            </m:sup>
          </m:sSubSup>
          <m:r>
            <w:rPr>
              <w:rFonts w:ascii="Cambria Math" w:hAnsi="Cambria Math" w:cs="Arial"/>
              <w:szCs w:val="20"/>
            </w:rPr>
            <m:t>=</m:t>
          </m:r>
          <m:d>
            <m:dPr>
              <m:ctrlPr>
                <w:rPr>
                  <w:rFonts w:ascii="Cambria Math" w:hAnsi="Cambria Math" w:cs="Arial"/>
                  <w:i/>
                  <w:szCs w:val="20"/>
                </w:rPr>
              </m:ctrlPr>
            </m:dPr>
            <m:e>
              <m:sSubSup>
                <m:sSubSupPr>
                  <m:ctrlPr>
                    <w:rPr>
                      <w:rFonts w:ascii="Cambria Math" w:hAnsi="Cambria Math" w:cs="Arial"/>
                      <w:i/>
                      <w:szCs w:val="20"/>
                    </w:rPr>
                  </m:ctrlPr>
                </m:sSubSupPr>
                <m:e>
                  <m:r>
                    <w:rPr>
                      <w:rFonts w:ascii="Cambria Math" w:hAnsi="Cambria Math" w:cs="Arial"/>
                      <w:szCs w:val="20"/>
                    </w:rPr>
                    <m:t>EV</m:t>
                  </m:r>
                </m:e>
                <m:sub>
                  <m:r>
                    <w:rPr>
                      <w:rFonts w:ascii="Cambria Math" w:hAnsi="Cambria Math" w:cs="Arial"/>
                      <w:szCs w:val="20"/>
                    </w:rPr>
                    <m:t>i</m:t>
                  </m:r>
                </m:sub>
                <m:sup>
                  <m:r>
                    <w:rPr>
                      <w:rFonts w:ascii="Cambria Math" w:hAnsi="Cambria Math" w:cs="Arial"/>
                      <w:szCs w:val="20"/>
                    </w:rPr>
                    <m:t>Nenodrošināti</m:t>
                  </m:r>
                </m:sup>
              </m:sSubSup>
              <m:r>
                <w:rPr>
                  <w:rFonts w:ascii="Cambria Math" w:hAnsi="Cambria Math" w:cs="Arial"/>
                  <w:szCs w:val="20"/>
                </w:rPr>
                <m:t>×</m:t>
              </m:r>
              <m:sSubSup>
                <m:sSubSupPr>
                  <m:ctrlPr>
                    <w:rPr>
                      <w:rFonts w:ascii="Cambria Math" w:hAnsi="Cambria Math" w:cs="Arial"/>
                      <w:i/>
                      <w:szCs w:val="20"/>
                    </w:rPr>
                  </m:ctrlPr>
                </m:sSubSupPr>
                <m:e>
                  <m:r>
                    <w:rPr>
                      <w:rFonts w:ascii="Cambria Math" w:hAnsi="Cambria Math" w:cs="Arial"/>
                      <w:szCs w:val="20"/>
                    </w:rPr>
                    <m:t>f</m:t>
                  </m:r>
                </m:e>
                <m:sub>
                  <m:sSub>
                    <m:sSubPr>
                      <m:ctrlPr>
                        <w:rPr>
                          <w:rFonts w:ascii="Cambria Math" w:hAnsi="Cambria Math" w:cs="Arial"/>
                          <w:i/>
                          <w:szCs w:val="20"/>
                        </w:rPr>
                      </m:ctrlPr>
                    </m:sSubPr>
                    <m:e>
                      <m:r>
                        <w:rPr>
                          <w:rFonts w:ascii="Cambria Math" w:hAnsi="Cambria Math" w:cs="Arial"/>
                          <w:szCs w:val="20"/>
                        </w:rPr>
                        <m:t>v</m:t>
                      </m:r>
                    </m:e>
                    <m:sub>
                      <m:r>
                        <w:rPr>
                          <w:rFonts w:ascii="Cambria Math" w:hAnsi="Cambria Math" w:cs="Arial"/>
                          <w:szCs w:val="20"/>
                        </w:rPr>
                        <m:t>i</m:t>
                      </m:r>
                    </m:sub>
                  </m:sSub>
                </m:sub>
                <m:sup>
                  <m:r>
                    <w:rPr>
                      <w:rFonts w:ascii="Cambria Math" w:hAnsi="Cambria Math" w:cs="Arial"/>
                      <w:szCs w:val="20"/>
                    </w:rPr>
                    <m:t>Nenodrošināti</m:t>
                  </m:r>
                </m:sup>
              </m:sSubSup>
            </m:e>
          </m:d>
        </m:oMath>
      </m:oMathPara>
    </w:p>
    <w:p w14:paraId="68C5D579" w14:textId="77777777" w:rsidR="002F6359" w:rsidRPr="0089742C" w:rsidRDefault="00B17F78" w:rsidP="00B17F78">
      <w:pPr>
        <w:pStyle w:val="ECBBodyText"/>
        <w:rPr>
          <w:rFonts w:cs="Arial"/>
          <w:szCs w:val="20"/>
        </w:rPr>
      </w:pPr>
      <w:r>
        <w:t>Kopējās minimālā seguma gaidas katram riska darījumam var aprēķināt kā iepriekšējo lielumu summu (tas īpaši attiecas uz daļēji nodrošinātiem riska darījumiem):</w:t>
      </w:r>
    </w:p>
    <w:p w14:paraId="089B620B" w14:textId="3B0E566D" w:rsidR="00B17F78" w:rsidRPr="0089742C" w:rsidRDefault="00014021" w:rsidP="00B17F78">
      <w:pPr>
        <w:pStyle w:val="ECBBodyText"/>
        <w:rPr>
          <w:rFonts w:cs="Arial"/>
          <w:szCs w:val="20"/>
        </w:rPr>
      </w:pPr>
      <m:oMathPara>
        <m:oMathParaPr>
          <m:jc m:val="left"/>
        </m:oMathParaPr>
        <m:oMath>
          <m:r>
            <w:rPr>
              <w:rFonts w:ascii="Cambria Math" w:hAnsi="Cambria Math" w:cs="Arial"/>
              <w:szCs w:val="20"/>
            </w:rPr>
            <m:t xml:space="preserve">Minimālā seguma prasības </m:t>
          </m:r>
          <m:sSub>
            <m:sSubPr>
              <m:ctrlPr>
                <w:rPr>
                  <w:rFonts w:ascii="Cambria Math" w:hAnsi="Cambria Math" w:cs="Arial"/>
                  <w:i/>
                  <w:szCs w:val="20"/>
                </w:rPr>
              </m:ctrlPr>
            </m:sSubPr>
            <m:e>
              <m:r>
                <w:rPr>
                  <w:rFonts w:ascii="Cambria Math" w:hAnsi="Cambria Math" w:cs="Arial"/>
                  <w:szCs w:val="20"/>
                </w:rPr>
                <m:t>EV</m:t>
              </m:r>
              <m:ctrlPr>
                <w:rPr>
                  <w:rFonts w:ascii="Cambria Math" w:hAnsi="Cambria Math" w:cs="Arial"/>
                  <w:i/>
                  <w:iCs/>
                  <w:szCs w:val="20"/>
                </w:rPr>
              </m:ctrlPr>
            </m:e>
            <m:sub>
              <m:r>
                <w:rPr>
                  <w:rFonts w:ascii="Cambria Math" w:hAnsi="Cambria Math" w:cs="Arial"/>
                  <w:szCs w:val="20"/>
                </w:rPr>
                <m:t>i</m:t>
              </m:r>
              <m:ctrlPr>
                <w:rPr>
                  <w:rFonts w:ascii="Cambria Math" w:hAnsi="Cambria Math" w:cs="Arial"/>
                  <w:i/>
                  <w:iCs/>
                  <w:szCs w:val="20"/>
                </w:rPr>
              </m:ctrlPr>
            </m:sub>
          </m:sSub>
          <m:r>
            <w:rPr>
              <w:rFonts w:ascii="Cambria Math" w:hAnsi="Cambria Math" w:cs="Arial"/>
              <w:szCs w:val="20"/>
            </w:rPr>
            <m:t xml:space="preserve">= </m:t>
          </m:r>
          <m:sSub>
            <m:sSubPr>
              <m:ctrlPr>
                <w:rPr>
                  <w:rFonts w:ascii="Cambria Math" w:hAnsi="Cambria Math" w:cs="Arial"/>
                  <w:i/>
                  <w:szCs w:val="20"/>
                </w:rPr>
              </m:ctrlPr>
            </m:sSubPr>
            <m:e>
              <m:r>
                <w:rPr>
                  <w:rFonts w:ascii="Cambria Math" w:hAnsi="Cambria Math" w:cs="Arial"/>
                  <w:szCs w:val="20"/>
                </w:rPr>
                <m:t>MCE</m:t>
              </m:r>
              <m:ctrlPr>
                <w:rPr>
                  <w:rFonts w:ascii="Cambria Math" w:hAnsi="Cambria Math" w:cs="Arial"/>
                  <w:i/>
                  <w:iCs/>
                  <w:szCs w:val="20"/>
                </w:rPr>
              </m:ctrlPr>
            </m:e>
            <m:sub>
              <m:r>
                <w:rPr>
                  <w:rFonts w:ascii="Cambria Math" w:hAnsi="Cambria Math" w:cs="Arial"/>
                  <w:szCs w:val="20"/>
                </w:rPr>
                <m:t>i</m:t>
              </m:r>
              <m:ctrlPr>
                <w:rPr>
                  <w:rFonts w:ascii="Cambria Math" w:hAnsi="Cambria Math" w:cs="Arial"/>
                  <w:i/>
                  <w:iCs/>
                  <w:szCs w:val="20"/>
                </w:rPr>
              </m:ctrlPr>
            </m:sub>
          </m:sSub>
          <m:r>
            <w:rPr>
              <w:rFonts w:ascii="Cambria Math" w:hAnsi="Cambria Math" w:cs="Arial"/>
              <w:szCs w:val="20"/>
            </w:rPr>
            <m:t xml:space="preserve">= </m:t>
          </m:r>
          <m:sSubSup>
            <m:sSubSupPr>
              <m:ctrlPr>
                <w:rPr>
                  <w:rFonts w:ascii="Cambria Math" w:hAnsi="Cambria Math" w:cs="Arial"/>
                  <w:i/>
                  <w:iCs/>
                  <w:szCs w:val="20"/>
                </w:rPr>
              </m:ctrlPr>
            </m:sSubSupPr>
            <m:e>
              <m:r>
                <w:rPr>
                  <w:rFonts w:ascii="Cambria Math" w:hAnsi="Cambria Math" w:cs="Arial"/>
                  <w:szCs w:val="20"/>
                </w:rPr>
                <m:t>MCE</m:t>
              </m:r>
            </m:e>
            <m:sub>
              <m:r>
                <w:rPr>
                  <w:rFonts w:ascii="Cambria Math" w:hAnsi="Cambria Math" w:cs="Arial"/>
                  <w:szCs w:val="20"/>
                </w:rPr>
                <m:t>i</m:t>
              </m:r>
            </m:sub>
            <m:sup>
              <m:r>
                <w:rPr>
                  <w:rFonts w:ascii="Cambria Math" w:hAnsi="Cambria Math" w:cs="Arial"/>
                  <w:szCs w:val="20"/>
                </w:rPr>
                <m:t>Nenodrošināti</m:t>
              </m:r>
            </m:sup>
          </m:sSubSup>
          <m:r>
            <w:rPr>
              <w:rFonts w:ascii="Cambria Math" w:hAnsi="Cambria Math" w:cs="Arial"/>
              <w:szCs w:val="20"/>
            </w:rPr>
            <m:t>+</m:t>
          </m:r>
          <m:sSubSup>
            <m:sSubSupPr>
              <m:ctrlPr>
                <w:rPr>
                  <w:rFonts w:ascii="Cambria Math" w:hAnsi="Cambria Math" w:cs="Arial"/>
                  <w:i/>
                  <w:iCs/>
                  <w:szCs w:val="20"/>
                </w:rPr>
              </m:ctrlPr>
            </m:sSubSupPr>
            <m:e>
              <m:r>
                <w:rPr>
                  <w:rFonts w:ascii="Cambria Math" w:hAnsi="Cambria Math" w:cs="Arial"/>
                  <w:szCs w:val="20"/>
                </w:rPr>
                <m:t>MCE</m:t>
              </m:r>
            </m:e>
            <m:sub>
              <m:r>
                <w:rPr>
                  <w:rFonts w:ascii="Cambria Math" w:hAnsi="Cambria Math" w:cs="Arial"/>
                  <w:szCs w:val="20"/>
                </w:rPr>
                <m:t>i</m:t>
              </m:r>
            </m:sub>
            <m:sup>
              <m:r>
                <w:rPr>
                  <w:rFonts w:ascii="Cambria Math" w:hAnsi="Cambria Math" w:cs="Arial"/>
                  <w:szCs w:val="20"/>
                </w:rPr>
                <m:t>Nodrošināti</m:t>
              </m:r>
            </m:sup>
          </m:sSubSup>
        </m:oMath>
      </m:oMathPara>
    </w:p>
    <w:p w14:paraId="4C0D06BA" w14:textId="77777777" w:rsidR="00B17F78" w:rsidRPr="0089742C" w:rsidRDefault="00B17F78" w:rsidP="00F55543">
      <w:pPr>
        <w:pStyle w:val="ECBBodyText"/>
        <w:spacing w:line="240" w:lineRule="auto"/>
        <w:jc w:val="both"/>
        <w:rPr>
          <w:rFonts w:cs="Arial"/>
          <w:bCs/>
          <w:kern w:val="28"/>
          <w:szCs w:val="20"/>
        </w:rPr>
      </w:pPr>
    </w:p>
    <w:p w14:paraId="2AC7F965" w14:textId="02559560" w:rsidR="003A55FE" w:rsidRPr="0089742C" w:rsidRDefault="003A55FE" w:rsidP="004867F5">
      <w:pPr>
        <w:pStyle w:val="ECBBodyText"/>
        <w:rPr>
          <w:rFonts w:cs="Arial"/>
          <w:szCs w:val="20"/>
        </w:rPr>
      </w:pPr>
      <w:r>
        <w:rPr>
          <w:b/>
        </w:rPr>
        <w:t>2. solis.</w:t>
      </w:r>
      <w:r>
        <w:t xml:space="preserve"> Uzraudzītās iestādes aprēķina kopējos uzkrājumus un korekcijas vai atskaitījumus (bez ierobežojuma), kas atbilst atsevišķiem riska darījumiem</w:t>
      </w:r>
      <w:r w:rsidR="004B429D" w:rsidRPr="0089742C">
        <w:rPr>
          <w:rStyle w:val="FootnoteReference"/>
          <w:rFonts w:cs="Arial"/>
          <w:szCs w:val="20"/>
        </w:rPr>
        <w:footnoteReference w:id="5"/>
      </w:r>
      <w:r>
        <w:t>, saskaitot veidnē norādītos lielumus (kā noteikts arī CRR 47.c panta 1. punkta b) apakšpunktā).</w:t>
      </w:r>
    </w:p>
    <w:p w14:paraId="54B759C7" w14:textId="77777777" w:rsidR="003A55FE" w:rsidRPr="0089742C" w:rsidRDefault="003A55FE" w:rsidP="00F55543">
      <w:pPr>
        <w:pStyle w:val="ECBBodyText"/>
        <w:spacing w:line="240" w:lineRule="auto"/>
        <w:jc w:val="both"/>
        <w:rPr>
          <w:rFonts w:cs="Arial"/>
          <w:bCs/>
          <w:kern w:val="28"/>
          <w:szCs w:val="20"/>
        </w:rPr>
      </w:pPr>
    </w:p>
    <w:p w14:paraId="51A2A95E" w14:textId="1280EBC5" w:rsidR="00E936E2" w:rsidRPr="00F01A3F" w:rsidRDefault="00C62ADE" w:rsidP="00F55543">
      <w:pPr>
        <w:pStyle w:val="ECBBodyText"/>
        <w:spacing w:line="240" w:lineRule="auto"/>
        <w:jc w:val="both"/>
        <w:rPr>
          <w:rFonts w:cs="Arial"/>
          <w:szCs w:val="20"/>
        </w:rPr>
      </w:pPr>
      <m:oMathPara>
        <m:oMath>
          <m:r>
            <w:rPr>
              <w:rFonts w:ascii="Cambria Math" w:hAnsi="Cambria Math" w:cs="Arial"/>
              <w:szCs w:val="20"/>
            </w:rPr>
            <m:t xml:space="preserve">Uzkrājumi un korekcijas vai atskaitījumi </m:t>
          </m:r>
          <m:d>
            <m:dPr>
              <m:ctrlPr>
                <w:rPr>
                  <w:rFonts w:ascii="Cambria Math" w:hAnsi="Cambria Math" w:cs="Arial"/>
                  <w:i/>
                  <w:szCs w:val="20"/>
                </w:rPr>
              </m:ctrlPr>
            </m:dPr>
            <m:e>
              <m:r>
                <w:rPr>
                  <w:rFonts w:ascii="Cambria Math" w:hAnsi="Cambria Math" w:cs="Arial"/>
                  <w:szCs w:val="20"/>
                </w:rPr>
                <m:t>bez ierobežojuma</m:t>
              </m:r>
            </m:e>
          </m:d>
          <m:sSubSup>
            <m:sSubSupPr>
              <m:ctrlPr>
                <w:rPr>
                  <w:rFonts w:ascii="Cambria Math" w:hAnsi="Cambria Math" w:cs="Arial"/>
                  <w:i/>
                  <w:szCs w:val="20"/>
                </w:rPr>
              </m:ctrlPr>
            </m:sSubSupPr>
            <m:e>
              <m:r>
                <w:rPr>
                  <w:rFonts w:ascii="Cambria Math" w:hAnsi="Cambria Math" w:cs="Arial"/>
                  <w:szCs w:val="20"/>
                </w:rPr>
                <m:t xml:space="preserve"> EV</m:t>
              </m:r>
            </m:e>
            <m:sub>
              <m:r>
                <w:rPr>
                  <w:rFonts w:ascii="Cambria Math" w:hAnsi="Cambria Math" w:cs="Arial"/>
                  <w:szCs w:val="20"/>
                </w:rPr>
                <m:t>i</m:t>
              </m:r>
            </m:sub>
            <m:sup>
              <m:r>
                <w:rPr>
                  <w:rFonts w:ascii="Cambria Math" w:hAnsi="Cambria Math" w:cs="Arial"/>
                  <w:szCs w:val="20"/>
                </w:rPr>
                <m:t>Nodrošināti</m:t>
              </m:r>
            </m:sup>
          </m:sSubSup>
          <m:r>
            <w:rPr>
              <w:rFonts w:ascii="Cambria Math" w:hAnsi="Cambria Math" w:cs="Arial"/>
              <w:szCs w:val="20"/>
            </w:rPr>
            <m:t xml:space="preserve">= </m:t>
          </m:r>
          <m:sSubSup>
            <m:sSubSupPr>
              <m:ctrlPr>
                <w:rPr>
                  <w:rFonts w:ascii="Cambria Math" w:hAnsi="Cambria Math" w:cs="Arial"/>
                  <w:i/>
                  <w:szCs w:val="20"/>
                </w:rPr>
              </m:ctrlPr>
            </m:sSubSupPr>
            <m:e>
              <m:r>
                <w:rPr>
                  <w:rFonts w:ascii="Cambria Math" w:hAnsi="Cambria Math" w:cs="Arial"/>
                  <w:szCs w:val="20"/>
                </w:rPr>
                <m:t>C</m:t>
              </m:r>
            </m:e>
            <m:sub>
              <m:r>
                <w:rPr>
                  <w:rFonts w:ascii="Cambria Math" w:hAnsi="Cambria Math" w:cs="Arial"/>
                  <w:szCs w:val="20"/>
                </w:rPr>
                <m:t>i</m:t>
              </m:r>
            </m:sub>
            <m:sup>
              <m:r>
                <w:rPr>
                  <w:rFonts w:ascii="Cambria Math" w:hAnsi="Cambria Math" w:cs="Arial"/>
                  <w:szCs w:val="20"/>
                </w:rPr>
                <m:t>Nodrošināti</m:t>
              </m:r>
            </m:sup>
          </m:sSubSup>
        </m:oMath>
      </m:oMathPara>
    </w:p>
    <w:p w14:paraId="18FC0914" w14:textId="4F0E3D36" w:rsidR="003A55FE" w:rsidRPr="0089742C" w:rsidRDefault="00E62ED1" w:rsidP="00F55543">
      <w:pPr>
        <w:pStyle w:val="ECBBodyText"/>
        <w:spacing w:line="240" w:lineRule="auto"/>
        <w:jc w:val="both"/>
        <w:rPr>
          <w:rFonts w:cs="Arial"/>
          <w:szCs w:val="20"/>
        </w:rPr>
      </w:pPr>
      <m:oMath>
        <m:r>
          <w:rPr>
            <w:rFonts w:ascii="Cambria Math" w:hAnsi="Cambria Math" w:cs="Arial"/>
            <w:szCs w:val="20"/>
          </w:rPr>
          <m:t>=</m:t>
        </m:r>
        <m:d>
          <m:dPr>
            <m:ctrlPr>
              <w:rPr>
                <w:rFonts w:ascii="Cambria Math" w:hAnsi="Cambria Math" w:cs="Arial"/>
                <w:i/>
                <w:szCs w:val="20"/>
              </w:rPr>
            </m:ctrlPr>
          </m:dPr>
          <m:e>
            <m:sSubSup>
              <m:sSubSupPr>
                <m:ctrlPr>
                  <w:rPr>
                    <w:rFonts w:ascii="Cambria Math" w:hAnsi="Cambria Math" w:cs="Arial"/>
                    <w:i/>
                    <w:szCs w:val="20"/>
                  </w:rPr>
                </m:ctrlPr>
              </m:sSubSupPr>
              <m:e>
                <m:r>
                  <w:rPr>
                    <w:rFonts w:ascii="Cambria Math" w:hAnsi="Cambria Math" w:cs="Arial"/>
                    <w:szCs w:val="20"/>
                  </w:rPr>
                  <m:t xml:space="preserve">Specifiskās kredītriska korekcijas </m:t>
                </m:r>
              </m:e>
              <m:sub>
                <m:r>
                  <w:rPr>
                    <w:rFonts w:ascii="Cambria Math" w:hAnsi="Cambria Math" w:cs="Arial"/>
                    <w:szCs w:val="20"/>
                  </w:rPr>
                  <m:t>i</m:t>
                </m:r>
              </m:sub>
              <m:sup>
                <m:r>
                  <w:rPr>
                    <w:rFonts w:ascii="Cambria Math" w:hAnsi="Cambria Math" w:cs="Arial"/>
                    <w:szCs w:val="20"/>
                  </w:rPr>
                  <m:t>Nodrošināti</m:t>
                </m:r>
              </m:sup>
            </m:sSubSup>
            <m:r>
              <w:rPr>
                <w:rFonts w:ascii="Cambria Math" w:hAnsi="Cambria Math" w:cs="Arial"/>
                <w:szCs w:val="20"/>
              </w:rPr>
              <m:t xml:space="preserve">+ </m:t>
            </m:r>
            <m:sSubSup>
              <m:sSubSupPr>
                <m:ctrlPr>
                  <w:rPr>
                    <w:rFonts w:ascii="Cambria Math" w:hAnsi="Cambria Math" w:cs="Arial"/>
                    <w:i/>
                    <w:szCs w:val="20"/>
                  </w:rPr>
                </m:ctrlPr>
              </m:sSubSupPr>
              <m:e>
                <m:r>
                  <w:rPr>
                    <w:rFonts w:ascii="Cambria Math" w:hAnsi="Cambria Math" w:cs="Arial"/>
                    <w:szCs w:val="20"/>
                  </w:rPr>
                  <m:t>Vērtības papildkorekcijas</m:t>
                </m:r>
              </m:e>
              <m:sub>
                <m:r>
                  <w:rPr>
                    <w:rFonts w:ascii="Cambria Math" w:hAnsi="Cambria Math" w:cs="Arial"/>
                    <w:szCs w:val="20"/>
                  </w:rPr>
                  <m:t>i</m:t>
                </m:r>
              </m:sub>
              <m:sup>
                <m:r>
                  <w:rPr>
                    <w:rFonts w:ascii="Cambria Math" w:hAnsi="Cambria Math" w:cs="Arial"/>
                    <w:szCs w:val="20"/>
                  </w:rPr>
                  <m:t>Nodrošināti</m:t>
                </m:r>
              </m:sup>
            </m:sSubSup>
            <m:r>
              <w:rPr>
                <w:rFonts w:ascii="Cambria Math" w:hAnsi="Cambria Math" w:cs="Arial"/>
                <w:szCs w:val="20"/>
              </w:rPr>
              <m:t>+</m:t>
            </m:r>
            <m:sSubSup>
              <m:sSubSupPr>
                <m:ctrlPr>
                  <w:rPr>
                    <w:rFonts w:ascii="Cambria Math" w:hAnsi="Cambria Math" w:cs="Arial"/>
                    <w:i/>
                    <w:szCs w:val="20"/>
                  </w:rPr>
                </m:ctrlPr>
              </m:sSubSupPr>
              <m:e>
                <m:r>
                  <w:rPr>
                    <w:rFonts w:ascii="Cambria Math" w:hAnsi="Cambria Math" w:cs="Arial"/>
                    <w:szCs w:val="20"/>
                  </w:rPr>
                  <m:t xml:space="preserve"> Citi pašu kapitāla samazinājumi</m:t>
                </m:r>
              </m:e>
              <m:sub>
                <m:r>
                  <w:rPr>
                    <w:rFonts w:ascii="Cambria Math" w:hAnsi="Cambria Math" w:cs="Arial"/>
                    <w:szCs w:val="20"/>
                  </w:rPr>
                  <m:t>i</m:t>
                </m:r>
              </m:sub>
              <m:sup>
                <m:r>
                  <w:rPr>
                    <w:rFonts w:ascii="Cambria Math" w:hAnsi="Cambria Math" w:cs="Arial"/>
                    <w:szCs w:val="20"/>
                  </w:rPr>
                  <m:t>Nodrošināti</m:t>
                </m:r>
              </m:sup>
            </m:sSubSup>
            <m:r>
              <w:rPr>
                <w:rFonts w:ascii="Cambria Math" w:hAnsi="Cambria Math" w:cs="Arial"/>
                <w:szCs w:val="20"/>
              </w:rPr>
              <m:t xml:space="preserve">+ </m:t>
            </m:r>
            <m:sSubSup>
              <m:sSubSupPr>
                <m:ctrlPr>
                  <w:rPr>
                    <w:rFonts w:ascii="Cambria Math" w:hAnsi="Cambria Math" w:cs="Arial"/>
                    <w:i/>
                    <w:szCs w:val="20"/>
                  </w:rPr>
                </m:ctrlPr>
              </m:sSubSupPr>
              <m:e>
                <m:r>
                  <w:rPr>
                    <w:rFonts w:ascii="Cambria Math" w:hAnsi="Cambria Math" w:cs="Arial"/>
                    <w:szCs w:val="20"/>
                  </w:rPr>
                  <m:t>IRB deficīts</m:t>
                </m:r>
              </m:e>
              <m:sub>
                <m:r>
                  <w:rPr>
                    <w:rFonts w:ascii="Cambria Math" w:hAnsi="Cambria Math" w:cs="Arial"/>
                    <w:szCs w:val="20"/>
                  </w:rPr>
                  <m:t>i</m:t>
                </m:r>
              </m:sub>
              <m:sup>
                <m:r>
                  <w:rPr>
                    <w:rFonts w:ascii="Cambria Math" w:hAnsi="Cambria Math" w:cs="Arial"/>
                    <w:szCs w:val="20"/>
                  </w:rPr>
                  <m:t>Nodrošināti</m:t>
                </m:r>
              </m:sup>
            </m:sSubSup>
            <m:r>
              <w:rPr>
                <w:rFonts w:ascii="Cambria Math" w:hAnsi="Cambria Math" w:cs="Arial"/>
                <w:szCs w:val="20"/>
              </w:rPr>
              <m:t xml:space="preserve"> + </m:t>
            </m:r>
            <m:sSubSup>
              <m:sSubSupPr>
                <m:ctrlPr>
                  <w:rPr>
                    <w:rFonts w:ascii="Cambria Math" w:hAnsi="Cambria Math" w:cs="Arial"/>
                    <w:i/>
                    <w:szCs w:val="20"/>
                  </w:rPr>
                </m:ctrlPr>
              </m:sSubSupPr>
              <m:e>
                <m:r>
                  <w:rPr>
                    <w:rFonts w:ascii="Cambria Math" w:hAnsi="Cambria Math" w:cs="Arial"/>
                    <w:szCs w:val="20"/>
                  </w:rPr>
                  <m:t>Iegādes diskonts</m:t>
                </m:r>
              </m:e>
              <m:sub>
                <m:r>
                  <w:rPr>
                    <w:rFonts w:ascii="Cambria Math" w:hAnsi="Cambria Math" w:cs="Arial"/>
                    <w:szCs w:val="20"/>
                  </w:rPr>
                  <m:t>i</m:t>
                </m:r>
              </m:sub>
              <m:sup>
                <m:r>
                  <w:rPr>
                    <w:rFonts w:ascii="Cambria Math" w:hAnsi="Cambria Math" w:cs="Arial"/>
                    <w:szCs w:val="20"/>
                  </w:rPr>
                  <m:t>Nodrošināti</m:t>
                </m:r>
              </m:sup>
            </m:sSubSup>
            <m:r>
              <w:rPr>
                <w:rFonts w:ascii="Cambria Math" w:hAnsi="Cambria Math" w:cs="Arial"/>
                <w:szCs w:val="20"/>
              </w:rPr>
              <m:t xml:space="preserve"> + </m:t>
            </m:r>
            <m:sSubSup>
              <m:sSubSupPr>
                <m:ctrlPr>
                  <w:rPr>
                    <w:rFonts w:ascii="Cambria Math" w:hAnsi="Cambria Math" w:cs="Arial"/>
                    <w:i/>
                    <w:szCs w:val="20"/>
                  </w:rPr>
                </m:ctrlPr>
              </m:sSubSupPr>
              <m:e>
                <m:r>
                  <w:rPr>
                    <w:rFonts w:ascii="Cambria Math" w:hAnsi="Cambria Math" w:cs="Arial"/>
                    <w:szCs w:val="20"/>
                  </w:rPr>
                  <m:t>Daļēji norakstījumi</m:t>
                </m:r>
              </m:e>
              <m:sub>
                <m:r>
                  <w:rPr>
                    <w:rFonts w:ascii="Cambria Math" w:hAnsi="Cambria Math" w:cs="Arial"/>
                    <w:szCs w:val="20"/>
                  </w:rPr>
                  <m:t>i</m:t>
                </m:r>
              </m:sub>
              <m:sup>
                <m:r>
                  <w:rPr>
                    <w:rFonts w:ascii="Cambria Math" w:hAnsi="Cambria Math" w:cs="Arial"/>
                    <w:szCs w:val="20"/>
                  </w:rPr>
                  <m:t>Nodrošināti</m:t>
                </m:r>
              </m:sup>
            </m:sSubSup>
          </m:e>
        </m:d>
      </m:oMath>
      <w:r>
        <w:t xml:space="preserve"> </w:t>
      </w:r>
    </w:p>
    <w:p w14:paraId="17F4F951" w14:textId="77777777" w:rsidR="00184790" w:rsidRPr="0089742C" w:rsidRDefault="00184790" w:rsidP="00F55543">
      <w:pPr>
        <w:pStyle w:val="ECBBodyText"/>
        <w:spacing w:line="240" w:lineRule="auto"/>
        <w:jc w:val="both"/>
        <w:rPr>
          <w:rFonts w:cs="Arial"/>
          <w:szCs w:val="20"/>
        </w:rPr>
      </w:pPr>
    </w:p>
    <w:p w14:paraId="2C0D62FB" w14:textId="70D9D0B8" w:rsidR="003A55FE" w:rsidRPr="0089742C" w:rsidRDefault="00C62ADE" w:rsidP="003A55FE">
      <w:pPr>
        <w:pStyle w:val="ECBBodyText"/>
        <w:spacing w:line="240" w:lineRule="auto"/>
        <w:jc w:val="both"/>
        <w:rPr>
          <w:rFonts w:cs="Arial"/>
          <w:bCs/>
          <w:kern w:val="28"/>
          <w:szCs w:val="20"/>
        </w:rPr>
      </w:pPr>
      <m:oMathPara>
        <m:oMathParaPr>
          <m:jc m:val="left"/>
        </m:oMathParaPr>
        <m:oMath>
          <m:r>
            <w:rPr>
              <w:rFonts w:ascii="Cambria Math" w:hAnsi="Cambria Math" w:cs="Arial"/>
              <w:szCs w:val="20"/>
            </w:rPr>
            <m:t xml:space="preserve">Uzkrājumi un korekcijas vai atskaitījumi (bez ierobežojuma) </m:t>
          </m:r>
          <m:sSubSup>
            <m:sSubSupPr>
              <m:ctrlPr>
                <w:rPr>
                  <w:rFonts w:ascii="Cambria Math" w:hAnsi="Cambria Math" w:cs="Arial"/>
                  <w:i/>
                  <w:szCs w:val="20"/>
                </w:rPr>
              </m:ctrlPr>
            </m:sSubSupPr>
            <m:e>
              <m:r>
                <w:rPr>
                  <w:rFonts w:ascii="Cambria Math" w:hAnsi="Cambria Math" w:cs="Arial"/>
                  <w:szCs w:val="20"/>
                </w:rPr>
                <m:t>EV</m:t>
              </m:r>
            </m:e>
            <m:sub>
              <m:r>
                <w:rPr>
                  <w:rFonts w:ascii="Cambria Math" w:hAnsi="Cambria Math" w:cs="Arial"/>
                  <w:szCs w:val="20"/>
                </w:rPr>
                <m:t>i</m:t>
              </m:r>
            </m:sub>
            <m:sup>
              <m:r>
                <w:rPr>
                  <w:rFonts w:ascii="Cambria Math" w:hAnsi="Cambria Math" w:cs="Arial"/>
                  <w:szCs w:val="20"/>
                </w:rPr>
                <m:t>Nenodrošināti</m:t>
              </m:r>
            </m:sup>
          </m:sSubSup>
          <m:r>
            <w:rPr>
              <w:rFonts w:ascii="Cambria Math" w:hAnsi="Cambria Math" w:cs="Arial"/>
              <w:szCs w:val="20"/>
            </w:rPr>
            <m:t xml:space="preserve">= </m:t>
          </m:r>
          <m:sSubSup>
            <m:sSubSupPr>
              <m:ctrlPr>
                <w:rPr>
                  <w:rFonts w:ascii="Cambria Math" w:hAnsi="Cambria Math" w:cs="Arial"/>
                  <w:i/>
                  <w:szCs w:val="20"/>
                </w:rPr>
              </m:ctrlPr>
            </m:sSubSupPr>
            <m:e>
              <m:r>
                <w:rPr>
                  <w:rFonts w:ascii="Cambria Math" w:hAnsi="Cambria Math" w:cs="Arial"/>
                  <w:szCs w:val="20"/>
                </w:rPr>
                <m:t>C</m:t>
              </m:r>
            </m:e>
            <m:sub>
              <m:r>
                <w:rPr>
                  <w:rFonts w:ascii="Cambria Math" w:hAnsi="Cambria Math" w:cs="Arial"/>
                  <w:szCs w:val="20"/>
                </w:rPr>
                <m:t>i</m:t>
              </m:r>
            </m:sub>
            <m:sup>
              <m:r>
                <w:rPr>
                  <w:rFonts w:ascii="Cambria Math" w:hAnsi="Cambria Math" w:cs="Arial"/>
                  <w:szCs w:val="20"/>
                </w:rPr>
                <m:t>Nenodrošināti</m:t>
              </m:r>
            </m:sup>
          </m:sSubSup>
          <m:r>
            <w:rPr>
              <w:rFonts w:ascii="Cambria Math" w:hAnsi="Cambria Math" w:cs="Arial"/>
              <w:szCs w:val="20"/>
            </w:rPr>
            <m:t>=</m:t>
          </m:r>
          <m:d>
            <m:dPr>
              <m:ctrlPr>
                <w:rPr>
                  <w:rFonts w:ascii="Cambria Math" w:hAnsi="Cambria Math" w:cs="Arial"/>
                  <w:i/>
                  <w:szCs w:val="20"/>
                </w:rPr>
              </m:ctrlPr>
            </m:dPr>
            <m:e>
              <m:sSubSup>
                <m:sSubSupPr>
                  <m:ctrlPr>
                    <w:rPr>
                      <w:rFonts w:ascii="Cambria Math" w:hAnsi="Cambria Math" w:cs="Arial"/>
                      <w:i/>
                      <w:szCs w:val="20"/>
                    </w:rPr>
                  </m:ctrlPr>
                </m:sSubSupPr>
                <m:e>
                  <m:r>
                    <w:rPr>
                      <w:rFonts w:ascii="Cambria Math" w:hAnsi="Cambria Math" w:cs="Arial"/>
                      <w:szCs w:val="20"/>
                    </w:rPr>
                    <m:t xml:space="preserve">Specifiskās kredītriska korekcijas </m:t>
                  </m:r>
                </m:e>
                <m:sub>
                  <m:r>
                    <w:rPr>
                      <w:rFonts w:ascii="Cambria Math" w:hAnsi="Cambria Math" w:cs="Arial"/>
                      <w:szCs w:val="20"/>
                    </w:rPr>
                    <m:t>i</m:t>
                  </m:r>
                </m:sub>
                <m:sup>
                  <m:r>
                    <w:rPr>
                      <w:rFonts w:ascii="Cambria Math" w:hAnsi="Cambria Math" w:cs="Arial"/>
                      <w:szCs w:val="20"/>
                    </w:rPr>
                    <m:t>Nenodrošināti</m:t>
                  </m:r>
                </m:sup>
              </m:sSubSup>
              <m:r>
                <w:rPr>
                  <w:rFonts w:ascii="Cambria Math" w:hAnsi="Cambria Math" w:cs="Arial"/>
                  <w:szCs w:val="20"/>
                </w:rPr>
                <m:t xml:space="preserve">+ </m:t>
              </m:r>
              <m:sSubSup>
                <m:sSubSupPr>
                  <m:ctrlPr>
                    <w:rPr>
                      <w:rFonts w:ascii="Cambria Math" w:hAnsi="Cambria Math" w:cs="Arial"/>
                      <w:i/>
                      <w:szCs w:val="20"/>
                    </w:rPr>
                  </m:ctrlPr>
                </m:sSubSupPr>
                <m:e>
                  <m:r>
                    <w:rPr>
                      <w:rFonts w:ascii="Cambria Math" w:hAnsi="Cambria Math" w:cs="Arial"/>
                      <w:szCs w:val="20"/>
                    </w:rPr>
                    <m:t>Vērtības papildkorekcijas</m:t>
                  </m:r>
                </m:e>
                <m:sub>
                  <m:r>
                    <w:rPr>
                      <w:rFonts w:ascii="Cambria Math" w:hAnsi="Cambria Math" w:cs="Arial"/>
                      <w:szCs w:val="20"/>
                    </w:rPr>
                    <m:t>i</m:t>
                  </m:r>
                </m:sub>
                <m:sup>
                  <m:r>
                    <w:rPr>
                      <w:rFonts w:ascii="Cambria Math" w:hAnsi="Cambria Math" w:cs="Arial"/>
                      <w:szCs w:val="20"/>
                    </w:rPr>
                    <m:t>Nenodrošināti</m:t>
                  </m:r>
                </m:sup>
              </m:sSubSup>
              <m:r>
                <w:rPr>
                  <w:rFonts w:ascii="Cambria Math" w:hAnsi="Cambria Math" w:cs="Arial"/>
                  <w:szCs w:val="20"/>
                </w:rPr>
                <m:t>+</m:t>
              </m:r>
              <m:sSubSup>
                <m:sSubSupPr>
                  <m:ctrlPr>
                    <w:rPr>
                      <w:rFonts w:ascii="Cambria Math" w:hAnsi="Cambria Math" w:cs="Arial"/>
                      <w:i/>
                      <w:szCs w:val="20"/>
                    </w:rPr>
                  </m:ctrlPr>
                </m:sSubSupPr>
                <m:e>
                  <m:r>
                    <w:rPr>
                      <w:rFonts w:ascii="Cambria Math" w:hAnsi="Cambria Math" w:cs="Arial"/>
                      <w:szCs w:val="20"/>
                    </w:rPr>
                    <m:t xml:space="preserve"> Citi pašu kapitāla samazinājumi</m:t>
                  </m:r>
                </m:e>
                <m:sub>
                  <m:r>
                    <w:rPr>
                      <w:rFonts w:ascii="Cambria Math" w:hAnsi="Cambria Math" w:cs="Arial"/>
                      <w:szCs w:val="20"/>
                    </w:rPr>
                    <m:t>i</m:t>
                  </m:r>
                </m:sub>
                <m:sup>
                  <m:r>
                    <w:rPr>
                      <w:rFonts w:ascii="Cambria Math" w:hAnsi="Cambria Math" w:cs="Arial"/>
                      <w:szCs w:val="20"/>
                    </w:rPr>
                    <m:t>Nenodrošināti</m:t>
                  </m:r>
                </m:sup>
              </m:sSubSup>
              <m:r>
                <w:rPr>
                  <w:rFonts w:ascii="Cambria Math" w:hAnsi="Cambria Math" w:cs="Arial"/>
                  <w:szCs w:val="20"/>
                </w:rPr>
                <m:t xml:space="preserve">+ </m:t>
              </m:r>
              <m:sSubSup>
                <m:sSubSupPr>
                  <m:ctrlPr>
                    <w:rPr>
                      <w:rFonts w:ascii="Cambria Math" w:hAnsi="Cambria Math" w:cs="Arial"/>
                      <w:i/>
                      <w:szCs w:val="20"/>
                    </w:rPr>
                  </m:ctrlPr>
                </m:sSubSupPr>
                <m:e>
                  <m:r>
                    <w:rPr>
                      <w:rFonts w:ascii="Cambria Math" w:hAnsi="Cambria Math" w:cs="Arial"/>
                      <w:szCs w:val="20"/>
                    </w:rPr>
                    <m:t>IRB deficīts</m:t>
                  </m:r>
                </m:e>
                <m:sub>
                  <m:r>
                    <w:rPr>
                      <w:rFonts w:ascii="Cambria Math" w:hAnsi="Cambria Math" w:cs="Arial"/>
                      <w:szCs w:val="20"/>
                    </w:rPr>
                    <m:t>i</m:t>
                  </m:r>
                </m:sub>
                <m:sup>
                  <m:r>
                    <w:rPr>
                      <w:rFonts w:ascii="Cambria Math" w:hAnsi="Cambria Math" w:cs="Arial"/>
                      <w:szCs w:val="20"/>
                    </w:rPr>
                    <m:t>Nenodrošināti</m:t>
                  </m:r>
                </m:sup>
              </m:sSubSup>
              <m:r>
                <w:rPr>
                  <w:rFonts w:ascii="Cambria Math" w:hAnsi="Cambria Math" w:cs="Arial"/>
                  <w:szCs w:val="20"/>
                </w:rPr>
                <m:t xml:space="preserve"> + </m:t>
              </m:r>
              <m:sSubSup>
                <m:sSubSupPr>
                  <m:ctrlPr>
                    <w:rPr>
                      <w:rFonts w:ascii="Cambria Math" w:hAnsi="Cambria Math" w:cs="Arial"/>
                      <w:i/>
                      <w:szCs w:val="20"/>
                    </w:rPr>
                  </m:ctrlPr>
                </m:sSubSupPr>
                <m:e>
                  <m:r>
                    <w:rPr>
                      <w:rFonts w:ascii="Cambria Math" w:hAnsi="Cambria Math" w:cs="Arial"/>
                      <w:szCs w:val="20"/>
                    </w:rPr>
                    <m:t>Iegādes diskonts</m:t>
                  </m:r>
                </m:e>
                <m:sub>
                  <m:r>
                    <w:rPr>
                      <w:rFonts w:ascii="Cambria Math" w:hAnsi="Cambria Math" w:cs="Arial"/>
                      <w:szCs w:val="20"/>
                    </w:rPr>
                    <m:t>i</m:t>
                  </m:r>
                </m:sub>
                <m:sup>
                  <m:r>
                    <w:rPr>
                      <w:rFonts w:ascii="Cambria Math" w:hAnsi="Cambria Math" w:cs="Arial"/>
                      <w:szCs w:val="20"/>
                    </w:rPr>
                    <m:t>Nenodrošināti</m:t>
                  </m:r>
                </m:sup>
              </m:sSubSup>
              <m:r>
                <w:rPr>
                  <w:rFonts w:ascii="Cambria Math" w:hAnsi="Cambria Math" w:cs="Arial"/>
                  <w:szCs w:val="20"/>
                </w:rPr>
                <m:t xml:space="preserve"> + </m:t>
              </m:r>
              <m:sSubSup>
                <m:sSubSupPr>
                  <m:ctrlPr>
                    <w:rPr>
                      <w:rFonts w:ascii="Cambria Math" w:hAnsi="Cambria Math" w:cs="Arial"/>
                      <w:i/>
                      <w:szCs w:val="20"/>
                    </w:rPr>
                  </m:ctrlPr>
                </m:sSubSupPr>
                <m:e>
                  <m:r>
                    <w:rPr>
                      <w:rFonts w:ascii="Cambria Math" w:hAnsi="Cambria Math" w:cs="Arial"/>
                      <w:szCs w:val="20"/>
                    </w:rPr>
                    <m:t>Daļēji norakstījumi</m:t>
                  </m:r>
                </m:e>
                <m:sub>
                  <m:r>
                    <w:rPr>
                      <w:rFonts w:ascii="Cambria Math" w:hAnsi="Cambria Math" w:cs="Arial"/>
                      <w:szCs w:val="20"/>
                    </w:rPr>
                    <m:t>i</m:t>
                  </m:r>
                </m:sub>
                <m:sup>
                  <m:r>
                    <w:rPr>
                      <w:rFonts w:ascii="Cambria Math" w:hAnsi="Cambria Math" w:cs="Arial"/>
                      <w:szCs w:val="20"/>
                    </w:rPr>
                    <m:t>Nenodrošināti</m:t>
                  </m:r>
                </m:sup>
              </m:sSubSup>
            </m:e>
          </m:d>
        </m:oMath>
      </m:oMathPara>
    </w:p>
    <w:p w14:paraId="189B06C3" w14:textId="77777777" w:rsidR="005D4B0D" w:rsidRPr="0089742C" w:rsidRDefault="005D4B0D" w:rsidP="005D4B0D">
      <w:pPr>
        <w:pStyle w:val="ECBBodyText"/>
        <w:spacing w:line="240" w:lineRule="auto"/>
        <w:jc w:val="both"/>
        <w:rPr>
          <w:rFonts w:cs="Arial"/>
          <w:bCs/>
          <w:kern w:val="28"/>
          <w:szCs w:val="20"/>
        </w:rPr>
      </w:pPr>
    </w:p>
    <w:p w14:paraId="0E5F1693" w14:textId="54B14130" w:rsidR="00D43334" w:rsidRPr="0089742C" w:rsidRDefault="00962807" w:rsidP="00A610BA">
      <w:pPr>
        <w:pStyle w:val="ECBBodyText"/>
        <w:jc w:val="both"/>
        <w:rPr>
          <w:rFonts w:cs="Arial"/>
          <w:szCs w:val="20"/>
        </w:rPr>
      </w:pPr>
      <w:r>
        <w:t xml:space="preserve">Piezīme. Nodrošinātie riska darījumi sīkāk iedalīti četrās kategorijās: </w:t>
      </w:r>
      <w:r>
        <w:rPr>
          <w:i/>
        </w:rPr>
        <w:t>"kuri ir nodrošināti ar nekustamo īpašumu vai mājokļa aizdevumu, ko garantē atbilstošs aizsardzības devējs"</w:t>
      </w:r>
      <w:r>
        <w:t>,</w:t>
      </w:r>
      <w:r>
        <w:rPr>
          <w:i/>
        </w:rPr>
        <w:t xml:space="preserve"> "kuri ir nodrošināti ar citu fondētu vai nefondētu kredītaizsardzību"</w:t>
      </w:r>
      <w:r>
        <w:t>,</w:t>
      </w:r>
      <w:r>
        <w:rPr>
          <w:i/>
        </w:rPr>
        <w:t xml:space="preserve"> "ko garantējušas vai kā atbalsta garantiju sniegušas valstu </w:t>
      </w:r>
      <w:r>
        <w:rPr>
          <w:i/>
        </w:rPr>
        <w:lastRenderedPageBreak/>
        <w:t>valdības vai citas valsts iestādes</w:t>
      </w:r>
      <w:r w:rsidR="00A610BA" w:rsidRPr="0089742C">
        <w:rPr>
          <w:rStyle w:val="FootnoteReference"/>
          <w:rFonts w:cs="Arial"/>
          <w:szCs w:val="20"/>
        </w:rPr>
        <w:footnoteReference w:id="6"/>
      </w:r>
      <w:r>
        <w:rPr>
          <w:i/>
        </w:rPr>
        <w:t xml:space="preserve"> (koeficients 1)</w:t>
      </w:r>
      <w:r w:rsidR="00A610BA">
        <w:rPr>
          <w:rStyle w:val="FootnoteReference"/>
          <w:rFonts w:cs="Arial"/>
          <w:i/>
          <w:iCs/>
          <w:szCs w:val="20"/>
        </w:rPr>
        <w:footnoteReference w:id="7"/>
      </w:r>
      <w:r>
        <w:rPr>
          <w:i/>
        </w:rPr>
        <w:t xml:space="preserve">" </w:t>
      </w:r>
      <w:r>
        <w:t xml:space="preserve">un </w:t>
      </w:r>
      <w:r>
        <w:rPr>
          <w:i/>
        </w:rPr>
        <w:t>"ko garantējušas vai kā atbalsta garantiju sniegušas valstu valdības vai citas valsts iestādes (koeficients 0)</w:t>
      </w:r>
      <w:r w:rsidR="00A610BA">
        <w:rPr>
          <w:rStyle w:val="FootnoteReference"/>
          <w:rFonts w:cs="Arial"/>
          <w:i/>
          <w:iCs/>
          <w:szCs w:val="20"/>
        </w:rPr>
        <w:footnoteReference w:id="8"/>
      </w:r>
      <w:r>
        <w:rPr>
          <w:i/>
        </w:rPr>
        <w:t>".</w:t>
      </w:r>
      <w:r>
        <w:t xml:space="preserve"> Atšķirību starp divām pēdējām kategorijām nosaka tas, vai atbilstošais aizsardzības devējs piekritis pilnībā un saskaņā ar sākotnējo līgumā noteikto maksājumu grafiku pildīt visas parādnieka maksājumu saistības pret iestādi, kā izklāstīts Regulas (ES) Nr. 575/2013 47.c panta 4. punkta b) apakšpunktā. Šīs četras kategorijas ir savstarpēji izslēdzošas un saskaņotas ar kategorijām, ko izmanto prudenciālā atbalsta mehānisma vajadzībām saskaņā ar Eiropas Parlamenta un Padomes 2024. gada 31. maija Regulu (ES) 2024/1623, ar ko groza Regulu (ES) Nr. 575/2013.</w:t>
      </w:r>
    </w:p>
    <w:p w14:paraId="029C54F1" w14:textId="77777777" w:rsidR="00D43334" w:rsidRPr="0089742C" w:rsidRDefault="00D43334" w:rsidP="002A252C">
      <w:pPr>
        <w:pStyle w:val="ECBBodyText"/>
        <w:jc w:val="both"/>
        <w:rPr>
          <w:rFonts w:cs="Arial"/>
          <w:szCs w:val="20"/>
        </w:rPr>
      </w:pPr>
    </w:p>
    <w:p w14:paraId="42735D1E" w14:textId="3A40473E" w:rsidR="003A55FE" w:rsidRPr="0089742C" w:rsidRDefault="003A55FE" w:rsidP="002A252C">
      <w:pPr>
        <w:pStyle w:val="ECBBodyText"/>
        <w:jc w:val="both"/>
        <w:rPr>
          <w:rFonts w:cs="Arial"/>
          <w:szCs w:val="20"/>
        </w:rPr>
      </w:pPr>
      <w:r>
        <w:rPr>
          <w:b/>
        </w:rPr>
        <w:t>3. solis.</w:t>
      </w:r>
      <w:r>
        <w:t xml:space="preserve"> Uzraudzītās iestādes aprēķina kopējos uzkrājumus un korekcijas vai atskaitījumus, nepārsniedzot minimālā seguma gaidas (t. i., kopējos uzkrājumus un korekcijas vai atskaitījumus (ar ierobežojumu)). Aprēķinus veic riska darījumu līmenī. Tas nepieciešams, lai varētu summēt seguma iztrūkumus, neņemot vērā dažu riska darījumu iespējamo seguma pārpalikumu.</w:t>
      </w:r>
    </w:p>
    <w:p w14:paraId="5EC83140" w14:textId="77777777" w:rsidR="00D7524E" w:rsidRPr="0089742C" w:rsidRDefault="00D7524E" w:rsidP="00F55543">
      <w:pPr>
        <w:pStyle w:val="ECBBodyText"/>
        <w:spacing w:line="240" w:lineRule="auto"/>
        <w:jc w:val="both"/>
        <w:rPr>
          <w:rFonts w:cs="Arial"/>
          <w:bCs/>
          <w:kern w:val="28"/>
          <w:szCs w:val="20"/>
        </w:rPr>
      </w:pPr>
    </w:p>
    <w:p w14:paraId="41163D91" w14:textId="24A33BA0" w:rsidR="006534C5" w:rsidRPr="0089742C" w:rsidRDefault="0071089F" w:rsidP="00D7524E">
      <w:pPr>
        <w:pStyle w:val="ECBBodyText"/>
        <w:spacing w:line="240" w:lineRule="auto"/>
        <w:jc w:val="both"/>
        <w:rPr>
          <w:rFonts w:cs="Arial"/>
          <w:szCs w:val="20"/>
        </w:rPr>
      </w:pPr>
      <m:oMathPara>
        <m:oMathParaPr>
          <m:jc m:val="left"/>
        </m:oMathParaPr>
        <m:oMath>
          <m:r>
            <w:rPr>
              <w:rFonts w:ascii="Cambria Math" w:hAnsi="Cambria Math" w:cs="Arial"/>
              <w:szCs w:val="20"/>
            </w:rPr>
            <m:t xml:space="preserve">Uzkrājumi un korekcijas vai atskaitījumi (ar ierobežojumu) </m:t>
          </m:r>
          <m:sSub>
            <m:sSubPr>
              <m:ctrlPr>
                <w:rPr>
                  <w:rFonts w:ascii="Cambria Math" w:hAnsi="Cambria Math" w:cs="Arial"/>
                  <w:i/>
                  <w:szCs w:val="20"/>
                </w:rPr>
              </m:ctrlPr>
            </m:sSubPr>
            <m:e>
              <m:r>
                <w:rPr>
                  <w:rFonts w:ascii="Cambria Math" w:hAnsi="Cambria Math" w:cs="Arial"/>
                  <w:szCs w:val="20"/>
                </w:rPr>
                <m:t>EV</m:t>
              </m:r>
            </m:e>
            <m:sub>
              <m:r>
                <w:rPr>
                  <w:rFonts w:ascii="Cambria Math" w:hAnsi="Cambria Math" w:cs="Arial"/>
                  <w:szCs w:val="20"/>
                </w:rPr>
                <m:t>i</m:t>
              </m:r>
            </m:sub>
          </m:sSub>
          <m:r>
            <w:rPr>
              <w:rFonts w:ascii="Cambria Math" w:hAnsi="Cambria Math" w:cs="Arial"/>
              <w:szCs w:val="20"/>
            </w:rPr>
            <m:t xml:space="preserve">= </m:t>
          </m:r>
        </m:oMath>
      </m:oMathPara>
    </w:p>
    <w:p w14:paraId="0D44AAF0" w14:textId="646D1497" w:rsidR="00D7524E" w:rsidRPr="00B94F1A" w:rsidRDefault="00802E0B" w:rsidP="00D7524E">
      <w:pPr>
        <w:pStyle w:val="ECBBodyText"/>
        <w:spacing w:line="240" w:lineRule="auto"/>
        <w:jc w:val="both"/>
        <w:rPr>
          <w:rFonts w:cs="Arial"/>
          <w:szCs w:val="20"/>
        </w:rPr>
      </w:pPr>
      <m:oMathPara>
        <m:oMathParaPr>
          <m:jc m:val="left"/>
        </m:oMathParaPr>
        <m:oMath>
          <m:sSub>
            <m:sSubPr>
              <m:ctrlPr>
                <w:rPr>
                  <w:rFonts w:ascii="Cambria Math" w:hAnsi="Cambria Math" w:cs="Arial"/>
                  <w:i/>
                  <w:szCs w:val="20"/>
                </w:rPr>
              </m:ctrlPr>
            </m:sSubPr>
            <m:e>
              <m:r>
                <w:rPr>
                  <w:rFonts w:ascii="Cambria Math" w:hAnsi="Cambria Math" w:cs="Arial"/>
                  <w:szCs w:val="20"/>
                </w:rPr>
                <m:t>CC</m:t>
              </m:r>
            </m:e>
            <m:sub>
              <m:r>
                <w:rPr>
                  <w:rFonts w:ascii="Cambria Math" w:hAnsi="Cambria Math" w:cs="Arial"/>
                  <w:szCs w:val="20"/>
                </w:rPr>
                <m:t>i</m:t>
              </m:r>
            </m:sub>
          </m:sSub>
          <m:r>
            <m:rPr>
              <m:sty m:val="p"/>
            </m:rPr>
            <w:rPr>
              <w:rFonts w:ascii="Cambria Math" w:hAnsi="Cambria Math" w:cs="Arial"/>
              <w:szCs w:val="20"/>
            </w:rPr>
            <m:t>=min⁡</m:t>
          </m:r>
          <m:d>
            <m:dPr>
              <m:ctrlPr>
                <w:rPr>
                  <w:rFonts w:ascii="Cambria Math" w:hAnsi="Cambria Math" w:cs="Arial"/>
                  <w:i/>
                  <w:szCs w:val="20"/>
                </w:rPr>
              </m:ctrlPr>
            </m:dPr>
            <m:e>
              <m:sSub>
                <m:sSubPr>
                  <m:ctrlPr>
                    <w:rPr>
                      <w:rFonts w:ascii="Cambria Math" w:hAnsi="Cambria Math" w:cs="Arial"/>
                      <w:i/>
                      <w:szCs w:val="20"/>
                    </w:rPr>
                  </m:ctrlPr>
                </m:sSubPr>
                <m:e>
                  <m:r>
                    <w:rPr>
                      <w:rFonts w:ascii="Cambria Math" w:hAnsi="Cambria Math" w:cs="Arial"/>
                      <w:szCs w:val="20"/>
                    </w:rPr>
                    <m:t>C</m:t>
                  </m:r>
                </m:e>
                <m:sub>
                  <m:r>
                    <w:rPr>
                      <w:rFonts w:ascii="Cambria Math" w:hAnsi="Cambria Math" w:cs="Arial"/>
                      <w:szCs w:val="20"/>
                    </w:rPr>
                    <m:t>i</m:t>
                  </m:r>
                </m:sub>
              </m:sSub>
              <m:r>
                <w:rPr>
                  <w:rFonts w:ascii="Cambria Math" w:hAnsi="Cambria Math" w:cs="Arial"/>
                  <w:szCs w:val="20"/>
                </w:rPr>
                <m:t>,</m:t>
              </m:r>
              <m:sSub>
                <m:sSubPr>
                  <m:ctrlPr>
                    <w:rPr>
                      <w:rFonts w:ascii="Cambria Math" w:hAnsi="Cambria Math" w:cs="Arial"/>
                      <w:i/>
                      <w:szCs w:val="20"/>
                    </w:rPr>
                  </m:ctrlPr>
                </m:sSubPr>
                <m:e>
                  <m:r>
                    <w:rPr>
                      <w:rFonts w:ascii="Cambria Math" w:hAnsi="Cambria Math" w:cs="Arial"/>
                      <w:szCs w:val="20"/>
                    </w:rPr>
                    <m:t>MCE</m:t>
                  </m:r>
                </m:e>
                <m:sub>
                  <m:r>
                    <w:rPr>
                      <w:rFonts w:ascii="Cambria Math" w:hAnsi="Cambria Math" w:cs="Arial"/>
                      <w:szCs w:val="20"/>
                    </w:rPr>
                    <m:t>i</m:t>
                  </m:r>
                </m:sub>
              </m:sSub>
            </m:e>
          </m:d>
        </m:oMath>
      </m:oMathPara>
    </w:p>
    <w:p w14:paraId="47BBCDAE" w14:textId="4AC97D86" w:rsidR="00B94F1A" w:rsidRDefault="00B94F1A" w:rsidP="00D7524E">
      <w:pPr>
        <w:pStyle w:val="ECBBodyText"/>
        <w:spacing w:line="240" w:lineRule="auto"/>
        <w:jc w:val="both"/>
        <w:rPr>
          <w:rFonts w:cs="Arial"/>
          <w:szCs w:val="20"/>
        </w:rPr>
      </w:pPr>
    </w:p>
    <w:p w14:paraId="5318B344" w14:textId="77777777" w:rsidR="00B94F1A" w:rsidRPr="0089742C" w:rsidRDefault="00B94F1A" w:rsidP="00B94F1A">
      <w:pPr>
        <w:pStyle w:val="ECBBodyText"/>
        <w:spacing w:line="240" w:lineRule="auto"/>
        <w:jc w:val="both"/>
        <w:rPr>
          <w:rFonts w:cs="Arial"/>
          <w:szCs w:val="20"/>
        </w:rPr>
      </w:pPr>
    </w:p>
    <w:p w14:paraId="75A21F40" w14:textId="77777777" w:rsidR="00B94F1A" w:rsidRPr="0089742C" w:rsidRDefault="00B94F1A" w:rsidP="00B94F1A">
      <w:pPr>
        <w:spacing w:before="0" w:after="0" w:line="240" w:lineRule="auto"/>
        <w:rPr>
          <w:rFonts w:cs="Arial"/>
          <w:szCs w:val="20"/>
        </w:rPr>
      </w:pPr>
    </w:p>
    <w:tbl>
      <w:tblPr>
        <w:tblStyle w:val="TableGrid"/>
        <w:tblW w:w="0" w:type="auto"/>
        <w:tblInd w:w="250" w:type="dxa"/>
        <w:tblLook w:val="04A0" w:firstRow="1" w:lastRow="0" w:firstColumn="1" w:lastColumn="0" w:noHBand="0" w:noVBand="1"/>
      </w:tblPr>
      <w:tblGrid>
        <w:gridCol w:w="8930"/>
      </w:tblGrid>
      <w:tr w:rsidR="00B94F1A" w:rsidRPr="0089742C" w14:paraId="1A7E5F83" w14:textId="77777777" w:rsidTr="00873909">
        <w:tc>
          <w:tcPr>
            <w:tcW w:w="8930" w:type="dxa"/>
          </w:tcPr>
          <w:p w14:paraId="6795DB80" w14:textId="6C0759B8" w:rsidR="00B94F1A" w:rsidRPr="0089742C" w:rsidRDefault="00B94F1A" w:rsidP="00873909">
            <w:pPr>
              <w:pStyle w:val="ECBBodyText"/>
              <w:rPr>
                <w:rFonts w:cs="Arial"/>
                <w:b/>
                <w:szCs w:val="20"/>
              </w:rPr>
            </w:pPr>
            <w:r>
              <w:rPr>
                <w:b/>
              </w:rPr>
              <w:t>1.–3. soļa piemērs</w:t>
            </w:r>
          </w:p>
          <w:p w14:paraId="152D604B" w14:textId="6A71DF1E" w:rsidR="00B94F1A" w:rsidRDefault="00B94F1A" w:rsidP="00873909">
            <w:pPr>
              <w:jc w:val="both"/>
              <w:rPr>
                <w:rFonts w:cs="Arial"/>
                <w:szCs w:val="20"/>
              </w:rPr>
            </w:pPr>
            <w:r>
              <w:t>Pieņemam, ka banka klientam X 2016. gadā piešķīrusi divus atsevišķus aizdevumus, kuri abi 2018. gada novembrī klasificēti kā ienākumus nenesoši:</w:t>
            </w:r>
          </w:p>
          <w:p w14:paraId="2A59B8F5" w14:textId="2528DE45" w:rsidR="008E3343" w:rsidRPr="007A2394" w:rsidRDefault="007A2394" w:rsidP="00F01A3F">
            <w:pPr>
              <w:ind w:left="720"/>
              <w:jc w:val="both"/>
              <w:rPr>
                <w:rFonts w:cs="Arial"/>
                <w:szCs w:val="20"/>
              </w:rPr>
            </w:pPr>
            <w:r>
              <w:t>1. aizdevums: hipotekārais kredīts (riska darījuma vērtība – 500), kas pilnībā nodrošināts ar klienta X mājokli. 2025. gada 31. decembrī banka šim kredītam uzrādījusi uzkrājumu (350);</w:t>
            </w:r>
          </w:p>
          <w:p w14:paraId="62D85BED" w14:textId="2BE3BB7C" w:rsidR="003121F4" w:rsidRDefault="007A2394" w:rsidP="00F01A3F">
            <w:pPr>
              <w:ind w:left="720"/>
              <w:jc w:val="both"/>
              <w:rPr>
                <w:rFonts w:cs="Arial"/>
                <w:szCs w:val="20"/>
              </w:rPr>
            </w:pPr>
            <w:r>
              <w:t>2. aizdevums: nenodrošināts patēriņa kredīts (riska darījuma vērtība – 50). 2025. gada 31. decembrī banka šim kredītam uzrādījusi uzkrājumu (20).</w:t>
            </w:r>
          </w:p>
          <w:p w14:paraId="0D38DC24" w14:textId="5A9C4349" w:rsidR="00F1580E" w:rsidRPr="007A2394" w:rsidRDefault="00F1580E" w:rsidP="003121F4">
            <w:pPr>
              <w:jc w:val="both"/>
              <w:rPr>
                <w:rFonts w:cs="Arial"/>
                <w:szCs w:val="20"/>
              </w:rPr>
            </w:pPr>
            <w:r>
              <w:t xml:space="preserve">Banka neizmanto IRB, un, izņemot iepriekš minētos uzkrājumus, tā nav veikusi papildu kapitāla atskaitījumus vai citas vērtības korekcijas saistībā ar šiem aizdevumiem. Tā arī nav norakstījusi </w:t>
            </w:r>
            <w:r>
              <w:lastRenderedPageBreak/>
              <w:t>nevienu šo aizdevumu daļu un neuzskata, ka pastāv īpaši apstākļi, kuru dēļ uzraudzības seguma gaidas attiecībā uz šiem aizdevumiem būtu neatbilstošas.</w:t>
            </w:r>
          </w:p>
          <w:p w14:paraId="503F9ADF" w14:textId="423A6881" w:rsidR="008E3343" w:rsidRPr="00F01A3F" w:rsidRDefault="008E3343" w:rsidP="008E3343">
            <w:pPr>
              <w:jc w:val="both"/>
              <w:rPr>
                <w:rFonts w:cs="Arial"/>
                <w:szCs w:val="20"/>
                <w:u w:val="single"/>
              </w:rPr>
            </w:pPr>
            <w:r>
              <w:rPr>
                <w:u w:val="single"/>
              </w:rPr>
              <w:t>1. solis.</w:t>
            </w:r>
          </w:p>
          <w:p w14:paraId="55C7F7E6" w14:textId="42CC7287" w:rsidR="007A2394" w:rsidRDefault="007A2394" w:rsidP="008E3343">
            <w:pPr>
              <w:jc w:val="both"/>
              <w:rPr>
                <w:rFonts w:cs="Arial"/>
                <w:szCs w:val="20"/>
              </w:rPr>
            </w:pPr>
            <w:r>
              <w:t>Pamatojoties uz rašanās datumu (2016. gads), uz abiem aizdevumiem attiecas uzraudzības seguma gaidas, kas nozīmē, ka par tiem jāsniedz pārskats 1. lapā "Ietvertie INRD". Atsauces datumā (2025. gada 31. decembrī) tie ietilpst turēšanas ilguma grupā "&gt; 7 gadi; &lt; = 8 gadi". Minimālā seguma gaidas abiem aizdevumiem aprēķina šādi.</w:t>
            </w:r>
          </w:p>
          <w:p w14:paraId="685F4009" w14:textId="50D76A64" w:rsidR="007B10B8" w:rsidRDefault="007A2394" w:rsidP="008E3343">
            <w:pPr>
              <w:jc w:val="both"/>
              <w:rPr>
                <w:rFonts w:cs="Arial"/>
                <w:szCs w:val="20"/>
              </w:rPr>
            </w:pPr>
            <w:r>
              <w:t>1. aizdevums: riska darījuma vērtība = 500, seguma gaidu koeficients = 0.6 </w:t>
            </w:r>
            <w:r>
              <w:sym w:font="Wingdings" w:char="F0E0"/>
            </w:r>
            <w:r>
              <w:t xml:space="preserve"> minimālā seguma gaidas = 300</w:t>
            </w:r>
          </w:p>
          <w:p w14:paraId="1CC04479" w14:textId="316BD7DC" w:rsidR="008C5909" w:rsidRDefault="008C5909" w:rsidP="008C5909">
            <w:pPr>
              <w:jc w:val="both"/>
              <w:rPr>
                <w:rFonts w:cs="Arial"/>
                <w:szCs w:val="20"/>
              </w:rPr>
            </w:pPr>
            <w:r>
              <w:t>2. aizdevums: riska darījuma vērtība = 50, seguma gaidu koeficients = 0.6 </w:t>
            </w:r>
            <w:r>
              <w:sym w:font="Wingdings" w:char="F0E0"/>
            </w:r>
            <w:r>
              <w:t xml:space="preserve"> minimālā seguma gaidas = 30</w:t>
            </w:r>
          </w:p>
          <w:p w14:paraId="512004A6" w14:textId="169A88CC" w:rsidR="008C5909" w:rsidRDefault="003121F4" w:rsidP="008E3343">
            <w:pPr>
              <w:jc w:val="both"/>
              <w:rPr>
                <w:rFonts w:cs="Arial"/>
                <w:szCs w:val="20"/>
                <w:u w:val="single"/>
              </w:rPr>
            </w:pPr>
            <w:r>
              <w:rPr>
                <w:u w:val="single"/>
              </w:rPr>
              <w:t>2. solis.</w:t>
            </w:r>
          </w:p>
          <w:p w14:paraId="417EA618" w14:textId="1144DBAE" w:rsidR="003121F4" w:rsidRDefault="000B6A2B" w:rsidP="008E3343">
            <w:pPr>
              <w:jc w:val="both"/>
              <w:rPr>
                <w:rFonts w:cs="Arial"/>
                <w:szCs w:val="20"/>
              </w:rPr>
            </w:pPr>
            <w:r>
              <w:t xml:space="preserve">Ņemot vērā iepriekš minēto, kopējo uzkrājumu un korekciju vai atskaitījumu summas </w:t>
            </w:r>
            <w:r>
              <w:rPr>
                <w:i/>
                <w:iCs/>
              </w:rPr>
              <w:t>bez ierobežojuma</w:t>
            </w:r>
            <w:r>
              <w:t xml:space="preserve"> abiem aizdevumiem šajā gadījumā vienkārši ir attiecīgo uzkrājumu summas (specifiskās kredītriska korekcijas), t. i., 350 1. aizdevuma gadījumā un 20 2. aizdevuma gadījumā.</w:t>
            </w:r>
          </w:p>
          <w:p w14:paraId="6FF52947" w14:textId="0E13DA8B" w:rsidR="000B6A2B" w:rsidRDefault="000B6A2B" w:rsidP="008E3343">
            <w:pPr>
              <w:jc w:val="both"/>
              <w:rPr>
                <w:rFonts w:cs="Arial"/>
                <w:szCs w:val="20"/>
                <w:u w:val="single"/>
              </w:rPr>
            </w:pPr>
            <w:r>
              <w:rPr>
                <w:u w:val="single"/>
              </w:rPr>
              <w:t>3. solis.</w:t>
            </w:r>
          </w:p>
          <w:p w14:paraId="102D0C8D" w14:textId="19AC6400" w:rsidR="008E3343" w:rsidRDefault="000B6A2B" w:rsidP="008E3343">
            <w:pPr>
              <w:jc w:val="both"/>
              <w:rPr>
                <w:rFonts w:cs="Arial"/>
                <w:szCs w:val="20"/>
              </w:rPr>
            </w:pPr>
            <w:r>
              <w:t xml:space="preserve">Kopējo uzkrājumu un korekciju vai atskaitījumu summas </w:t>
            </w:r>
            <w:r>
              <w:rPr>
                <w:i/>
                <w:iCs/>
              </w:rPr>
              <w:t>ar ierobežojumu</w:t>
            </w:r>
            <w:r>
              <w:t xml:space="preserve"> atbilst mazākajai no 1. un 2. solī aprēķinātajām vērtībām, t. i., 300 1. aizdevuma gadījumā un 20 2. aizdevuma gadījumā.</w:t>
            </w:r>
          </w:p>
          <w:p w14:paraId="08D3EC99" w14:textId="2C396907" w:rsidR="00B94F1A" w:rsidRPr="00F01A3F" w:rsidRDefault="000B6A2B" w:rsidP="00F01A3F">
            <w:pPr>
              <w:jc w:val="both"/>
              <w:rPr>
                <w:rFonts w:cs="Arial"/>
                <w:szCs w:val="20"/>
              </w:rPr>
            </w:pPr>
            <w:r>
              <w:t>Šo divu vērtību kopsumma (320) veido summu "kopējie uzkrājumi un korekcijas vai atskaitījumi (ar ierobežojumu)", kas jāuzrāda 2. tabulas 200. rindā (šajā gadījumā 100. ailē). Šo summu ar ierobežojumu izmanto, lai aprēķinātu kopējo hipotētisko iztrūkumu salīdzinājumā ar seguma gaidām (010. rinda). Attiecīgi fakts, ka 1. aizdevumam izveidotais uzkrājums pārsniedz minimālā seguma gaidas par 50 (350–300), nekompensē un nelīdzsvaro faktu, ka 2. aizdevuma uzkrājums ir par 10 (30–20) mazāks nekā minimālā seguma gaidas.</w:t>
            </w:r>
          </w:p>
          <w:p w14:paraId="033EC7A9" w14:textId="77777777" w:rsidR="00B94F1A" w:rsidRPr="0089742C" w:rsidRDefault="00B94F1A" w:rsidP="00F01A3F">
            <w:pPr>
              <w:rPr>
                <w:rFonts w:cs="Arial"/>
                <w:szCs w:val="20"/>
              </w:rPr>
            </w:pPr>
          </w:p>
        </w:tc>
      </w:tr>
    </w:tbl>
    <w:p w14:paraId="2EE150ED" w14:textId="77777777" w:rsidR="00B94F1A" w:rsidRPr="0089742C" w:rsidRDefault="00B94F1A" w:rsidP="00D7524E">
      <w:pPr>
        <w:pStyle w:val="ECBBodyText"/>
        <w:spacing w:line="240" w:lineRule="auto"/>
        <w:jc w:val="both"/>
        <w:rPr>
          <w:rFonts w:cs="Arial"/>
          <w:szCs w:val="20"/>
        </w:rPr>
      </w:pPr>
    </w:p>
    <w:p w14:paraId="1E5E62B3" w14:textId="77777777" w:rsidR="00184790" w:rsidRPr="0089742C" w:rsidRDefault="00184790" w:rsidP="00D7524E">
      <w:pPr>
        <w:pStyle w:val="ECBBodyText"/>
        <w:spacing w:line="240" w:lineRule="auto"/>
        <w:jc w:val="both"/>
        <w:rPr>
          <w:rFonts w:cs="Arial"/>
          <w:szCs w:val="20"/>
        </w:rPr>
      </w:pPr>
    </w:p>
    <w:p w14:paraId="25FD38A2" w14:textId="77777777" w:rsidR="00DF70F7" w:rsidRPr="0089742C" w:rsidRDefault="00DF70F7">
      <w:pPr>
        <w:spacing w:before="0" w:after="0" w:line="240" w:lineRule="auto"/>
        <w:rPr>
          <w:rFonts w:cs="Arial"/>
          <w:szCs w:val="20"/>
        </w:rPr>
      </w:pPr>
    </w:p>
    <w:tbl>
      <w:tblPr>
        <w:tblStyle w:val="TableGrid"/>
        <w:tblW w:w="0" w:type="auto"/>
        <w:tblInd w:w="250" w:type="dxa"/>
        <w:tblLook w:val="04A0" w:firstRow="1" w:lastRow="0" w:firstColumn="1" w:lastColumn="0" w:noHBand="0" w:noVBand="1"/>
      </w:tblPr>
      <w:tblGrid>
        <w:gridCol w:w="8930"/>
      </w:tblGrid>
      <w:tr w:rsidR="00DF70F7" w:rsidRPr="0089742C" w14:paraId="76F1F188" w14:textId="77777777" w:rsidTr="00921922">
        <w:tc>
          <w:tcPr>
            <w:tcW w:w="8930" w:type="dxa"/>
          </w:tcPr>
          <w:p w14:paraId="7E725CE4" w14:textId="77777777" w:rsidR="00DF70F7" w:rsidRPr="0089742C" w:rsidRDefault="00DF70F7" w:rsidP="00921922">
            <w:pPr>
              <w:pStyle w:val="ECBBodyText"/>
              <w:rPr>
                <w:rFonts w:cs="Arial"/>
                <w:b/>
                <w:szCs w:val="20"/>
              </w:rPr>
            </w:pPr>
            <w:r>
              <w:rPr>
                <w:b/>
              </w:rPr>
              <w:t>Pieeja daļējai norakstīšanai</w:t>
            </w:r>
          </w:p>
          <w:p w14:paraId="04627FF5" w14:textId="2FED6BC5" w:rsidR="00963B0B" w:rsidRPr="0089742C" w:rsidRDefault="00963B0B" w:rsidP="00963B0B">
            <w:pPr>
              <w:jc w:val="both"/>
              <w:rPr>
                <w:rFonts w:cs="Arial"/>
                <w:szCs w:val="20"/>
              </w:rPr>
            </w:pPr>
            <w:r>
              <w:t xml:space="preserve">Daļējie norakstījumi jāņem vērā, aprēķinot kopējos uzkrājumus un korekcijas vai atskaitījumus. Lai izvairītos no norakstījumu dubultas uzskaites, jāizmanto riska darījuma sākotnējā vērtība, pirms veikta daļējā norakstīšana. </w:t>
            </w:r>
          </w:p>
          <w:p w14:paraId="51D3877C" w14:textId="7FE0C605" w:rsidR="00963B0B" w:rsidRPr="0089742C" w:rsidRDefault="00963B0B" w:rsidP="00963B0B">
            <w:pPr>
              <w:jc w:val="both"/>
              <w:rPr>
                <w:rFonts w:cs="Arial"/>
                <w:szCs w:val="20"/>
              </w:rPr>
            </w:pPr>
            <w:r>
              <w:lastRenderedPageBreak/>
              <w:t>Jāņem vērā tie daļējie norakstījumi, ko iestāde veikusi kopš pēdējās reizes, kad riska darījums klasificēts kā ienākumus nenesošs.</w:t>
            </w:r>
          </w:p>
          <w:p w14:paraId="3B0183B4" w14:textId="77777777" w:rsidR="00963B0B" w:rsidRPr="0089742C" w:rsidRDefault="00963B0B" w:rsidP="00963B0B">
            <w:pPr>
              <w:rPr>
                <w:rFonts w:cs="Arial"/>
                <w:szCs w:val="20"/>
                <w:u w:val="single"/>
              </w:rPr>
            </w:pPr>
          </w:p>
          <w:p w14:paraId="44265A32" w14:textId="77777777" w:rsidR="00963B0B" w:rsidRPr="0089742C" w:rsidRDefault="00963B0B" w:rsidP="00963B0B">
            <w:pPr>
              <w:rPr>
                <w:rFonts w:cs="Arial"/>
                <w:szCs w:val="20"/>
                <w:u w:val="single"/>
              </w:rPr>
            </w:pPr>
            <w:r>
              <w:rPr>
                <w:u w:val="single"/>
              </w:rPr>
              <w:t>Piemērs</w:t>
            </w:r>
          </w:p>
          <w:p w14:paraId="0E5F06C9" w14:textId="77777777" w:rsidR="00963B0B" w:rsidRPr="0089742C" w:rsidRDefault="00963B0B" w:rsidP="00963B0B">
            <w:pPr>
              <w:rPr>
                <w:rFonts w:cs="Arial"/>
                <w:i/>
                <w:iCs/>
                <w:szCs w:val="20"/>
              </w:rPr>
            </w:pPr>
            <w:r>
              <w:rPr>
                <w:i/>
              </w:rPr>
              <w:t xml:space="preserve">Nodrošināts INK = 200 euro pirms pēdējās daļējās norakstīšanas, daļējais norakstījums = 100 euro; uzkrājums = 40 euro; neto INK = 60. </w:t>
            </w:r>
          </w:p>
          <w:p w14:paraId="6E93FF98" w14:textId="6DFF0C3C" w:rsidR="00963B0B" w:rsidRPr="0089742C" w:rsidRDefault="00963B0B" w:rsidP="00963B0B">
            <w:pPr>
              <w:rPr>
                <w:rFonts w:cs="Arial"/>
                <w:szCs w:val="20"/>
              </w:rPr>
            </w:pPr>
          </w:p>
          <w:p w14:paraId="3EC15B5C" w14:textId="77777777" w:rsidR="00963B0B" w:rsidRPr="0089742C" w:rsidRDefault="00963B0B" w:rsidP="00963B0B">
            <w:pPr>
              <w:rPr>
                <w:rFonts w:cs="Arial"/>
                <w:szCs w:val="20"/>
              </w:rPr>
            </w:pPr>
            <w:r>
              <w:t>Nepareiza pieeja:</w:t>
            </w:r>
          </w:p>
          <w:p w14:paraId="1ADABD0E" w14:textId="56570076" w:rsidR="00963B0B" w:rsidRPr="0089742C" w:rsidRDefault="00963B0B" w:rsidP="00963B0B">
            <w:pPr>
              <w:rPr>
                <w:rFonts w:cs="Arial"/>
                <w:szCs w:val="20"/>
              </w:rPr>
            </w:pPr>
            <w:r>
              <w:t xml:space="preserve">  [Riska darījuma vērtība = 100; uzkrājuma segums: 40/100 = 40 %] </w:t>
            </w:r>
          </w:p>
          <w:p w14:paraId="54937363" w14:textId="77777777" w:rsidR="00963B0B" w:rsidRPr="0089742C" w:rsidRDefault="00963B0B" w:rsidP="00963B0B">
            <w:pPr>
              <w:rPr>
                <w:rFonts w:cs="Arial"/>
                <w:szCs w:val="20"/>
              </w:rPr>
            </w:pPr>
            <w:r>
              <w:t>Pareiza pieeja:</w:t>
            </w:r>
          </w:p>
          <w:p w14:paraId="37BE8ABC" w14:textId="7D1544FE" w:rsidR="00963B0B" w:rsidRPr="0089742C" w:rsidRDefault="00963B0B" w:rsidP="00963B0B">
            <w:pPr>
              <w:rPr>
                <w:rFonts w:cs="Arial"/>
                <w:szCs w:val="20"/>
              </w:rPr>
            </w:pPr>
            <w:r>
              <w:t xml:space="preserve">  [Riska darījuma vērtība = 200; koriģēts uzkrājuma segums: (40+100)/(100+100) =70 %] </w:t>
            </w:r>
          </w:p>
          <w:p w14:paraId="23DD2C1C" w14:textId="77777777" w:rsidR="00DF70F7" w:rsidRPr="0089742C" w:rsidRDefault="00DF70F7" w:rsidP="00921922">
            <w:pPr>
              <w:pStyle w:val="ECBBodyText"/>
              <w:spacing w:line="240" w:lineRule="auto"/>
              <w:rPr>
                <w:rFonts w:cs="Arial"/>
                <w:szCs w:val="20"/>
              </w:rPr>
            </w:pPr>
          </w:p>
        </w:tc>
      </w:tr>
    </w:tbl>
    <w:p w14:paraId="3ACBD38F" w14:textId="77777777" w:rsidR="00DF70F7" w:rsidRPr="0089742C" w:rsidRDefault="00DF70F7">
      <w:pPr>
        <w:spacing w:before="0" w:after="0" w:line="240" w:lineRule="auto"/>
        <w:rPr>
          <w:rFonts w:cs="Arial"/>
          <w:szCs w:val="20"/>
        </w:rPr>
      </w:pPr>
    </w:p>
    <w:tbl>
      <w:tblPr>
        <w:tblStyle w:val="TableGrid"/>
        <w:tblW w:w="0" w:type="auto"/>
        <w:tblInd w:w="250" w:type="dxa"/>
        <w:tblLook w:val="04A0" w:firstRow="1" w:lastRow="0" w:firstColumn="1" w:lastColumn="0" w:noHBand="0" w:noVBand="1"/>
      </w:tblPr>
      <w:tblGrid>
        <w:gridCol w:w="8930"/>
      </w:tblGrid>
      <w:tr w:rsidR="00DF70F7" w:rsidRPr="0089742C" w14:paraId="1D1BCC42" w14:textId="77777777" w:rsidTr="00921922">
        <w:tc>
          <w:tcPr>
            <w:tcW w:w="8930" w:type="dxa"/>
          </w:tcPr>
          <w:p w14:paraId="387FF72E" w14:textId="77777777" w:rsidR="00DF70F7" w:rsidRPr="0089742C" w:rsidRDefault="00DF70F7" w:rsidP="00921922">
            <w:pPr>
              <w:pStyle w:val="ECBBodyText"/>
              <w:rPr>
                <w:rFonts w:cs="Arial"/>
                <w:b/>
                <w:szCs w:val="20"/>
              </w:rPr>
            </w:pPr>
            <w:r>
              <w:rPr>
                <w:b/>
              </w:rPr>
              <w:t>Pieeja iegādātajiem INRD</w:t>
            </w:r>
          </w:p>
          <w:p w14:paraId="203A7E93" w14:textId="57A61C12" w:rsidR="00963B0B" w:rsidRDefault="00963B0B" w:rsidP="00963B0B">
            <w:pPr>
              <w:jc w:val="both"/>
              <w:rPr>
                <w:rFonts w:cs="Arial"/>
                <w:szCs w:val="20"/>
              </w:rPr>
            </w:pPr>
            <w:r>
              <w:t xml:space="preserve">Attiecībā uz iegādātajiem INRD, salīdzinot segumu ar uzraudzības gaidām, tiek ņemta vērā starpība starp zemāko iegādes cenu un debitora parāda nominālvērtību, ko iekļauj bankas prudenciālo uzkrājumu apjomā. </w:t>
            </w:r>
          </w:p>
          <w:p w14:paraId="2B162335" w14:textId="1A8FCCFC" w:rsidR="00DF70F7" w:rsidRDefault="00963B0B" w:rsidP="00F421F7">
            <w:pPr>
              <w:jc w:val="both"/>
              <w:rPr>
                <w:rFonts w:cs="Arial"/>
                <w:szCs w:val="20"/>
              </w:rPr>
            </w:pPr>
            <w:r>
              <w:t>Turēšanas ilgumu jāskaita, pamatojoties uz datumu, kad INRD sākotnēji klasificēts kā ienākumus nenesošs.</w:t>
            </w:r>
          </w:p>
          <w:p w14:paraId="10FA0A1A" w14:textId="77777777" w:rsidR="004B690F" w:rsidRPr="0089742C" w:rsidRDefault="004B690F" w:rsidP="004B690F">
            <w:pPr>
              <w:rPr>
                <w:rFonts w:cs="Arial"/>
                <w:szCs w:val="20"/>
                <w:u w:val="single"/>
              </w:rPr>
            </w:pPr>
            <w:r>
              <w:rPr>
                <w:u w:val="single"/>
              </w:rPr>
              <w:t>Piemērs</w:t>
            </w:r>
          </w:p>
          <w:p w14:paraId="636248DB" w14:textId="1640375E" w:rsidR="004B690F" w:rsidRPr="0089742C" w:rsidRDefault="004B690F" w:rsidP="004B690F">
            <w:pPr>
              <w:rPr>
                <w:rFonts w:cs="Arial"/>
                <w:i/>
                <w:iCs/>
                <w:szCs w:val="20"/>
              </w:rPr>
            </w:pPr>
            <w:r>
              <w:rPr>
                <w:i/>
              </w:rPr>
              <w:t xml:space="preserve">Nenodrošināts kredīts, ko izsniedzēja banka 5.5 gadus pirms pārskata datuma klasificējusi kā INK un kas pārdots pārskatu sniedzējai bankai 9 mēnešus pirms pārskata datuma. Aizdevuma nominālvērtība = 100 euro, iegādes cena = 70 euro. Pārskatu sniedzējas bankas iegrāmatotais uzkrājums = 50 euro.  </w:t>
            </w:r>
          </w:p>
          <w:p w14:paraId="14B1FBD6" w14:textId="77777777" w:rsidR="004B690F" w:rsidRPr="0089742C" w:rsidRDefault="004B690F" w:rsidP="004B690F">
            <w:pPr>
              <w:rPr>
                <w:rFonts w:cs="Arial"/>
                <w:szCs w:val="20"/>
              </w:rPr>
            </w:pPr>
            <w:r>
              <w:t>Nepareiza pieeja:</w:t>
            </w:r>
          </w:p>
          <w:p w14:paraId="05DB57AE" w14:textId="20355FC5" w:rsidR="004B690F" w:rsidRDefault="004B690F" w:rsidP="004B690F">
            <w:pPr>
              <w:rPr>
                <w:rFonts w:cs="Arial"/>
                <w:szCs w:val="20"/>
              </w:rPr>
            </w:pPr>
            <w:r>
              <w:t xml:space="preserve">[Riska darījuma vērtība = 70; uzkrājuma segums: 50/70 = 71 %] </w:t>
            </w:r>
          </w:p>
          <w:p w14:paraId="1214BAD6" w14:textId="6EED3AB5" w:rsidR="004B690F" w:rsidRPr="005F156C" w:rsidRDefault="004B690F" w:rsidP="004B690F">
            <w:pPr>
              <w:rPr>
                <w:rFonts w:cs="Arial"/>
                <w:szCs w:val="20"/>
              </w:rPr>
            </w:pPr>
            <w:r>
              <w:t xml:space="preserve">[Seguma koeficients, pamatojoties uz turēšanas ilgumu 0–1 gads </w:t>
            </w:r>
            <w:r>
              <w:sym w:font="Wingdings" w:char="F0E0"/>
            </w:r>
            <w:r>
              <w:t xml:space="preserve"> 0]</w:t>
            </w:r>
          </w:p>
          <w:p w14:paraId="0D97D802" w14:textId="77777777" w:rsidR="004B690F" w:rsidRPr="0089742C" w:rsidRDefault="004B690F" w:rsidP="004B690F">
            <w:pPr>
              <w:rPr>
                <w:rFonts w:cs="Arial"/>
                <w:szCs w:val="20"/>
              </w:rPr>
            </w:pPr>
            <w:r>
              <w:t>Pareiza pieeja:</w:t>
            </w:r>
          </w:p>
          <w:p w14:paraId="15466E17" w14:textId="575A4431" w:rsidR="004B690F" w:rsidRPr="0089742C" w:rsidRDefault="004B690F" w:rsidP="004B690F">
            <w:pPr>
              <w:rPr>
                <w:rFonts w:cs="Arial"/>
                <w:szCs w:val="20"/>
              </w:rPr>
            </w:pPr>
            <w:r>
              <w:t xml:space="preserve">[Riska darījuma vērtība = 100; koriģēts uzkrājuma segums: (50+100–70)/100 = 80 %] </w:t>
            </w:r>
          </w:p>
          <w:p w14:paraId="72910701" w14:textId="7BF258FE" w:rsidR="00763EBC" w:rsidRPr="00A5179C" w:rsidRDefault="00763EBC" w:rsidP="00763EBC">
            <w:pPr>
              <w:rPr>
                <w:rFonts w:cs="Arial"/>
                <w:szCs w:val="20"/>
              </w:rPr>
            </w:pPr>
            <w:r>
              <w:t xml:space="preserve">[Seguma koeficients, pamatojoties uz turēšanas ilgumu 5–6 gadi </w:t>
            </w:r>
            <w:r>
              <w:sym w:font="Wingdings" w:char="F0E0"/>
            </w:r>
            <w:r>
              <w:t xml:space="preserve"> 1]</w:t>
            </w:r>
          </w:p>
          <w:p w14:paraId="7F167F3A" w14:textId="0DD9F0DB" w:rsidR="004B690F" w:rsidRPr="0089742C" w:rsidRDefault="004B690F" w:rsidP="00F421F7">
            <w:pPr>
              <w:jc w:val="both"/>
              <w:rPr>
                <w:rFonts w:cs="Arial"/>
                <w:szCs w:val="20"/>
              </w:rPr>
            </w:pPr>
          </w:p>
        </w:tc>
      </w:tr>
    </w:tbl>
    <w:p w14:paraId="4E77C0F0" w14:textId="77777777" w:rsidR="00DF70F7" w:rsidRPr="0089742C" w:rsidRDefault="00DF70F7">
      <w:pPr>
        <w:spacing w:before="0" w:after="0" w:line="240" w:lineRule="auto"/>
        <w:rPr>
          <w:rFonts w:cs="Arial"/>
          <w:szCs w:val="20"/>
        </w:rPr>
      </w:pPr>
    </w:p>
    <w:tbl>
      <w:tblPr>
        <w:tblStyle w:val="TableGrid"/>
        <w:tblW w:w="0" w:type="auto"/>
        <w:tblInd w:w="250" w:type="dxa"/>
        <w:tblLook w:val="04A0" w:firstRow="1" w:lastRow="0" w:firstColumn="1" w:lastColumn="0" w:noHBand="0" w:noVBand="1"/>
      </w:tblPr>
      <w:tblGrid>
        <w:gridCol w:w="8930"/>
      </w:tblGrid>
      <w:tr w:rsidR="00DF70F7" w:rsidRPr="0089742C" w14:paraId="0AD8EAD3" w14:textId="77777777" w:rsidTr="00921922">
        <w:tc>
          <w:tcPr>
            <w:tcW w:w="8930" w:type="dxa"/>
          </w:tcPr>
          <w:p w14:paraId="6331A388" w14:textId="317F0564" w:rsidR="00DF70F7" w:rsidRPr="0089742C" w:rsidRDefault="00DF70F7" w:rsidP="00921922">
            <w:pPr>
              <w:pStyle w:val="ECBBodyText"/>
              <w:rPr>
                <w:rFonts w:cs="Arial"/>
                <w:b/>
                <w:szCs w:val="20"/>
              </w:rPr>
            </w:pPr>
            <w:r>
              <w:rPr>
                <w:b/>
              </w:rPr>
              <w:lastRenderedPageBreak/>
              <w:t xml:space="preserve">IRB deficīta sadalījums atsevišķiem riska darījumiem </w:t>
            </w:r>
          </w:p>
          <w:p w14:paraId="025B8B47" w14:textId="77777777" w:rsidR="00A00FB1" w:rsidRPr="0089742C" w:rsidRDefault="001764E5" w:rsidP="00F421F7">
            <w:pPr>
              <w:jc w:val="both"/>
              <w:rPr>
                <w:rFonts w:cs="Arial"/>
                <w:szCs w:val="20"/>
              </w:rPr>
            </w:pPr>
            <w:r>
              <w:t xml:space="preserve">IRB deficīta sadalījums atsevišķiem riska darījumiem jāveic saskaņā ar Regulas (ES) 2019/630 47.c panta 1. punkta b) apakšpunkta iv) punktā noteikto pieeju: </w:t>
            </w:r>
          </w:p>
          <w:p w14:paraId="0CFAC15E" w14:textId="7F1F054D" w:rsidR="001764E5" w:rsidRPr="0089742C" w:rsidRDefault="001764E5" w:rsidP="00F421F7">
            <w:pPr>
              <w:ind w:left="360"/>
              <w:jc w:val="both"/>
              <w:rPr>
                <w:rFonts w:cs="Arial"/>
                <w:szCs w:val="20"/>
              </w:rPr>
            </w:pPr>
            <w:r>
              <w:rPr>
                <w:i/>
                <w:iCs/>
              </w:rPr>
              <w:t>"attiecībā uz uzraudzītajām iestādēm, kas riska darījumu risksvērtās vērtības aprēķina, izmantojot uz iekšējiem reitingiem balstītu pieeju, to summu absolūtā vērtība, kuras atskaitītas, ievērojot 36. panta 1. punkta d) apakšpunktu, un kuras attiecas uz ienākumus nenesošiem riska darījumiem, ja absolūto vērtību, kas attiecināma uz katru ienākumus nenesošo riska darījumu, nosaka, summas, kas atskaitītas, ievērojot 36. panta 1. punkta d) apakšpunktu, reizinot ar ienākumus nenesošo riska darījumu paredzamo zaudējumu apmēra daļu no paredzamo zaudējumu apmēra kopsummas, attiecīgi, riska darījumiem, kuriem iestājusies saistību neizpilde, vai riska darījumiem, kuriem nav iestājusies saistību neizpilde."</w:t>
            </w:r>
          </w:p>
        </w:tc>
      </w:tr>
    </w:tbl>
    <w:p w14:paraId="3EB5698C" w14:textId="77777777" w:rsidR="00184790" w:rsidRPr="0089742C" w:rsidRDefault="00184790">
      <w:pPr>
        <w:spacing w:before="0" w:after="0" w:line="240" w:lineRule="auto"/>
        <w:rPr>
          <w:rFonts w:cs="Arial"/>
          <w:szCs w:val="20"/>
        </w:rPr>
      </w:pPr>
      <w:r>
        <w:br w:type="page"/>
      </w:r>
    </w:p>
    <w:tbl>
      <w:tblPr>
        <w:tblStyle w:val="TableGrid"/>
        <w:tblW w:w="0" w:type="auto"/>
        <w:tblInd w:w="250" w:type="dxa"/>
        <w:tblLook w:val="04A0" w:firstRow="1" w:lastRow="0" w:firstColumn="1" w:lastColumn="0" w:noHBand="0" w:noVBand="1"/>
      </w:tblPr>
      <w:tblGrid>
        <w:gridCol w:w="8930"/>
      </w:tblGrid>
      <w:tr w:rsidR="001764E5" w:rsidRPr="0089742C" w14:paraId="7B7D1431" w14:textId="77777777" w:rsidTr="00921922">
        <w:tc>
          <w:tcPr>
            <w:tcW w:w="8930" w:type="dxa"/>
          </w:tcPr>
          <w:p w14:paraId="509F06B0" w14:textId="77777777" w:rsidR="001764E5" w:rsidRPr="0089742C" w:rsidRDefault="001764E5" w:rsidP="00921922">
            <w:pPr>
              <w:pStyle w:val="ECBBodyText"/>
              <w:rPr>
                <w:rFonts w:cs="Arial"/>
                <w:b/>
                <w:szCs w:val="20"/>
              </w:rPr>
            </w:pPr>
            <w:r>
              <w:rPr>
                <w:b/>
              </w:rPr>
              <w:lastRenderedPageBreak/>
              <w:t>Prudenciālo uzkrājumu apjoma sadalījums starp INRD nodrošināto un nenodrošināto daļu</w:t>
            </w:r>
          </w:p>
          <w:p w14:paraId="7FD07748" w14:textId="77777777" w:rsidR="001764E5" w:rsidRPr="0089742C" w:rsidRDefault="001764E5" w:rsidP="001F3324">
            <w:pPr>
              <w:jc w:val="both"/>
              <w:rPr>
                <w:rFonts w:cs="Arial"/>
                <w:szCs w:val="20"/>
              </w:rPr>
            </w:pPr>
            <w:r>
              <w:t xml:space="preserve">Ja riska darījums ir daļēji nodrošināts, paredzamo iztrūkumu zaudējuma gadījumā galvenokārt var attiecināt uz nenodrošināto daļu. Līdzīgā veidā kolektīvie uzkrājumi konsekventi jāattiecina uz atsevišķiem riska darījumiem. Ja riska darījums ir daļēji nodrošināts, arī šajā gadījumā uzkrājumus var galvenokārt attiecināt uz riska darījuma nenodrošināto daļu. </w:t>
            </w:r>
          </w:p>
        </w:tc>
      </w:tr>
    </w:tbl>
    <w:p w14:paraId="087C9291" w14:textId="77777777" w:rsidR="001764E5" w:rsidRPr="0089742C" w:rsidRDefault="001764E5">
      <w:pPr>
        <w:spacing w:before="0" w:after="0" w:line="240" w:lineRule="auto"/>
        <w:rPr>
          <w:rFonts w:cs="Arial"/>
          <w:szCs w:val="20"/>
        </w:rPr>
      </w:pPr>
    </w:p>
    <w:p w14:paraId="2E0F7468" w14:textId="77777777" w:rsidR="004867F5" w:rsidRPr="0089742C" w:rsidRDefault="004867F5" w:rsidP="004867F5">
      <w:pPr>
        <w:pStyle w:val="ECBBodyText"/>
        <w:rPr>
          <w:rFonts w:cs="Arial"/>
          <w:szCs w:val="20"/>
        </w:rPr>
      </w:pPr>
    </w:p>
    <w:p w14:paraId="21F1884F" w14:textId="77777777" w:rsidR="004867F5" w:rsidRPr="0089742C" w:rsidRDefault="00A25FA2" w:rsidP="00A25FA2">
      <w:pPr>
        <w:pStyle w:val="ECBBodyText"/>
        <w:outlineLvl w:val="0"/>
        <w:rPr>
          <w:rFonts w:cs="Arial"/>
          <w:b/>
          <w:szCs w:val="20"/>
        </w:rPr>
      </w:pPr>
      <w:r>
        <w:rPr>
          <w:b/>
        </w:rPr>
        <w:t>3. Veidņu aizpildīšana</w:t>
      </w:r>
    </w:p>
    <w:p w14:paraId="4A06FFF6" w14:textId="77777777" w:rsidR="00697CB7" w:rsidRPr="0089742C" w:rsidRDefault="00697CB7">
      <w:pPr>
        <w:spacing w:before="0" w:after="0" w:line="240" w:lineRule="auto"/>
        <w:rPr>
          <w:rFonts w:eastAsiaTheme="minorEastAsia" w:cs="Arial"/>
          <w:szCs w:val="20"/>
          <w:lang w:eastAsia="en-US"/>
        </w:rPr>
      </w:pPr>
    </w:p>
    <w:p w14:paraId="4706AC4E" w14:textId="77777777" w:rsidR="002B6975" w:rsidRPr="0089742C" w:rsidRDefault="002B6975">
      <w:pPr>
        <w:spacing w:before="0" w:after="0" w:line="240" w:lineRule="auto"/>
        <w:rPr>
          <w:rFonts w:cs="Arial"/>
          <w:b/>
          <w:szCs w:val="20"/>
        </w:rPr>
      </w:pPr>
    </w:p>
    <w:p w14:paraId="660D074C" w14:textId="1554DB8A" w:rsidR="00267D53" w:rsidRPr="0089742C" w:rsidRDefault="00A25FA2" w:rsidP="00A25FA2">
      <w:pPr>
        <w:pStyle w:val="Heading2"/>
        <w:numPr>
          <w:ilvl w:val="0"/>
          <w:numId w:val="0"/>
        </w:numPr>
        <w:ind w:left="851"/>
        <w:rPr>
          <w:rFonts w:eastAsiaTheme="minorEastAsia" w:cs="Arial"/>
          <w:szCs w:val="20"/>
        </w:rPr>
      </w:pPr>
      <w:r>
        <w:t>3.1. Norādījumi par 1. lapu "Ietvertie INRD"</w:t>
      </w:r>
    </w:p>
    <w:p w14:paraId="1CDDDC15" w14:textId="77777777" w:rsidR="00267D53" w:rsidRPr="0089742C" w:rsidRDefault="00267D53">
      <w:pPr>
        <w:spacing w:before="0" w:after="0" w:line="240" w:lineRule="auto"/>
        <w:rPr>
          <w:rFonts w:eastAsiaTheme="minorEastAsia" w:cs="Arial"/>
          <w:szCs w:val="20"/>
          <w:lang w:eastAsia="en-US"/>
        </w:rPr>
      </w:pPr>
    </w:p>
    <w:tbl>
      <w:tblPr>
        <w:tblStyle w:val="TableGrid"/>
        <w:tblW w:w="10036" w:type="dxa"/>
        <w:tblLayout w:type="fixed"/>
        <w:tblLook w:val="04A0" w:firstRow="1" w:lastRow="0" w:firstColumn="1" w:lastColumn="0" w:noHBand="0" w:noVBand="1"/>
      </w:tblPr>
      <w:tblGrid>
        <w:gridCol w:w="1191"/>
        <w:gridCol w:w="8845"/>
      </w:tblGrid>
      <w:tr w:rsidR="00267D53" w:rsidRPr="0089742C" w14:paraId="25FF12F9" w14:textId="77777777" w:rsidTr="006600AC">
        <w:tc>
          <w:tcPr>
            <w:tcW w:w="1191" w:type="dxa"/>
            <w:shd w:val="clear" w:color="auto" w:fill="BFBFBF" w:themeFill="background1" w:themeFillShade="BF"/>
          </w:tcPr>
          <w:p w14:paraId="0650D392" w14:textId="77777777" w:rsidR="00267D53" w:rsidRPr="0089742C" w:rsidRDefault="00267D53" w:rsidP="00A02FBE">
            <w:pPr>
              <w:rPr>
                <w:rFonts w:cs="Arial"/>
                <w:szCs w:val="20"/>
              </w:rPr>
            </w:pPr>
            <w:r>
              <w:t>Rindas</w:t>
            </w:r>
          </w:p>
        </w:tc>
        <w:tc>
          <w:tcPr>
            <w:tcW w:w="8845" w:type="dxa"/>
            <w:shd w:val="clear" w:color="auto" w:fill="BFBFBF" w:themeFill="background1" w:themeFillShade="BF"/>
          </w:tcPr>
          <w:p w14:paraId="65D13585" w14:textId="77777777" w:rsidR="00267D53" w:rsidRPr="0089742C" w:rsidRDefault="00267D53" w:rsidP="00A02FBE">
            <w:pPr>
              <w:rPr>
                <w:rFonts w:cs="Arial"/>
                <w:szCs w:val="20"/>
              </w:rPr>
            </w:pPr>
            <w:r>
              <w:t>Norādījumi</w:t>
            </w:r>
          </w:p>
        </w:tc>
      </w:tr>
      <w:tr w:rsidR="00267D53" w:rsidRPr="0089742C" w14:paraId="42B7EBBA" w14:textId="77777777" w:rsidTr="006600AC">
        <w:tc>
          <w:tcPr>
            <w:tcW w:w="1191" w:type="dxa"/>
          </w:tcPr>
          <w:p w14:paraId="4587A443" w14:textId="77777777" w:rsidR="00267D53" w:rsidRPr="0089742C" w:rsidRDefault="00267D53" w:rsidP="00A02FBE">
            <w:pPr>
              <w:rPr>
                <w:rFonts w:cs="Arial"/>
                <w:szCs w:val="20"/>
              </w:rPr>
            </w:pPr>
            <w:r>
              <w:t>010</w:t>
            </w:r>
          </w:p>
        </w:tc>
        <w:tc>
          <w:tcPr>
            <w:tcW w:w="8845" w:type="dxa"/>
          </w:tcPr>
          <w:p w14:paraId="7FB574F4" w14:textId="77777777" w:rsidR="00267D53" w:rsidRPr="0089742C" w:rsidRDefault="00267D53" w:rsidP="00A02FBE">
            <w:pPr>
              <w:rPr>
                <w:rFonts w:cs="Arial"/>
                <w:b/>
                <w:szCs w:val="20"/>
                <w:u w:val="single"/>
              </w:rPr>
            </w:pPr>
            <w:r>
              <w:rPr>
                <w:b/>
                <w:u w:val="single"/>
              </w:rPr>
              <w:t>Iztrūkums salīdzinājumā ar seguma gaidām</w:t>
            </w:r>
          </w:p>
          <w:p w14:paraId="6F54B3F1" w14:textId="77777777" w:rsidR="00341B6B" w:rsidRPr="0089742C" w:rsidRDefault="00341B6B" w:rsidP="009B72E8">
            <w:pPr>
              <w:rPr>
                <w:rFonts w:cs="Arial"/>
                <w:szCs w:val="20"/>
              </w:rPr>
            </w:pPr>
            <w:r>
              <w:t>Šo rindu aprēķina automātiski kā starpību starp lielumu "Kopējie uzkrājumi un korekcijas vai atskaitījumi (ar ierobežojumu)" (200. rinda) un lielumu "Kopējās minimālā seguma gaidas ienākumus nenesošiem riska darījumiem" (030. rinda).</w:t>
            </w:r>
          </w:p>
          <w:p w14:paraId="1F8815C5" w14:textId="77777777" w:rsidR="000D739F" w:rsidRPr="0089742C" w:rsidRDefault="000D739F" w:rsidP="009B72E8">
            <w:pPr>
              <w:rPr>
                <w:rFonts w:cs="Arial"/>
                <w:b/>
                <w:szCs w:val="20"/>
                <w:u w:val="single"/>
              </w:rPr>
            </w:pPr>
            <w:r>
              <w:t>Iztrūkums ir vienāds ar nulli vai lielāks par to.</w:t>
            </w:r>
          </w:p>
        </w:tc>
      </w:tr>
      <w:tr w:rsidR="00267D53" w:rsidRPr="0089742C" w14:paraId="6196FEC1" w14:textId="77777777" w:rsidTr="006600AC">
        <w:tc>
          <w:tcPr>
            <w:tcW w:w="1191" w:type="dxa"/>
          </w:tcPr>
          <w:p w14:paraId="173A8422" w14:textId="77777777" w:rsidR="00267D53" w:rsidRPr="0089742C" w:rsidRDefault="00267D53" w:rsidP="00A02FBE">
            <w:pPr>
              <w:rPr>
                <w:rFonts w:cs="Arial"/>
                <w:szCs w:val="20"/>
              </w:rPr>
            </w:pPr>
            <w:r>
              <w:t>030</w:t>
            </w:r>
          </w:p>
        </w:tc>
        <w:tc>
          <w:tcPr>
            <w:tcW w:w="8845" w:type="dxa"/>
          </w:tcPr>
          <w:p w14:paraId="3AEBDA47" w14:textId="77777777" w:rsidR="00267D53" w:rsidRPr="0089742C" w:rsidRDefault="00267D53" w:rsidP="00A02FBE">
            <w:pPr>
              <w:rPr>
                <w:rFonts w:cs="Arial"/>
                <w:b/>
                <w:szCs w:val="20"/>
                <w:u w:val="single"/>
              </w:rPr>
            </w:pPr>
            <w:r>
              <w:rPr>
                <w:b/>
                <w:u w:val="single"/>
              </w:rPr>
              <w:t>Kopējās minimālā seguma gaidas ienākumus nenesošiem riska darījumiem</w:t>
            </w:r>
          </w:p>
          <w:p w14:paraId="0521AC0A" w14:textId="1DBD602B" w:rsidR="00341B6B" w:rsidRPr="0089742C" w:rsidRDefault="00341B6B" w:rsidP="00341B6B">
            <w:pPr>
              <w:rPr>
                <w:rFonts w:cs="Arial"/>
                <w:szCs w:val="20"/>
              </w:rPr>
            </w:pPr>
            <w:r>
              <w:t>Šo rindu aprēķina automātiski kā 040., 100., 130. un 161. rindā (attiecīgā gadījumā) norādīto minimālā seguma gaidu summu.</w:t>
            </w:r>
          </w:p>
          <w:p w14:paraId="77D1B1BA" w14:textId="77777777" w:rsidR="00DD1EDA" w:rsidRPr="0089742C" w:rsidRDefault="00DD1EDA" w:rsidP="00341B6B">
            <w:pPr>
              <w:rPr>
                <w:rFonts w:cs="Arial"/>
                <w:szCs w:val="20"/>
              </w:rPr>
            </w:pPr>
          </w:p>
          <w:p w14:paraId="429C3251" w14:textId="77777777" w:rsidR="00DD1EDA" w:rsidRPr="0089742C" w:rsidRDefault="00DD1EDA" w:rsidP="00DD1EDA">
            <w:pPr>
              <w:pStyle w:val="ECBBodyText"/>
              <w:rPr>
                <w:rFonts w:cs="Arial"/>
                <w:szCs w:val="20"/>
              </w:rPr>
            </w:pPr>
            <w:r>
              <w:t>Šai vērtībai jābūt vienādai ar riska darījumu līmenī aprēķināto lielumu "Kopējās minimālā seguma gaidas" kopsummu:</w:t>
            </w:r>
          </w:p>
          <w:p w14:paraId="7D43301A" w14:textId="77777777" w:rsidR="00DD1EDA" w:rsidRPr="0089742C" w:rsidRDefault="00DD1EDA" w:rsidP="00DD1EDA">
            <w:pPr>
              <w:pStyle w:val="ECBBodyText"/>
              <w:spacing w:line="240" w:lineRule="auto"/>
              <w:jc w:val="both"/>
              <w:rPr>
                <w:rFonts w:cs="Arial"/>
                <w:bCs/>
                <w:kern w:val="28"/>
                <w:szCs w:val="20"/>
              </w:rPr>
            </w:pPr>
          </w:p>
          <w:p w14:paraId="15995E1E" w14:textId="5245FFE5" w:rsidR="00DD1EDA" w:rsidRPr="0089742C" w:rsidRDefault="00802E0B" w:rsidP="00DD1EDA">
            <w:pPr>
              <w:pStyle w:val="ECBBodyText"/>
              <w:spacing w:line="240" w:lineRule="auto"/>
              <w:jc w:val="both"/>
              <w:rPr>
                <w:rFonts w:cs="Arial"/>
                <w:szCs w:val="20"/>
              </w:rPr>
            </w:pPr>
            <m:oMathPara>
              <m:oMathParaPr>
                <m:jc m:val="left"/>
              </m:oMathParaPr>
              <m:oMath>
                <m:sSub>
                  <m:sSubPr>
                    <m:ctrlPr>
                      <w:rPr>
                        <w:rFonts w:ascii="Cambria Math" w:hAnsi="Cambria Math" w:cs="Arial"/>
                        <w:i/>
                        <w:szCs w:val="20"/>
                      </w:rPr>
                    </m:ctrlPr>
                  </m:sSubPr>
                  <m:e>
                    <m:r>
                      <w:rPr>
                        <w:rFonts w:ascii="Cambria Math" w:hAnsi="Cambria Math" w:cs="Arial"/>
                        <w:szCs w:val="20"/>
                      </w:rPr>
                      <m:t>Pieņemam, ka I</m:t>
                    </m:r>
                  </m:e>
                  <m:sub>
                    <m:r>
                      <w:rPr>
                        <w:rFonts w:ascii="Cambria Math" w:hAnsi="Cambria Math" w:cs="Arial"/>
                        <w:szCs w:val="20"/>
                      </w:rPr>
                      <m:t xml:space="preserve">v </m:t>
                    </m:r>
                  </m:sub>
                </m:sSub>
                <m:r>
                  <w:rPr>
                    <w:rFonts w:ascii="Cambria Math" w:hAnsi="Cambria Math" w:cs="Arial"/>
                    <w:szCs w:val="20"/>
                  </w:rPr>
                  <m:t xml:space="preserve">ir RD skaits attiecīgajā turēšanas ilguma grupā </m:t>
                </m:r>
                <m:d>
                  <m:dPr>
                    <m:ctrlPr>
                      <w:rPr>
                        <w:rFonts w:ascii="Cambria Math" w:hAnsi="Cambria Math" w:cs="Arial"/>
                        <w:i/>
                        <w:szCs w:val="20"/>
                      </w:rPr>
                    </m:ctrlPr>
                  </m:dPr>
                  <m:e>
                    <m:r>
                      <w:rPr>
                        <w:rFonts w:ascii="Cambria Math" w:hAnsi="Cambria Math" w:cs="Arial"/>
                        <w:szCs w:val="20"/>
                      </w:rPr>
                      <m:t xml:space="preserve">t. i., visi RD, kam </m:t>
                    </m:r>
                    <m:sSub>
                      <m:sSubPr>
                        <m:ctrlPr>
                          <w:rPr>
                            <w:rFonts w:ascii="Cambria Math" w:hAnsi="Cambria Math" w:cs="Arial"/>
                            <w:i/>
                            <w:szCs w:val="20"/>
                          </w:rPr>
                        </m:ctrlPr>
                      </m:sSubPr>
                      <m:e>
                        <m:r>
                          <w:rPr>
                            <w:rFonts w:ascii="Cambria Math" w:hAnsi="Cambria Math" w:cs="Arial"/>
                            <w:szCs w:val="20"/>
                          </w:rPr>
                          <m:t>v</m:t>
                        </m:r>
                      </m:e>
                      <m:sub>
                        <m:r>
                          <w:rPr>
                            <w:rFonts w:ascii="Cambria Math" w:hAnsi="Cambria Math" w:cs="Arial"/>
                            <w:szCs w:val="20"/>
                          </w:rPr>
                          <m:t>i</m:t>
                        </m:r>
                      </m:sub>
                    </m:sSub>
                    <m:r>
                      <w:rPr>
                        <w:rFonts w:ascii="Cambria Math" w:hAnsi="Cambria Math" w:cs="Arial"/>
                        <w:szCs w:val="20"/>
                      </w:rPr>
                      <m:t>=v</m:t>
                    </m:r>
                  </m:e>
                </m:d>
                <m:r>
                  <w:rPr>
                    <w:rFonts w:ascii="Cambria Math" w:hAnsi="Cambria Math" w:cs="Arial"/>
                    <w:szCs w:val="20"/>
                  </w:rPr>
                  <m:t>.</m:t>
                </m:r>
              </m:oMath>
            </m:oMathPara>
          </w:p>
          <w:p w14:paraId="37BC645D" w14:textId="4F9F0E01" w:rsidR="00DD1EDA" w:rsidRPr="0089742C" w:rsidRDefault="00802E0B" w:rsidP="00DD1EDA">
            <w:pPr>
              <w:pStyle w:val="numberedparagraph"/>
              <w:numPr>
                <w:ilvl w:val="0"/>
                <w:numId w:val="0"/>
              </w:numPr>
              <w:ind w:left="720"/>
              <w:jc w:val="left"/>
              <w:rPr>
                <w:rFonts w:ascii="Arial" w:hAnsi="Arial" w:cs="Arial"/>
                <w:sz w:val="20"/>
                <w:szCs w:val="20"/>
              </w:rPr>
            </w:pPr>
            <m:oMathPara>
              <m:oMathParaPr>
                <m:jc m:val="left"/>
              </m:oMathParaPr>
              <m:oMath>
                <m:sSub>
                  <m:sSubPr>
                    <m:ctrlPr>
                      <w:rPr>
                        <w:rFonts w:ascii="Cambria Math" w:hAnsi="Cambria Math" w:cs="Arial"/>
                        <w:i/>
                        <w:sz w:val="20"/>
                        <w:szCs w:val="20"/>
                      </w:rPr>
                    </m:ctrlPr>
                  </m:sSubPr>
                  <m:e>
                    <m:r>
                      <w:rPr>
                        <w:rFonts w:ascii="Cambria Math" w:hAnsi="Cambria Math" w:cs="Arial"/>
                        <w:sz w:val="20"/>
                        <w:szCs w:val="20"/>
                      </w:rPr>
                      <m:t>Kopējās minimālā seguma gaidas INRD</m:t>
                    </m:r>
                  </m:e>
                  <m:sub>
                    <m:r>
                      <w:rPr>
                        <w:rFonts w:ascii="Cambria Math" w:hAnsi="Cambria Math" w:cs="Arial"/>
                        <w:sz w:val="20"/>
                        <w:szCs w:val="20"/>
                      </w:rPr>
                      <m:t>v</m:t>
                    </m:r>
                  </m:sub>
                </m:sSub>
                <m:r>
                  <w:rPr>
                    <w:rFonts w:ascii="Cambria Math" w:hAnsi="Cambria Math" w:cs="Arial"/>
                    <w:sz w:val="20"/>
                    <w:szCs w:val="20"/>
                  </w:rPr>
                  <m:t xml:space="preserve">= </m:t>
                </m:r>
                <m:nary>
                  <m:naryPr>
                    <m:chr m:val="∑"/>
                    <m:limLoc m:val="undOvr"/>
                    <m:ctrlPr>
                      <w:rPr>
                        <w:rFonts w:ascii="Cambria Math" w:hAnsi="Cambria Math" w:cs="Arial"/>
                        <w:i/>
                        <w:sz w:val="20"/>
                        <w:szCs w:val="20"/>
                      </w:rPr>
                    </m:ctrlPr>
                  </m:naryPr>
                  <m:sub>
                    <m:r>
                      <w:rPr>
                        <w:rFonts w:ascii="Cambria Math" w:hAnsi="Cambria Math" w:cs="Arial"/>
                        <w:sz w:val="20"/>
                        <w:szCs w:val="20"/>
                      </w:rPr>
                      <m:t>i</m:t>
                    </m:r>
                  </m:sub>
                  <m:sup>
                    <m:sSub>
                      <m:sSubPr>
                        <m:ctrlPr>
                          <w:rPr>
                            <w:rFonts w:ascii="Cambria Math" w:eastAsia="Times New Roman" w:hAnsi="Cambria Math" w:cs="Arial"/>
                            <w:i/>
                            <w:sz w:val="20"/>
                            <w:szCs w:val="20"/>
                            <w:lang w:val="en-GB" w:eastAsia="en-GB"/>
                          </w:rPr>
                        </m:ctrlPr>
                      </m:sSubPr>
                      <m:e>
                        <m:r>
                          <w:rPr>
                            <w:rFonts w:ascii="Cambria Math" w:hAnsi="Cambria Math" w:cs="Arial"/>
                            <w:sz w:val="20"/>
                            <w:szCs w:val="20"/>
                          </w:rPr>
                          <m:t>I</m:t>
                        </m:r>
                      </m:e>
                      <m:sub>
                        <m:r>
                          <w:rPr>
                            <w:rFonts w:ascii="Cambria Math" w:hAnsi="Cambria Math" w:cs="Arial"/>
                            <w:sz w:val="20"/>
                            <w:szCs w:val="20"/>
                          </w:rPr>
                          <m:t>v</m:t>
                        </m:r>
                      </m:sub>
                    </m:sSub>
                  </m:sup>
                  <m:e>
                    <m:sSubSup>
                      <m:sSubSupPr>
                        <m:ctrlPr>
                          <w:rPr>
                            <w:rFonts w:ascii="Cambria Math" w:eastAsia="Times New Roman" w:hAnsi="Cambria Math" w:cs="Arial"/>
                            <w:i/>
                            <w:sz w:val="20"/>
                            <w:szCs w:val="20"/>
                            <w:lang w:val="en-GB" w:eastAsia="en-GB"/>
                          </w:rPr>
                        </m:ctrlPr>
                      </m:sSubSupPr>
                      <m:e>
                        <m:r>
                          <w:rPr>
                            <w:rFonts w:ascii="Cambria Math" w:hAnsi="Cambria Math" w:cs="Arial"/>
                            <w:sz w:val="20"/>
                            <w:szCs w:val="20"/>
                          </w:rPr>
                          <m:t>MCE</m:t>
                        </m:r>
                      </m:e>
                      <m:sub>
                        <m:r>
                          <w:rPr>
                            <w:rFonts w:ascii="Cambria Math" w:hAnsi="Cambria Math" w:cs="Arial"/>
                            <w:sz w:val="20"/>
                            <w:szCs w:val="20"/>
                          </w:rPr>
                          <m:t>i</m:t>
                        </m:r>
                      </m:sub>
                      <m:sup>
                        <m:r>
                          <w:rPr>
                            <w:rFonts w:ascii="Cambria Math" w:hAnsi="Cambria Math" w:cs="Arial"/>
                            <w:sz w:val="20"/>
                            <w:szCs w:val="20"/>
                          </w:rPr>
                          <m:t>Nenodrošināti</m:t>
                        </m:r>
                      </m:sup>
                    </m:sSubSup>
                  </m:e>
                </m:nary>
                <m:r>
                  <w:rPr>
                    <w:rFonts w:ascii="Cambria Math" w:hAnsi="Cambria Math" w:cs="Arial"/>
                    <w:sz w:val="20"/>
                    <w:szCs w:val="20"/>
                  </w:rPr>
                  <m:t>+</m:t>
                </m:r>
                <m:nary>
                  <m:naryPr>
                    <m:chr m:val="∑"/>
                    <m:limLoc m:val="undOvr"/>
                    <m:ctrlPr>
                      <w:rPr>
                        <w:rFonts w:ascii="Cambria Math" w:hAnsi="Cambria Math" w:cs="Arial"/>
                        <w:i/>
                        <w:sz w:val="20"/>
                        <w:szCs w:val="20"/>
                      </w:rPr>
                    </m:ctrlPr>
                  </m:naryPr>
                  <m:sub>
                    <m:r>
                      <w:rPr>
                        <w:rFonts w:ascii="Cambria Math" w:hAnsi="Cambria Math" w:cs="Arial"/>
                        <w:sz w:val="20"/>
                        <w:szCs w:val="20"/>
                      </w:rPr>
                      <m:t>i</m:t>
                    </m:r>
                  </m:sub>
                  <m:sup>
                    <m:sSub>
                      <m:sSubPr>
                        <m:ctrlPr>
                          <w:rPr>
                            <w:rFonts w:ascii="Cambria Math" w:eastAsia="Times New Roman" w:hAnsi="Cambria Math" w:cs="Arial"/>
                            <w:i/>
                            <w:sz w:val="20"/>
                            <w:szCs w:val="20"/>
                            <w:lang w:val="en-GB" w:eastAsia="en-GB"/>
                          </w:rPr>
                        </m:ctrlPr>
                      </m:sSubPr>
                      <m:e>
                        <m:r>
                          <w:rPr>
                            <w:rFonts w:ascii="Cambria Math" w:hAnsi="Cambria Math" w:cs="Arial"/>
                            <w:sz w:val="20"/>
                            <w:szCs w:val="20"/>
                          </w:rPr>
                          <m:t>I</m:t>
                        </m:r>
                      </m:e>
                      <m:sub>
                        <m:r>
                          <w:rPr>
                            <w:rFonts w:ascii="Cambria Math" w:hAnsi="Cambria Math" w:cs="Arial"/>
                            <w:sz w:val="20"/>
                            <w:szCs w:val="20"/>
                          </w:rPr>
                          <m:t>v</m:t>
                        </m:r>
                      </m:sub>
                    </m:sSub>
                  </m:sup>
                  <m:e>
                    <m:sSubSup>
                      <m:sSubSupPr>
                        <m:ctrlPr>
                          <w:rPr>
                            <w:rFonts w:ascii="Cambria Math" w:eastAsia="Times New Roman" w:hAnsi="Cambria Math" w:cs="Arial"/>
                            <w:i/>
                            <w:sz w:val="20"/>
                            <w:szCs w:val="20"/>
                            <w:lang w:val="en-GB" w:eastAsia="en-GB"/>
                          </w:rPr>
                        </m:ctrlPr>
                      </m:sSubSupPr>
                      <m:e>
                        <m:r>
                          <w:rPr>
                            <w:rFonts w:ascii="Cambria Math" w:hAnsi="Cambria Math" w:cs="Arial"/>
                            <w:sz w:val="20"/>
                            <w:szCs w:val="20"/>
                          </w:rPr>
                          <m:t>MCE</m:t>
                        </m:r>
                      </m:e>
                      <m:sub>
                        <m:r>
                          <w:rPr>
                            <w:rFonts w:ascii="Cambria Math" w:hAnsi="Cambria Math" w:cs="Arial"/>
                            <w:sz w:val="20"/>
                            <w:szCs w:val="20"/>
                          </w:rPr>
                          <m:t>i</m:t>
                        </m:r>
                      </m:sub>
                      <m:sup>
                        <m:r>
                          <w:rPr>
                            <w:rFonts w:ascii="Cambria Math" w:hAnsi="Cambria Math" w:cs="Arial"/>
                            <w:sz w:val="20"/>
                            <w:szCs w:val="20"/>
                          </w:rPr>
                          <m:t>Nodrošināti ar nekustamo īpašumu</m:t>
                        </m:r>
                      </m:sup>
                    </m:sSubSup>
                  </m:e>
                </m:nary>
                <m:r>
                  <w:rPr>
                    <w:rFonts w:ascii="Cambria Math" w:hAnsi="Cambria Math" w:cs="Arial"/>
                    <w:sz w:val="20"/>
                    <w:szCs w:val="20"/>
                  </w:rPr>
                  <m:t>+</m:t>
                </m:r>
                <m:nary>
                  <m:naryPr>
                    <m:chr m:val="∑"/>
                    <m:limLoc m:val="undOvr"/>
                    <m:ctrlPr>
                      <w:rPr>
                        <w:rFonts w:ascii="Cambria Math" w:hAnsi="Cambria Math" w:cs="Arial"/>
                        <w:i/>
                        <w:sz w:val="20"/>
                        <w:szCs w:val="20"/>
                      </w:rPr>
                    </m:ctrlPr>
                  </m:naryPr>
                  <m:sub>
                    <m:r>
                      <w:rPr>
                        <w:rFonts w:ascii="Cambria Math" w:hAnsi="Cambria Math" w:cs="Arial"/>
                        <w:sz w:val="20"/>
                        <w:szCs w:val="20"/>
                      </w:rPr>
                      <m:t>i</m:t>
                    </m:r>
                  </m:sub>
                  <m:sup>
                    <m:sSub>
                      <m:sSubPr>
                        <m:ctrlPr>
                          <w:rPr>
                            <w:rFonts w:ascii="Cambria Math" w:eastAsia="Times New Roman" w:hAnsi="Cambria Math" w:cs="Arial"/>
                            <w:i/>
                            <w:sz w:val="20"/>
                            <w:szCs w:val="20"/>
                            <w:lang w:val="en-GB" w:eastAsia="en-GB"/>
                          </w:rPr>
                        </m:ctrlPr>
                      </m:sSubPr>
                      <m:e>
                        <m:r>
                          <w:rPr>
                            <w:rFonts w:ascii="Cambria Math" w:hAnsi="Cambria Math" w:cs="Arial"/>
                            <w:sz w:val="20"/>
                            <w:szCs w:val="20"/>
                          </w:rPr>
                          <m:t>I</m:t>
                        </m:r>
                      </m:e>
                      <m:sub>
                        <m:r>
                          <w:rPr>
                            <w:rFonts w:ascii="Cambria Math" w:hAnsi="Cambria Math" w:cs="Arial"/>
                            <w:sz w:val="20"/>
                            <w:szCs w:val="20"/>
                          </w:rPr>
                          <m:t>v</m:t>
                        </m:r>
                      </m:sub>
                    </m:sSub>
                  </m:sup>
                  <m:e>
                    <m:sSubSup>
                      <m:sSubSupPr>
                        <m:ctrlPr>
                          <w:rPr>
                            <w:rFonts w:ascii="Cambria Math" w:eastAsia="Times New Roman" w:hAnsi="Cambria Math" w:cs="Arial"/>
                            <w:i/>
                            <w:sz w:val="20"/>
                            <w:szCs w:val="20"/>
                            <w:lang w:val="en-GB" w:eastAsia="en-GB"/>
                          </w:rPr>
                        </m:ctrlPr>
                      </m:sSubSupPr>
                      <m:e>
                        <m:r>
                          <w:rPr>
                            <w:rFonts w:ascii="Cambria Math" w:hAnsi="Cambria Math" w:cs="Arial"/>
                            <w:sz w:val="20"/>
                            <w:szCs w:val="20"/>
                          </w:rPr>
                          <m:t>MCE</m:t>
                        </m:r>
                      </m:e>
                      <m:sub>
                        <m:r>
                          <w:rPr>
                            <w:rFonts w:ascii="Cambria Math" w:hAnsi="Cambria Math" w:cs="Arial"/>
                            <w:sz w:val="20"/>
                            <w:szCs w:val="20"/>
                          </w:rPr>
                          <m:t>i</m:t>
                        </m:r>
                      </m:sub>
                      <m:sup>
                        <m:r>
                          <w:rPr>
                            <w:rFonts w:ascii="Cambria Math" w:hAnsi="Cambria Math" w:cs="Arial"/>
                            <w:sz w:val="20"/>
                            <w:szCs w:val="20"/>
                          </w:rPr>
                          <m:t>Nodrošināti ar citu fondētu vai nefondētu kredītaizsardzību</m:t>
                        </m:r>
                      </m:sup>
                    </m:sSubSup>
                  </m:e>
                </m:nary>
                <m:r>
                  <w:rPr>
                    <w:rFonts w:ascii="Cambria Math" w:hAnsi="Cambria Math" w:cs="Arial"/>
                    <w:sz w:val="20"/>
                    <w:szCs w:val="20"/>
                  </w:rPr>
                  <m:t>+</m:t>
                </m:r>
                <m:nary>
                  <m:naryPr>
                    <m:chr m:val="∑"/>
                    <m:limLoc m:val="undOvr"/>
                    <m:ctrlPr>
                      <w:rPr>
                        <w:rFonts w:ascii="Cambria Math" w:hAnsi="Cambria Math" w:cs="Arial"/>
                        <w:i/>
                        <w:sz w:val="20"/>
                        <w:szCs w:val="20"/>
                      </w:rPr>
                    </m:ctrlPr>
                  </m:naryPr>
                  <m:sub>
                    <m:r>
                      <w:rPr>
                        <w:rFonts w:ascii="Cambria Math" w:hAnsi="Cambria Math" w:cs="Arial"/>
                        <w:sz w:val="20"/>
                        <w:szCs w:val="20"/>
                      </w:rPr>
                      <m:t>i</m:t>
                    </m:r>
                  </m:sub>
                  <m:sup>
                    <m:sSub>
                      <m:sSubPr>
                        <m:ctrlPr>
                          <w:rPr>
                            <w:rFonts w:ascii="Cambria Math" w:eastAsia="Times New Roman" w:hAnsi="Cambria Math" w:cs="Arial"/>
                            <w:i/>
                            <w:sz w:val="20"/>
                            <w:szCs w:val="20"/>
                            <w:lang w:val="en-GB" w:eastAsia="en-GB"/>
                          </w:rPr>
                        </m:ctrlPr>
                      </m:sSubPr>
                      <m:e>
                        <m:r>
                          <w:rPr>
                            <w:rFonts w:ascii="Cambria Math" w:hAnsi="Cambria Math" w:cs="Arial"/>
                            <w:sz w:val="20"/>
                            <w:szCs w:val="20"/>
                          </w:rPr>
                          <m:t>I</m:t>
                        </m:r>
                      </m:e>
                      <m:sub>
                        <m:r>
                          <w:rPr>
                            <w:rFonts w:ascii="Cambria Math" w:hAnsi="Cambria Math" w:cs="Arial"/>
                            <w:sz w:val="20"/>
                            <w:szCs w:val="20"/>
                          </w:rPr>
                          <m:t>v</m:t>
                        </m:r>
                      </m:sub>
                    </m:sSub>
                  </m:sup>
                  <m:e>
                    <m:sSubSup>
                      <m:sSubSupPr>
                        <m:ctrlPr>
                          <w:rPr>
                            <w:rFonts w:ascii="Cambria Math" w:eastAsia="Times New Roman" w:hAnsi="Cambria Math" w:cs="Arial"/>
                            <w:i/>
                            <w:sz w:val="20"/>
                            <w:szCs w:val="20"/>
                            <w:lang w:val="en-GB" w:eastAsia="en-GB"/>
                          </w:rPr>
                        </m:ctrlPr>
                      </m:sSubSupPr>
                      <m:e>
                        <m:r>
                          <w:rPr>
                            <w:rFonts w:ascii="Cambria Math" w:hAnsi="Cambria Math" w:cs="Arial"/>
                            <w:sz w:val="20"/>
                            <w:szCs w:val="20"/>
                          </w:rPr>
                          <m:t>MCE</m:t>
                        </m:r>
                      </m:e>
                      <m:sub>
                        <m:r>
                          <w:rPr>
                            <w:rFonts w:ascii="Cambria Math" w:hAnsi="Cambria Math" w:cs="Arial"/>
                            <w:sz w:val="20"/>
                            <w:szCs w:val="20"/>
                          </w:rPr>
                          <m:t>i</m:t>
                        </m:r>
                      </m:sub>
                      <m:sup>
                        <m:r>
                          <w:rPr>
                            <w:rFonts w:ascii="Cambria Math" w:hAnsi="Cambria Math" w:cs="Arial"/>
                            <w:sz w:val="20"/>
                            <w:szCs w:val="20"/>
                          </w:rPr>
                          <m:t>Garantējušas vai kā atbalsta garantiju sniegušas valstu valdības vai citas valsts iestādes</m:t>
                        </m:r>
                      </m:sup>
                    </m:sSubSup>
                  </m:e>
                </m:nary>
              </m:oMath>
            </m:oMathPara>
          </w:p>
          <w:p w14:paraId="516317DB" w14:textId="0F802D2F" w:rsidR="00DD1EDA" w:rsidRPr="0089742C" w:rsidRDefault="00DD1EDA" w:rsidP="00341B6B">
            <w:pPr>
              <w:rPr>
                <w:rFonts w:cs="Arial"/>
                <w:szCs w:val="20"/>
              </w:rPr>
            </w:pPr>
          </w:p>
        </w:tc>
      </w:tr>
      <w:tr w:rsidR="00267D53" w:rsidRPr="0089742C" w14:paraId="57267857" w14:textId="77777777" w:rsidTr="006600AC">
        <w:tc>
          <w:tcPr>
            <w:tcW w:w="1191" w:type="dxa"/>
          </w:tcPr>
          <w:p w14:paraId="78B815EA" w14:textId="77777777" w:rsidR="00267D53" w:rsidRPr="0089742C" w:rsidRDefault="00267D53" w:rsidP="00A02FBE">
            <w:pPr>
              <w:rPr>
                <w:rFonts w:cs="Arial"/>
                <w:szCs w:val="20"/>
              </w:rPr>
            </w:pPr>
            <w:r>
              <w:lastRenderedPageBreak/>
              <w:t>040</w:t>
            </w:r>
          </w:p>
        </w:tc>
        <w:tc>
          <w:tcPr>
            <w:tcW w:w="8845" w:type="dxa"/>
          </w:tcPr>
          <w:p w14:paraId="492DB01D" w14:textId="76758658" w:rsidR="00267D53" w:rsidRPr="0089742C" w:rsidRDefault="005854CD" w:rsidP="00A02FBE">
            <w:pPr>
              <w:rPr>
                <w:rFonts w:cs="Arial"/>
                <w:b/>
                <w:szCs w:val="20"/>
                <w:u w:val="single"/>
              </w:rPr>
            </w:pPr>
            <w:r>
              <w:rPr>
                <w:b/>
                <w:u w:val="single"/>
              </w:rPr>
              <w:t>Nenodrošināt</w:t>
            </w:r>
            <w:r w:rsidR="00665BB0">
              <w:rPr>
                <w:b/>
                <w:u w:val="single"/>
              </w:rPr>
              <w:t>i</w:t>
            </w:r>
            <w:r>
              <w:rPr>
                <w:b/>
                <w:u w:val="single"/>
              </w:rPr>
              <w:t>.</w:t>
            </w:r>
            <w:r w:rsidR="00BC71DD">
              <w:rPr>
                <w:b/>
                <w:u w:val="single"/>
              </w:rPr>
              <w:t xml:space="preserve"> Minimālā seguma gaidas </w:t>
            </w:r>
          </w:p>
          <w:p w14:paraId="78CA16FB" w14:textId="77777777" w:rsidR="00341B6B" w:rsidRPr="0089742C" w:rsidRDefault="00A81478" w:rsidP="00A02FBE">
            <w:pPr>
              <w:rPr>
                <w:rFonts w:cs="Arial"/>
                <w:szCs w:val="20"/>
              </w:rPr>
            </w:pPr>
            <w:r>
              <w:t>Šo rindu aprēķina automātiski, reizinot lielumu "Riska darījuma vērtība" (050. rinda) un lielumu "Koeficients" (060. rinda).</w:t>
            </w:r>
          </w:p>
          <w:p w14:paraId="7BE0A233" w14:textId="77777777" w:rsidR="00F833B3" w:rsidRPr="0089742C" w:rsidRDefault="00F833B3" w:rsidP="00F833B3">
            <w:pPr>
              <w:rPr>
                <w:rFonts w:cs="Arial"/>
                <w:szCs w:val="20"/>
              </w:rPr>
            </w:pPr>
            <w:r>
              <w:t>Lielumam jābūt vienādam ar riska darījumu līmenī aprēķināto lielumu "Minimālā seguma gaidas nenodrošinātajai daļai" kopsummu:</w:t>
            </w:r>
          </w:p>
          <w:p w14:paraId="73BB8B04" w14:textId="347CB159" w:rsidR="00DD1EDA" w:rsidRPr="0089742C" w:rsidRDefault="00802E0B" w:rsidP="00DD1EDA">
            <w:pPr>
              <w:pStyle w:val="ECBBodyText"/>
              <w:spacing w:line="240" w:lineRule="auto"/>
              <w:jc w:val="both"/>
              <w:rPr>
                <w:rFonts w:cs="Arial"/>
                <w:szCs w:val="20"/>
              </w:rPr>
            </w:pPr>
            <m:oMathPara>
              <m:oMathParaPr>
                <m:jc m:val="left"/>
              </m:oMathParaPr>
              <m:oMath>
                <m:sSub>
                  <m:sSubPr>
                    <m:ctrlPr>
                      <w:rPr>
                        <w:rFonts w:ascii="Cambria Math" w:hAnsi="Cambria Math" w:cs="Arial"/>
                        <w:i/>
                        <w:szCs w:val="20"/>
                      </w:rPr>
                    </m:ctrlPr>
                  </m:sSubPr>
                  <m:e>
                    <m:r>
                      <w:rPr>
                        <w:rFonts w:ascii="Cambria Math" w:hAnsi="Cambria Math" w:cs="Arial"/>
                        <w:szCs w:val="20"/>
                      </w:rPr>
                      <m:t>Pieņemam, ka I</m:t>
                    </m:r>
                  </m:e>
                  <m:sub>
                    <m:r>
                      <w:rPr>
                        <w:rFonts w:ascii="Cambria Math" w:hAnsi="Cambria Math" w:cs="Arial"/>
                        <w:szCs w:val="20"/>
                      </w:rPr>
                      <m:t xml:space="preserve">v </m:t>
                    </m:r>
                  </m:sub>
                </m:sSub>
                <m:r>
                  <w:rPr>
                    <w:rFonts w:ascii="Cambria Math" w:hAnsi="Cambria Math" w:cs="Arial"/>
                    <w:szCs w:val="20"/>
                  </w:rPr>
                  <m:t xml:space="preserve">ir RD skaits attiecīgajā turēšanas ilguma grupā </m:t>
                </m:r>
                <m:d>
                  <m:dPr>
                    <m:ctrlPr>
                      <w:rPr>
                        <w:rFonts w:ascii="Cambria Math" w:hAnsi="Cambria Math" w:cs="Arial"/>
                        <w:i/>
                        <w:szCs w:val="20"/>
                      </w:rPr>
                    </m:ctrlPr>
                  </m:dPr>
                  <m:e>
                    <m:r>
                      <w:rPr>
                        <w:rFonts w:ascii="Cambria Math" w:hAnsi="Cambria Math" w:cs="Arial"/>
                        <w:szCs w:val="20"/>
                      </w:rPr>
                      <m:t xml:space="preserve">t. i., visi RD, kam </m:t>
                    </m:r>
                    <m:sSub>
                      <m:sSubPr>
                        <m:ctrlPr>
                          <w:rPr>
                            <w:rFonts w:ascii="Cambria Math" w:hAnsi="Cambria Math" w:cs="Arial"/>
                            <w:i/>
                            <w:szCs w:val="20"/>
                          </w:rPr>
                        </m:ctrlPr>
                      </m:sSubPr>
                      <m:e>
                        <m:r>
                          <w:rPr>
                            <w:rFonts w:ascii="Cambria Math" w:hAnsi="Cambria Math" w:cs="Arial"/>
                            <w:szCs w:val="20"/>
                          </w:rPr>
                          <m:t>v</m:t>
                        </m:r>
                      </m:e>
                      <m:sub>
                        <m:r>
                          <w:rPr>
                            <w:rFonts w:ascii="Cambria Math" w:hAnsi="Cambria Math" w:cs="Arial"/>
                            <w:szCs w:val="20"/>
                          </w:rPr>
                          <m:t>i</m:t>
                        </m:r>
                      </m:sub>
                    </m:sSub>
                    <m:r>
                      <w:rPr>
                        <w:rFonts w:ascii="Cambria Math" w:hAnsi="Cambria Math" w:cs="Arial"/>
                        <w:szCs w:val="20"/>
                      </w:rPr>
                      <m:t>=v</m:t>
                    </m:r>
                  </m:e>
                </m:d>
                <m:r>
                  <w:rPr>
                    <w:rFonts w:ascii="Cambria Math" w:hAnsi="Cambria Math" w:cs="Arial"/>
                    <w:szCs w:val="20"/>
                  </w:rPr>
                  <m:t>.</m:t>
                </m:r>
              </m:oMath>
            </m:oMathPara>
          </w:p>
          <w:p w14:paraId="7CD10878" w14:textId="41BA86E8" w:rsidR="00DD1EDA" w:rsidRPr="0089742C" w:rsidRDefault="005854CD" w:rsidP="00DD1EDA">
            <w:pPr>
              <w:pStyle w:val="numberedparagraph"/>
              <w:numPr>
                <w:ilvl w:val="0"/>
                <w:numId w:val="0"/>
              </w:numPr>
              <w:ind w:left="720"/>
              <w:jc w:val="left"/>
              <w:rPr>
                <w:rFonts w:ascii="Arial" w:hAnsi="Arial" w:cs="Arial"/>
                <w:sz w:val="20"/>
                <w:szCs w:val="20"/>
              </w:rPr>
            </w:pPr>
            <m:oMathPara>
              <m:oMathParaPr>
                <m:jc m:val="left"/>
              </m:oMathParaPr>
              <m:oMath>
                <m:r>
                  <w:rPr>
                    <w:rFonts w:ascii="Cambria Math" w:hAnsi="Cambria Math" w:cs="Arial"/>
                    <w:sz w:val="20"/>
                    <w:szCs w:val="20"/>
                  </w:rPr>
                  <m:t>Minimālā seguma gaidas INRD nenodrošinātajām daļām=</m:t>
                </m:r>
                <m:nary>
                  <m:naryPr>
                    <m:chr m:val="∑"/>
                    <m:limLoc m:val="undOvr"/>
                    <m:ctrlPr>
                      <w:rPr>
                        <w:rFonts w:ascii="Cambria Math" w:hAnsi="Cambria Math" w:cs="Arial"/>
                        <w:i/>
                        <w:sz w:val="20"/>
                        <w:szCs w:val="20"/>
                      </w:rPr>
                    </m:ctrlPr>
                  </m:naryPr>
                  <m:sub>
                    <m:r>
                      <w:rPr>
                        <w:rFonts w:ascii="Cambria Math" w:hAnsi="Cambria Math" w:cs="Arial"/>
                        <w:sz w:val="20"/>
                        <w:szCs w:val="20"/>
                      </w:rPr>
                      <m:t>i</m:t>
                    </m:r>
                  </m:sub>
                  <m:sup>
                    <m:sSub>
                      <m:sSubPr>
                        <m:ctrlPr>
                          <w:rPr>
                            <w:rFonts w:ascii="Cambria Math" w:eastAsia="Times New Roman" w:hAnsi="Cambria Math" w:cs="Arial"/>
                            <w:i/>
                            <w:sz w:val="20"/>
                            <w:szCs w:val="20"/>
                            <w:lang w:val="en-GB" w:eastAsia="en-GB"/>
                          </w:rPr>
                        </m:ctrlPr>
                      </m:sSubPr>
                      <m:e>
                        <m:r>
                          <w:rPr>
                            <w:rFonts w:ascii="Cambria Math" w:hAnsi="Cambria Math" w:cs="Arial"/>
                            <w:sz w:val="20"/>
                            <w:szCs w:val="20"/>
                          </w:rPr>
                          <m:t>I</m:t>
                        </m:r>
                      </m:e>
                      <m:sub>
                        <m:r>
                          <w:rPr>
                            <w:rFonts w:ascii="Cambria Math" w:hAnsi="Cambria Math" w:cs="Arial"/>
                            <w:sz w:val="20"/>
                            <w:szCs w:val="20"/>
                          </w:rPr>
                          <m:t>v</m:t>
                        </m:r>
                      </m:sub>
                    </m:sSub>
                  </m:sup>
                  <m:e>
                    <m:sSubSup>
                      <m:sSubSupPr>
                        <m:ctrlPr>
                          <w:rPr>
                            <w:rFonts w:ascii="Cambria Math" w:eastAsia="Times New Roman" w:hAnsi="Cambria Math" w:cs="Arial"/>
                            <w:i/>
                            <w:sz w:val="20"/>
                            <w:szCs w:val="20"/>
                            <w:lang w:val="en-GB" w:eastAsia="en-GB"/>
                          </w:rPr>
                        </m:ctrlPr>
                      </m:sSubSupPr>
                      <m:e>
                        <m:r>
                          <w:rPr>
                            <w:rFonts w:ascii="Cambria Math" w:hAnsi="Cambria Math" w:cs="Arial"/>
                            <w:sz w:val="20"/>
                            <w:szCs w:val="20"/>
                          </w:rPr>
                          <m:t>MCE</m:t>
                        </m:r>
                      </m:e>
                      <m:sub>
                        <m:r>
                          <w:rPr>
                            <w:rFonts w:ascii="Cambria Math" w:hAnsi="Cambria Math" w:cs="Arial"/>
                            <w:sz w:val="20"/>
                            <w:szCs w:val="20"/>
                          </w:rPr>
                          <m:t>i</m:t>
                        </m:r>
                      </m:sub>
                      <m:sup>
                        <m:r>
                          <w:rPr>
                            <w:rFonts w:ascii="Cambria Math" w:hAnsi="Cambria Math" w:cs="Arial"/>
                            <w:sz w:val="20"/>
                            <w:szCs w:val="20"/>
                          </w:rPr>
                          <m:t>Nenodrošināti</m:t>
                        </m:r>
                      </m:sup>
                    </m:sSubSup>
                  </m:e>
                </m:nary>
              </m:oMath>
            </m:oMathPara>
          </w:p>
          <w:p w14:paraId="7A3ED2B6" w14:textId="77777777" w:rsidR="00DD1EDA" w:rsidRPr="0089742C" w:rsidRDefault="00DD1EDA" w:rsidP="00A02FBE">
            <w:pPr>
              <w:rPr>
                <w:rFonts w:cs="Arial"/>
                <w:b/>
                <w:szCs w:val="20"/>
                <w:u w:val="single"/>
              </w:rPr>
            </w:pPr>
          </w:p>
        </w:tc>
      </w:tr>
      <w:tr w:rsidR="00267D53" w:rsidRPr="0089742C" w14:paraId="10704AB2" w14:textId="77777777" w:rsidTr="006600AC">
        <w:tc>
          <w:tcPr>
            <w:tcW w:w="1191" w:type="dxa"/>
          </w:tcPr>
          <w:p w14:paraId="79E394EB" w14:textId="77777777" w:rsidR="00267D53" w:rsidRPr="0089742C" w:rsidRDefault="00267D53" w:rsidP="00A02FBE">
            <w:pPr>
              <w:rPr>
                <w:rFonts w:cs="Arial"/>
                <w:szCs w:val="20"/>
              </w:rPr>
            </w:pPr>
            <w:r>
              <w:t>050</w:t>
            </w:r>
          </w:p>
        </w:tc>
        <w:tc>
          <w:tcPr>
            <w:tcW w:w="8845" w:type="dxa"/>
          </w:tcPr>
          <w:p w14:paraId="2AD4EA1E" w14:textId="14D747BC" w:rsidR="00267D53" w:rsidRPr="0089742C" w:rsidRDefault="005854CD" w:rsidP="00A02FBE">
            <w:pPr>
              <w:rPr>
                <w:rFonts w:cs="Arial"/>
                <w:b/>
                <w:szCs w:val="20"/>
                <w:u w:val="single"/>
              </w:rPr>
            </w:pPr>
            <w:r>
              <w:rPr>
                <w:b/>
                <w:u w:val="single"/>
              </w:rPr>
              <w:t>Nenodrošināt</w:t>
            </w:r>
            <w:r w:rsidR="00665BB0">
              <w:rPr>
                <w:b/>
                <w:u w:val="single"/>
              </w:rPr>
              <w:t>i</w:t>
            </w:r>
            <w:r>
              <w:rPr>
                <w:b/>
                <w:u w:val="single"/>
              </w:rPr>
              <w:t>.</w:t>
            </w:r>
            <w:r w:rsidR="00BC71DD">
              <w:rPr>
                <w:b/>
                <w:u w:val="single"/>
              </w:rPr>
              <w:t xml:space="preserve"> Riska darījuma vērtība</w:t>
            </w:r>
          </w:p>
          <w:p w14:paraId="4526465B" w14:textId="77777777" w:rsidR="00B31323" w:rsidRPr="0089742C" w:rsidRDefault="00B31323" w:rsidP="00B31323">
            <w:pPr>
              <w:pStyle w:val="ListParagraph"/>
              <w:numPr>
                <w:ilvl w:val="0"/>
                <w:numId w:val="22"/>
              </w:numPr>
              <w:rPr>
                <w:rFonts w:cs="Arial"/>
                <w:szCs w:val="20"/>
              </w:rPr>
            </w:pPr>
            <w:r>
              <w:t xml:space="preserve">Riska darījuma vērtību nosaka saskaņā ar CRR 47.a panta 1. un 2. punktu. Konkrētāk, riska darījuma vērtība vienāda ar tā uzskaites vērtību, kas aprēķināta, neņemot vērā nekādas specifiskās kredītriska korekcijas, kas minētas CRR 47.a panta 2. punktā. Turklāt ārpus bilances turētie ienākumus nenesošie riska darījumi jāiekļauj saskaņā ar CRR 47.a panta 1. punktā uzskaitītajiem nosacījumiem. </w:t>
            </w:r>
          </w:p>
          <w:p w14:paraId="6865F982" w14:textId="77777777" w:rsidR="00B31323" w:rsidRPr="0089742C" w:rsidRDefault="00B31323" w:rsidP="00B31323">
            <w:pPr>
              <w:pStyle w:val="ListParagraph"/>
              <w:rPr>
                <w:rFonts w:cs="Arial"/>
                <w:szCs w:val="20"/>
              </w:rPr>
            </w:pPr>
          </w:p>
          <w:p w14:paraId="2B21D202" w14:textId="77777777" w:rsidR="00B31323" w:rsidRPr="0089742C" w:rsidRDefault="00B31323" w:rsidP="00B31323">
            <w:pPr>
              <w:pStyle w:val="ListParagraph"/>
              <w:numPr>
                <w:ilvl w:val="0"/>
                <w:numId w:val="22"/>
              </w:numPr>
              <w:rPr>
                <w:rFonts w:cs="Arial"/>
                <w:szCs w:val="20"/>
              </w:rPr>
            </w:pPr>
            <w:r>
              <w:t>Sadalījumu turēšanas ilguma grupās veic saskaņā ar norādījumiem, kas sniegti šā dokumenta 2. iedaļā.</w:t>
            </w:r>
          </w:p>
          <w:p w14:paraId="4B827224" w14:textId="77777777" w:rsidR="00B31323" w:rsidRPr="0089742C" w:rsidRDefault="00B31323" w:rsidP="00B31323">
            <w:pPr>
              <w:pStyle w:val="ListParagraph"/>
              <w:rPr>
                <w:rFonts w:cs="Arial"/>
                <w:szCs w:val="20"/>
              </w:rPr>
            </w:pPr>
          </w:p>
          <w:p w14:paraId="666199A1" w14:textId="79A49106" w:rsidR="00B31323" w:rsidRPr="0089742C" w:rsidRDefault="008420EF" w:rsidP="007349B4">
            <w:pPr>
              <w:pStyle w:val="ListParagraph"/>
              <w:numPr>
                <w:ilvl w:val="0"/>
                <w:numId w:val="22"/>
              </w:numPr>
              <w:rPr>
                <w:rFonts w:cs="Arial"/>
                <w:b/>
                <w:szCs w:val="20"/>
                <w:u w:val="single"/>
              </w:rPr>
            </w:pPr>
            <w:r w:rsidRPr="008420EF">
              <w:t xml:space="preserve">Ienākumus </w:t>
            </w:r>
            <w:r w:rsidR="00B31323">
              <w:t>nenesoša riska darījuma nenodrošinātā daļa atbilst starpībai, ja tāda ir, starp šā punkta pirmajā rindkopā minēto riska darījuma vērtību un riska darījuma nodrošināto daļu (110., 140., 171. un 190. rinda), ja tāda ir.</w:t>
            </w:r>
          </w:p>
          <w:p w14:paraId="494FAB6D" w14:textId="77777777" w:rsidR="00341B6B" w:rsidRPr="0089742C" w:rsidRDefault="0048251A" w:rsidP="00A02FBE">
            <w:pPr>
              <w:rPr>
                <w:rFonts w:cs="Arial"/>
                <w:b/>
                <w:szCs w:val="20"/>
                <w:u w:val="single"/>
              </w:rPr>
            </w:pPr>
            <w:r>
              <w:t>Summas jānorāda euro.</w:t>
            </w:r>
          </w:p>
        </w:tc>
      </w:tr>
      <w:tr w:rsidR="00267D53" w:rsidRPr="0089742C" w14:paraId="762957AF" w14:textId="77777777" w:rsidTr="006600AC">
        <w:tc>
          <w:tcPr>
            <w:tcW w:w="1191" w:type="dxa"/>
          </w:tcPr>
          <w:p w14:paraId="3EEE36D3" w14:textId="77777777" w:rsidR="00267D53" w:rsidRPr="0089742C" w:rsidRDefault="00267D53" w:rsidP="00A02FBE">
            <w:pPr>
              <w:rPr>
                <w:rFonts w:cs="Arial"/>
                <w:szCs w:val="20"/>
              </w:rPr>
            </w:pPr>
            <w:r>
              <w:lastRenderedPageBreak/>
              <w:t>060</w:t>
            </w:r>
          </w:p>
        </w:tc>
        <w:tc>
          <w:tcPr>
            <w:tcW w:w="8845" w:type="dxa"/>
          </w:tcPr>
          <w:p w14:paraId="53BA2447" w14:textId="50D9D0BA" w:rsidR="00267D53" w:rsidRPr="0089742C" w:rsidRDefault="00BC71DD" w:rsidP="00A02FBE">
            <w:pPr>
              <w:rPr>
                <w:rFonts w:cs="Arial"/>
                <w:b/>
                <w:szCs w:val="20"/>
                <w:u w:val="single"/>
              </w:rPr>
            </w:pPr>
            <w:r>
              <w:rPr>
                <w:b/>
                <w:u w:val="single"/>
              </w:rPr>
              <w:t>Nenodrošināt</w:t>
            </w:r>
            <w:r w:rsidR="00665BB0">
              <w:rPr>
                <w:b/>
                <w:u w:val="single"/>
              </w:rPr>
              <w:t>i</w:t>
            </w:r>
            <w:r>
              <w:rPr>
                <w:b/>
                <w:u w:val="single"/>
              </w:rPr>
              <w:t>. Koeficients</w:t>
            </w:r>
          </w:p>
          <w:p w14:paraId="270E99A7" w14:textId="209E8D22" w:rsidR="00341B6B" w:rsidRPr="0089742C" w:rsidRDefault="00AA4B91" w:rsidP="00AA4B91">
            <w:pPr>
              <w:rPr>
                <w:rFonts w:cs="Arial"/>
                <w:szCs w:val="20"/>
              </w:rPr>
            </w:pPr>
            <w:r>
              <w:t>Koeficientu līmeņi nenodrošinātiem INRD ir priekšaizpildīti un saskaņoti ar ECB pamatnostādni par nacionālo kompetento iestāžu uzraudzības pieeju attiecībā uz mazāk nozīmīgu uzraudzīto iestāžu turēto ienākumus nenesošo riska darījumu segumu.</w:t>
            </w:r>
          </w:p>
        </w:tc>
      </w:tr>
      <w:tr w:rsidR="00267D53" w:rsidRPr="0089742C" w14:paraId="509E6330" w14:textId="77777777" w:rsidTr="006600AC">
        <w:tc>
          <w:tcPr>
            <w:tcW w:w="1191" w:type="dxa"/>
          </w:tcPr>
          <w:p w14:paraId="2B15C15F" w14:textId="77777777" w:rsidR="00267D53" w:rsidRPr="0089742C" w:rsidRDefault="00267D53" w:rsidP="00A02FBE">
            <w:pPr>
              <w:rPr>
                <w:rFonts w:cs="Arial"/>
                <w:szCs w:val="20"/>
              </w:rPr>
            </w:pPr>
            <w:r>
              <w:t>100</w:t>
            </w:r>
          </w:p>
        </w:tc>
        <w:tc>
          <w:tcPr>
            <w:tcW w:w="8845" w:type="dxa"/>
          </w:tcPr>
          <w:p w14:paraId="7CA82975" w14:textId="019848CA" w:rsidR="00267D53" w:rsidRPr="0089742C" w:rsidRDefault="00BC71DD" w:rsidP="00A02FBE">
            <w:pPr>
              <w:rPr>
                <w:rFonts w:cs="Arial"/>
                <w:b/>
                <w:szCs w:val="20"/>
                <w:u w:val="single"/>
              </w:rPr>
            </w:pPr>
            <w:r>
              <w:rPr>
                <w:b/>
                <w:bCs/>
                <w:u w:val="single"/>
              </w:rPr>
              <w:t>Nodrošināt</w:t>
            </w:r>
            <w:r w:rsidR="00665BB0">
              <w:rPr>
                <w:b/>
                <w:bCs/>
                <w:u w:val="single"/>
              </w:rPr>
              <w:t>i</w:t>
            </w:r>
            <w:r>
              <w:rPr>
                <w:b/>
                <w:bCs/>
                <w:u w:val="single"/>
              </w:rPr>
              <w:t xml:space="preserve"> ar nekustamo īpašumu vai mājokļa kredītu, ko garantē atbilstošs aizsardzības devējs.</w:t>
            </w:r>
            <w:r>
              <w:rPr>
                <w:b/>
                <w:u w:val="single"/>
              </w:rPr>
              <w:t xml:space="preserve"> Minimālā seguma gaidas</w:t>
            </w:r>
          </w:p>
          <w:p w14:paraId="5A4B6670" w14:textId="77777777" w:rsidR="000331D8" w:rsidRPr="0089742C" w:rsidRDefault="000331D8" w:rsidP="000331D8">
            <w:pPr>
              <w:rPr>
                <w:rFonts w:cs="Arial"/>
                <w:szCs w:val="20"/>
              </w:rPr>
            </w:pPr>
            <w:r>
              <w:t>Šo rindu aprēķina automātiski, reizinot lielumu "Riska darījuma vērtība" (110. rinda) un lielumu "Koeficients" (120. rinda).</w:t>
            </w:r>
          </w:p>
          <w:p w14:paraId="19A5B71F" w14:textId="77777777" w:rsidR="00F833B3" w:rsidRPr="0089742C" w:rsidRDefault="00F833B3" w:rsidP="00F833B3">
            <w:pPr>
              <w:rPr>
                <w:rFonts w:cs="Arial"/>
                <w:szCs w:val="20"/>
              </w:rPr>
            </w:pPr>
            <w:r>
              <w:t>Šim lielumam jābūt vienādam ar riska darījumu līmenī aprēķināto lielumu "Minimālā seguma gaidas tām INRD daļām, kuras nodrošinātas nekustamo īpašumu vai mājokļa kredītu, ko garantē atbilstošs aizsardzības devējs" kopsummu:</w:t>
            </w:r>
          </w:p>
          <w:p w14:paraId="056EF157" w14:textId="77777777" w:rsidR="00F833B3" w:rsidRPr="0089742C" w:rsidRDefault="00F833B3" w:rsidP="000331D8">
            <w:pPr>
              <w:rPr>
                <w:rFonts w:cs="Arial"/>
                <w:szCs w:val="20"/>
              </w:rPr>
            </w:pPr>
          </w:p>
          <w:p w14:paraId="0C2D3840" w14:textId="77777777" w:rsidR="00DD1EDA" w:rsidRPr="0089742C" w:rsidRDefault="00DD1EDA" w:rsidP="000331D8">
            <w:pPr>
              <w:rPr>
                <w:rFonts w:cs="Arial"/>
                <w:szCs w:val="20"/>
              </w:rPr>
            </w:pPr>
          </w:p>
          <w:p w14:paraId="3DD3B815" w14:textId="65B77D1A" w:rsidR="00DD1EDA" w:rsidRPr="0089742C" w:rsidRDefault="00802E0B" w:rsidP="00DD1EDA">
            <w:pPr>
              <w:pStyle w:val="ECBBodyText"/>
              <w:spacing w:line="240" w:lineRule="auto"/>
              <w:jc w:val="both"/>
              <w:rPr>
                <w:rFonts w:cs="Arial"/>
                <w:szCs w:val="20"/>
              </w:rPr>
            </w:pPr>
            <m:oMathPara>
              <m:oMathParaPr>
                <m:jc m:val="left"/>
              </m:oMathParaPr>
              <m:oMath>
                <m:sSub>
                  <m:sSubPr>
                    <m:ctrlPr>
                      <w:rPr>
                        <w:rFonts w:ascii="Cambria Math" w:hAnsi="Cambria Math" w:cs="Arial"/>
                        <w:i/>
                        <w:szCs w:val="20"/>
                      </w:rPr>
                    </m:ctrlPr>
                  </m:sSubPr>
                  <m:e>
                    <m:r>
                      <w:rPr>
                        <w:rFonts w:ascii="Cambria Math" w:hAnsi="Cambria Math" w:cs="Arial"/>
                        <w:szCs w:val="20"/>
                      </w:rPr>
                      <m:t>Pieņemam, ka I</m:t>
                    </m:r>
                  </m:e>
                  <m:sub>
                    <m:r>
                      <w:rPr>
                        <w:rFonts w:ascii="Cambria Math" w:hAnsi="Cambria Math" w:cs="Arial"/>
                        <w:szCs w:val="20"/>
                      </w:rPr>
                      <m:t xml:space="preserve">v </m:t>
                    </m:r>
                  </m:sub>
                </m:sSub>
                <m:r>
                  <w:rPr>
                    <w:rFonts w:ascii="Cambria Math" w:hAnsi="Cambria Math" w:cs="Arial"/>
                    <w:szCs w:val="20"/>
                  </w:rPr>
                  <m:t xml:space="preserve">ir RD skaits attiecīgajā turēšanas ilguma grupā </m:t>
                </m:r>
                <m:d>
                  <m:dPr>
                    <m:ctrlPr>
                      <w:rPr>
                        <w:rFonts w:ascii="Cambria Math" w:hAnsi="Cambria Math" w:cs="Arial"/>
                        <w:i/>
                        <w:szCs w:val="20"/>
                      </w:rPr>
                    </m:ctrlPr>
                  </m:dPr>
                  <m:e>
                    <m:r>
                      <w:rPr>
                        <w:rFonts w:ascii="Cambria Math" w:hAnsi="Cambria Math" w:cs="Arial"/>
                        <w:szCs w:val="20"/>
                      </w:rPr>
                      <m:t xml:space="preserve">t. i., visi RD, kam </m:t>
                    </m:r>
                    <m:sSub>
                      <m:sSubPr>
                        <m:ctrlPr>
                          <w:rPr>
                            <w:rFonts w:ascii="Cambria Math" w:hAnsi="Cambria Math" w:cs="Arial"/>
                            <w:i/>
                            <w:szCs w:val="20"/>
                          </w:rPr>
                        </m:ctrlPr>
                      </m:sSubPr>
                      <m:e>
                        <m:r>
                          <w:rPr>
                            <w:rFonts w:ascii="Cambria Math" w:hAnsi="Cambria Math" w:cs="Arial"/>
                            <w:szCs w:val="20"/>
                          </w:rPr>
                          <m:t>v</m:t>
                        </m:r>
                      </m:e>
                      <m:sub>
                        <m:r>
                          <w:rPr>
                            <w:rFonts w:ascii="Cambria Math" w:hAnsi="Cambria Math" w:cs="Arial"/>
                            <w:szCs w:val="20"/>
                          </w:rPr>
                          <m:t>i</m:t>
                        </m:r>
                      </m:sub>
                    </m:sSub>
                    <m:r>
                      <w:rPr>
                        <w:rFonts w:ascii="Cambria Math" w:hAnsi="Cambria Math" w:cs="Arial"/>
                        <w:szCs w:val="20"/>
                      </w:rPr>
                      <m:t>=v</m:t>
                    </m:r>
                  </m:e>
                </m:d>
                <m:r>
                  <w:rPr>
                    <w:rFonts w:ascii="Cambria Math" w:hAnsi="Cambria Math" w:cs="Arial"/>
                    <w:szCs w:val="20"/>
                  </w:rPr>
                  <m:t>.</m:t>
                </m:r>
              </m:oMath>
            </m:oMathPara>
          </w:p>
          <w:p w14:paraId="7E49C661" w14:textId="553EE96F" w:rsidR="00DD1EDA" w:rsidRPr="0089742C" w:rsidRDefault="00665BB0" w:rsidP="00DD1EDA">
            <w:pPr>
              <w:pStyle w:val="numberedparagraph"/>
              <w:numPr>
                <w:ilvl w:val="0"/>
                <w:numId w:val="0"/>
              </w:numPr>
              <w:ind w:left="720"/>
              <w:jc w:val="left"/>
              <w:rPr>
                <w:rFonts w:ascii="Arial" w:eastAsia="Times New Roman" w:hAnsi="Arial" w:cs="Arial"/>
                <w:sz w:val="20"/>
                <w:szCs w:val="20"/>
              </w:rPr>
            </w:pPr>
            <m:oMathPara>
              <m:oMathParaPr>
                <m:jc m:val="left"/>
              </m:oMathParaPr>
              <m:oMath>
                <m:r>
                  <w:rPr>
                    <w:rFonts w:ascii="Cambria Math" w:hAnsi="Cambria Math" w:cs="Arial"/>
                    <w:sz w:val="20"/>
                    <w:szCs w:val="20"/>
                  </w:rPr>
                  <m:t xml:space="preserve">Minimālā seguma gaidas INRD daļām, kas </m:t>
                </m:r>
              </m:oMath>
            </m:oMathPara>
          </w:p>
          <w:p w14:paraId="6F4C85C0" w14:textId="10836CED" w:rsidR="00DD1EDA" w:rsidRPr="0089742C" w:rsidRDefault="00BE2114" w:rsidP="00DD1EDA">
            <w:pPr>
              <w:pStyle w:val="numberedparagraph"/>
              <w:numPr>
                <w:ilvl w:val="0"/>
                <w:numId w:val="0"/>
              </w:numPr>
              <w:ind w:left="720"/>
              <w:jc w:val="left"/>
              <w:rPr>
                <w:rFonts w:ascii="Arial" w:hAnsi="Arial" w:cs="Arial"/>
                <w:sz w:val="20"/>
                <w:szCs w:val="20"/>
              </w:rPr>
            </w:pPr>
            <m:oMathPara>
              <m:oMathParaPr>
                <m:jc m:val="left"/>
              </m:oMathParaPr>
              <m:oMath>
                <m:r>
                  <w:rPr>
                    <w:rFonts w:ascii="Cambria Math" w:hAnsi="Cambria Math" w:cs="Arial"/>
                    <w:sz w:val="20"/>
                    <w:szCs w:val="20"/>
                  </w:rPr>
                  <m:t>nodrošinātas ar nekustamo īpašumu=</m:t>
                </m:r>
                <m:nary>
                  <m:naryPr>
                    <m:chr m:val="∑"/>
                    <m:limLoc m:val="undOvr"/>
                    <m:ctrlPr>
                      <w:rPr>
                        <w:rFonts w:ascii="Cambria Math" w:hAnsi="Cambria Math" w:cs="Arial"/>
                        <w:i/>
                        <w:sz w:val="20"/>
                        <w:szCs w:val="20"/>
                      </w:rPr>
                    </m:ctrlPr>
                  </m:naryPr>
                  <m:sub>
                    <m:r>
                      <w:rPr>
                        <w:rFonts w:ascii="Cambria Math" w:hAnsi="Cambria Math" w:cs="Arial"/>
                        <w:sz w:val="20"/>
                        <w:szCs w:val="20"/>
                      </w:rPr>
                      <m:t>i</m:t>
                    </m:r>
                  </m:sub>
                  <m:sup>
                    <m:sSub>
                      <m:sSubPr>
                        <m:ctrlPr>
                          <w:rPr>
                            <w:rFonts w:ascii="Cambria Math" w:eastAsia="Times New Roman" w:hAnsi="Cambria Math" w:cs="Arial"/>
                            <w:i/>
                            <w:sz w:val="20"/>
                            <w:szCs w:val="20"/>
                            <w:lang w:val="en-GB" w:eastAsia="en-GB"/>
                          </w:rPr>
                        </m:ctrlPr>
                      </m:sSubPr>
                      <m:e>
                        <m:r>
                          <w:rPr>
                            <w:rFonts w:ascii="Cambria Math" w:hAnsi="Cambria Math" w:cs="Arial"/>
                            <w:sz w:val="20"/>
                            <w:szCs w:val="20"/>
                          </w:rPr>
                          <m:t>I</m:t>
                        </m:r>
                      </m:e>
                      <m:sub>
                        <m:r>
                          <w:rPr>
                            <w:rFonts w:ascii="Cambria Math" w:hAnsi="Cambria Math" w:cs="Arial"/>
                            <w:sz w:val="20"/>
                            <w:szCs w:val="20"/>
                          </w:rPr>
                          <m:t>v</m:t>
                        </m:r>
                      </m:sub>
                    </m:sSub>
                  </m:sup>
                  <m:e>
                    <m:sSubSup>
                      <m:sSubSupPr>
                        <m:ctrlPr>
                          <w:rPr>
                            <w:rFonts w:ascii="Cambria Math" w:eastAsia="Times New Roman" w:hAnsi="Cambria Math" w:cs="Arial"/>
                            <w:i/>
                            <w:sz w:val="20"/>
                            <w:szCs w:val="20"/>
                            <w:lang w:val="en-GB" w:eastAsia="en-GB"/>
                          </w:rPr>
                        </m:ctrlPr>
                      </m:sSubSupPr>
                      <m:e>
                        <m:r>
                          <w:rPr>
                            <w:rFonts w:ascii="Cambria Math" w:hAnsi="Cambria Math" w:cs="Arial"/>
                            <w:sz w:val="20"/>
                            <w:szCs w:val="20"/>
                          </w:rPr>
                          <m:t>MCE</m:t>
                        </m:r>
                      </m:e>
                      <m:sub>
                        <m:r>
                          <w:rPr>
                            <w:rFonts w:ascii="Cambria Math" w:hAnsi="Cambria Math" w:cs="Arial"/>
                            <w:sz w:val="20"/>
                            <w:szCs w:val="20"/>
                          </w:rPr>
                          <m:t>i</m:t>
                        </m:r>
                      </m:sub>
                      <m:sup>
                        <m:r>
                          <w:rPr>
                            <w:rFonts w:ascii="Cambria Math" w:hAnsi="Cambria Math" w:cs="Arial"/>
                            <w:sz w:val="20"/>
                            <w:szCs w:val="20"/>
                          </w:rPr>
                          <m:t>nodrošināti ar nekustamo īpašumu</m:t>
                        </m:r>
                      </m:sup>
                    </m:sSubSup>
                  </m:e>
                </m:nary>
              </m:oMath>
            </m:oMathPara>
          </w:p>
          <w:p w14:paraId="45EA8288" w14:textId="77777777" w:rsidR="00DD1EDA" w:rsidRPr="0089742C" w:rsidRDefault="00DD1EDA" w:rsidP="00FF6567">
            <w:pPr>
              <w:pStyle w:val="numberedparagraph"/>
              <w:numPr>
                <w:ilvl w:val="0"/>
                <w:numId w:val="0"/>
              </w:numPr>
              <w:ind w:left="720"/>
              <w:jc w:val="left"/>
              <w:rPr>
                <w:rFonts w:ascii="Arial" w:hAnsi="Arial" w:cs="Arial"/>
                <w:sz w:val="20"/>
                <w:szCs w:val="20"/>
              </w:rPr>
            </w:pPr>
          </w:p>
        </w:tc>
      </w:tr>
      <w:tr w:rsidR="00267D53" w:rsidRPr="0089742C" w14:paraId="5F247DDD" w14:textId="77777777" w:rsidTr="006600AC">
        <w:tc>
          <w:tcPr>
            <w:tcW w:w="1191" w:type="dxa"/>
          </w:tcPr>
          <w:p w14:paraId="675002B9" w14:textId="77777777" w:rsidR="00267D53" w:rsidRPr="0089742C" w:rsidRDefault="00267D53" w:rsidP="00267D53">
            <w:pPr>
              <w:rPr>
                <w:rFonts w:cs="Arial"/>
                <w:szCs w:val="20"/>
              </w:rPr>
            </w:pPr>
            <w:r>
              <w:t>110</w:t>
            </w:r>
          </w:p>
        </w:tc>
        <w:tc>
          <w:tcPr>
            <w:tcW w:w="8845" w:type="dxa"/>
          </w:tcPr>
          <w:p w14:paraId="03856EB1" w14:textId="40C2848D" w:rsidR="00267D53" w:rsidRPr="0089742C" w:rsidRDefault="00BC71DD" w:rsidP="00267D53">
            <w:pPr>
              <w:rPr>
                <w:rFonts w:cs="Arial"/>
                <w:b/>
                <w:szCs w:val="20"/>
                <w:u w:val="single"/>
              </w:rPr>
            </w:pPr>
            <w:r>
              <w:rPr>
                <w:b/>
                <w:u w:val="single"/>
              </w:rPr>
              <w:t>Nodrošināt</w:t>
            </w:r>
            <w:r w:rsidR="00665BB0">
              <w:rPr>
                <w:b/>
                <w:u w:val="single"/>
              </w:rPr>
              <w:t>i</w:t>
            </w:r>
            <w:r>
              <w:rPr>
                <w:b/>
                <w:u w:val="single"/>
              </w:rPr>
              <w:t xml:space="preserve"> ar nekustamo īpašumu vai mājokļa kredītu, ko garantē atbilstošs aizsardzības devējs. Riska darījuma vērtība</w:t>
            </w:r>
          </w:p>
          <w:p w14:paraId="30F43CF7" w14:textId="77777777" w:rsidR="00B31323" w:rsidRPr="0089742C" w:rsidRDefault="00B31323" w:rsidP="00B31323">
            <w:pPr>
              <w:pStyle w:val="ListParagraph"/>
              <w:numPr>
                <w:ilvl w:val="0"/>
                <w:numId w:val="23"/>
              </w:numPr>
              <w:rPr>
                <w:rFonts w:cs="Arial"/>
                <w:szCs w:val="20"/>
              </w:rPr>
            </w:pPr>
            <w:r>
              <w:t xml:space="preserve">Riska darījuma vērtību nosaka saskaņā ar CRR 47.a panta 1. un 2. punktu. Konkrētāk, riska darījuma vērtība vienāda ar tā uzskaites vērtību, kas aprēķināta, neņemot vērā nekādas specifiskās kredītriska korekcijas, kas minētas CRR 47.a panta 2. punktā. Turklāt ārpus bilances turētie ienākumus nenesošie riska darījumi jāiekļauj saskaņā ar CRR 47.a panta 1. punktā uzskaitītajiem nosacījumiem. </w:t>
            </w:r>
          </w:p>
          <w:p w14:paraId="24D3A035" w14:textId="77777777" w:rsidR="00B31323" w:rsidRPr="0089742C" w:rsidRDefault="00B31323" w:rsidP="00B31323">
            <w:pPr>
              <w:pStyle w:val="ListParagraph"/>
              <w:rPr>
                <w:rFonts w:cs="Arial"/>
                <w:szCs w:val="20"/>
              </w:rPr>
            </w:pPr>
          </w:p>
          <w:p w14:paraId="09C1C62D" w14:textId="17D914F6" w:rsidR="00B31323" w:rsidRPr="00676D80" w:rsidRDefault="00B31323" w:rsidP="004B0DD8">
            <w:pPr>
              <w:pStyle w:val="ListParagraph"/>
              <w:numPr>
                <w:ilvl w:val="0"/>
                <w:numId w:val="23"/>
              </w:numPr>
              <w:rPr>
                <w:rFonts w:cs="Arial"/>
                <w:szCs w:val="20"/>
              </w:rPr>
            </w:pPr>
            <w:r>
              <w:t>Sadalījumu turēšanas ilguma grupās veic saskaņā ar norādījumiem, kas sniegti šā dokumenta 2. iedaļā.</w:t>
            </w:r>
          </w:p>
          <w:p w14:paraId="69DC721B" w14:textId="77777777" w:rsidR="00B31323" w:rsidRPr="0089742C" w:rsidRDefault="00D13E82" w:rsidP="00B31323">
            <w:pPr>
              <w:pStyle w:val="ListParagraph"/>
              <w:numPr>
                <w:ilvl w:val="0"/>
                <w:numId w:val="23"/>
              </w:numPr>
              <w:rPr>
                <w:rFonts w:cs="Arial"/>
                <w:szCs w:val="20"/>
              </w:rPr>
            </w:pPr>
            <w:r>
              <w:t xml:space="preserve">Ienākumus nenesoša riska darījuma nodrošinātā daļa ir tā riska darījuma daļa, kas nodrošināta ar nekustamo īpašumu saskaņā ar Trešās daļas II sadaļu vai kas ir mājokļa kredīts, ko garantē atbilstošs aizsardzības devējs, kā minēts CRR 201. pantā. </w:t>
            </w:r>
          </w:p>
          <w:p w14:paraId="491253C5" w14:textId="77777777" w:rsidR="000331D8" w:rsidRPr="0089742C" w:rsidRDefault="0048251A" w:rsidP="00267D53">
            <w:pPr>
              <w:rPr>
                <w:rFonts w:cs="Arial"/>
                <w:b/>
                <w:szCs w:val="20"/>
                <w:u w:val="single"/>
              </w:rPr>
            </w:pPr>
            <w:r>
              <w:lastRenderedPageBreak/>
              <w:t>Summas jānorāda euro.</w:t>
            </w:r>
          </w:p>
        </w:tc>
      </w:tr>
      <w:tr w:rsidR="00267D53" w:rsidRPr="0089742C" w14:paraId="4C99F98A" w14:textId="77777777" w:rsidTr="006600AC">
        <w:tc>
          <w:tcPr>
            <w:tcW w:w="1191" w:type="dxa"/>
          </w:tcPr>
          <w:p w14:paraId="15FD6433" w14:textId="77777777" w:rsidR="00267D53" w:rsidRPr="0089742C" w:rsidRDefault="00267D53" w:rsidP="00267D53">
            <w:pPr>
              <w:rPr>
                <w:rFonts w:cs="Arial"/>
                <w:szCs w:val="20"/>
              </w:rPr>
            </w:pPr>
            <w:r>
              <w:lastRenderedPageBreak/>
              <w:t>120</w:t>
            </w:r>
          </w:p>
        </w:tc>
        <w:tc>
          <w:tcPr>
            <w:tcW w:w="8845" w:type="dxa"/>
          </w:tcPr>
          <w:p w14:paraId="34F9B4FF" w14:textId="7266C404" w:rsidR="00267D53" w:rsidRPr="0089742C" w:rsidRDefault="00BC71DD" w:rsidP="00267D53">
            <w:pPr>
              <w:rPr>
                <w:rFonts w:cs="Arial"/>
                <w:b/>
                <w:szCs w:val="20"/>
                <w:u w:val="single"/>
              </w:rPr>
            </w:pPr>
            <w:r>
              <w:rPr>
                <w:b/>
                <w:u w:val="single"/>
              </w:rPr>
              <w:t>Nodrošināt</w:t>
            </w:r>
            <w:r w:rsidR="00665BB0">
              <w:rPr>
                <w:b/>
                <w:u w:val="single"/>
              </w:rPr>
              <w:t>i</w:t>
            </w:r>
            <w:r>
              <w:rPr>
                <w:b/>
                <w:u w:val="single"/>
              </w:rPr>
              <w:t xml:space="preserve"> ar nekustamo īpašumu vai mājokļa kredītu, ko garantē atbilstošs aizsardzības devējs. Koeficients</w:t>
            </w:r>
          </w:p>
          <w:p w14:paraId="6AA16484" w14:textId="504AAF80" w:rsidR="00AA4B91" w:rsidRPr="0089742C" w:rsidRDefault="00D52DD6" w:rsidP="008C7DDD">
            <w:pPr>
              <w:rPr>
                <w:rFonts w:cs="Arial"/>
                <w:szCs w:val="20"/>
              </w:rPr>
            </w:pPr>
            <w:r>
              <w:t>Koeficientu līmeņi nodrošinātiem INRD ir priekšaizpildīti un saskaņoti ar ECB pamatnostādni par nacionālo kompetento iestāžu uzraudzības pieeju attiecībā uz mazāk nozīmīgu uzraudzīto iestāžu turēto ienākumus nenesošo riska darījumu segumu.</w:t>
            </w:r>
          </w:p>
        </w:tc>
      </w:tr>
      <w:tr w:rsidR="00267D53" w:rsidRPr="0089742C" w14:paraId="4C091C8E" w14:textId="77777777" w:rsidTr="006600AC">
        <w:tc>
          <w:tcPr>
            <w:tcW w:w="1191" w:type="dxa"/>
          </w:tcPr>
          <w:p w14:paraId="4A06F7F4" w14:textId="77777777" w:rsidR="00267D53" w:rsidRPr="0089742C" w:rsidRDefault="00AA4B91" w:rsidP="00267D53">
            <w:pPr>
              <w:rPr>
                <w:rFonts w:cs="Arial"/>
                <w:szCs w:val="20"/>
              </w:rPr>
            </w:pPr>
            <w:r>
              <w:t>130</w:t>
            </w:r>
          </w:p>
        </w:tc>
        <w:tc>
          <w:tcPr>
            <w:tcW w:w="8845" w:type="dxa"/>
          </w:tcPr>
          <w:p w14:paraId="086316CC" w14:textId="5EFD1CAA" w:rsidR="000331D8" w:rsidRPr="0089742C" w:rsidRDefault="00BC71DD" w:rsidP="00267D53">
            <w:pPr>
              <w:rPr>
                <w:rFonts w:cs="Arial"/>
                <w:szCs w:val="20"/>
              </w:rPr>
            </w:pPr>
            <w:r>
              <w:rPr>
                <w:b/>
                <w:u w:val="single"/>
              </w:rPr>
              <w:t>Nodrošināt</w:t>
            </w:r>
            <w:r w:rsidR="00665BB0">
              <w:rPr>
                <w:b/>
                <w:u w:val="single"/>
              </w:rPr>
              <w:t>i</w:t>
            </w:r>
            <w:r>
              <w:rPr>
                <w:b/>
                <w:u w:val="single"/>
              </w:rPr>
              <w:t xml:space="preserve"> ar citu fondētu vai nefondētu kredītaizsardzību. Minimālā seguma gaidas</w:t>
            </w:r>
          </w:p>
          <w:p w14:paraId="5C6E4AB4" w14:textId="77777777" w:rsidR="00267D53" w:rsidRPr="0089742C" w:rsidRDefault="000331D8" w:rsidP="00267D53">
            <w:pPr>
              <w:rPr>
                <w:rFonts w:cs="Arial"/>
                <w:szCs w:val="20"/>
              </w:rPr>
            </w:pPr>
            <w:r>
              <w:t>Šo rindu aprēķina automātiski, reizinot lielumu "Riska darījuma vērtība" (140. rinda) un lielumu "Koeficients" (150. rinda).</w:t>
            </w:r>
          </w:p>
          <w:p w14:paraId="0E34B6E2" w14:textId="77777777" w:rsidR="00F833B3" w:rsidRPr="0089742C" w:rsidRDefault="00F833B3" w:rsidP="00F833B3">
            <w:pPr>
              <w:rPr>
                <w:rFonts w:cs="Arial"/>
                <w:szCs w:val="20"/>
              </w:rPr>
            </w:pPr>
            <w:r>
              <w:t>Šim lielumam jābūt vienādam ar riska darījumu līmenī aprēķināto lielumu "Minimālā seguma gaidas tām INRD daļām, kuras nodrošinātas ar citu fondētu vai nefondētu kredītaizsardzību" kopsummu:</w:t>
            </w:r>
          </w:p>
          <w:p w14:paraId="1758A743" w14:textId="77777777" w:rsidR="00F833B3" w:rsidRPr="0089742C" w:rsidRDefault="00F833B3" w:rsidP="00267D53">
            <w:pPr>
              <w:rPr>
                <w:rFonts w:cs="Arial"/>
                <w:szCs w:val="20"/>
              </w:rPr>
            </w:pPr>
          </w:p>
          <w:p w14:paraId="3F1580CB" w14:textId="6BF808C9" w:rsidR="00DD1EDA" w:rsidRPr="0089742C" w:rsidRDefault="00802E0B" w:rsidP="00DD1EDA">
            <w:pPr>
              <w:pStyle w:val="ECBBodyText"/>
              <w:spacing w:line="240" w:lineRule="auto"/>
              <w:jc w:val="both"/>
              <w:rPr>
                <w:rFonts w:cs="Arial"/>
                <w:szCs w:val="20"/>
              </w:rPr>
            </w:pPr>
            <m:oMathPara>
              <m:oMathParaPr>
                <m:jc m:val="left"/>
              </m:oMathParaPr>
              <m:oMath>
                <m:sSub>
                  <m:sSubPr>
                    <m:ctrlPr>
                      <w:rPr>
                        <w:rFonts w:ascii="Cambria Math" w:hAnsi="Cambria Math" w:cs="Arial"/>
                        <w:i/>
                        <w:szCs w:val="20"/>
                      </w:rPr>
                    </m:ctrlPr>
                  </m:sSubPr>
                  <m:e>
                    <m:r>
                      <w:rPr>
                        <w:rFonts w:ascii="Cambria Math" w:hAnsi="Cambria Math" w:cs="Arial"/>
                        <w:szCs w:val="20"/>
                      </w:rPr>
                      <m:t>Pieņemam, ka I</m:t>
                    </m:r>
                  </m:e>
                  <m:sub>
                    <m:r>
                      <w:rPr>
                        <w:rFonts w:ascii="Cambria Math" w:hAnsi="Cambria Math" w:cs="Arial"/>
                        <w:szCs w:val="20"/>
                      </w:rPr>
                      <m:t xml:space="preserve">v </m:t>
                    </m:r>
                  </m:sub>
                </m:sSub>
                <m:r>
                  <w:rPr>
                    <w:rFonts w:ascii="Cambria Math" w:hAnsi="Cambria Math" w:cs="Arial"/>
                    <w:szCs w:val="20"/>
                  </w:rPr>
                  <m:t xml:space="preserve">ir RD skaits attiecīgajā turēšanas ilguma grupā </m:t>
                </m:r>
                <m:d>
                  <m:dPr>
                    <m:ctrlPr>
                      <w:rPr>
                        <w:rFonts w:ascii="Cambria Math" w:hAnsi="Cambria Math" w:cs="Arial"/>
                        <w:i/>
                        <w:szCs w:val="20"/>
                      </w:rPr>
                    </m:ctrlPr>
                  </m:dPr>
                  <m:e>
                    <m:r>
                      <w:rPr>
                        <w:rFonts w:ascii="Cambria Math" w:hAnsi="Cambria Math" w:cs="Arial"/>
                        <w:szCs w:val="20"/>
                      </w:rPr>
                      <m:t xml:space="preserve">t. i., visi RD, kam </m:t>
                    </m:r>
                    <m:sSub>
                      <m:sSubPr>
                        <m:ctrlPr>
                          <w:rPr>
                            <w:rFonts w:ascii="Cambria Math" w:hAnsi="Cambria Math" w:cs="Arial"/>
                            <w:i/>
                            <w:szCs w:val="20"/>
                          </w:rPr>
                        </m:ctrlPr>
                      </m:sSubPr>
                      <m:e>
                        <m:r>
                          <w:rPr>
                            <w:rFonts w:ascii="Cambria Math" w:hAnsi="Cambria Math" w:cs="Arial"/>
                            <w:szCs w:val="20"/>
                          </w:rPr>
                          <m:t>v</m:t>
                        </m:r>
                      </m:e>
                      <m:sub>
                        <m:r>
                          <w:rPr>
                            <w:rFonts w:ascii="Cambria Math" w:hAnsi="Cambria Math" w:cs="Arial"/>
                            <w:szCs w:val="20"/>
                          </w:rPr>
                          <m:t>i</m:t>
                        </m:r>
                      </m:sub>
                    </m:sSub>
                    <m:r>
                      <w:rPr>
                        <w:rFonts w:ascii="Cambria Math" w:hAnsi="Cambria Math" w:cs="Arial"/>
                        <w:szCs w:val="20"/>
                      </w:rPr>
                      <m:t>=v</m:t>
                    </m:r>
                  </m:e>
                </m:d>
                <m:r>
                  <w:rPr>
                    <w:rFonts w:ascii="Cambria Math" w:hAnsi="Cambria Math" w:cs="Arial"/>
                    <w:szCs w:val="20"/>
                  </w:rPr>
                  <m:t>.</m:t>
                </m:r>
              </m:oMath>
            </m:oMathPara>
          </w:p>
          <w:p w14:paraId="36FAC237" w14:textId="3937B7FC" w:rsidR="00DD1EDA" w:rsidRPr="0089742C" w:rsidRDefault="00665BB0" w:rsidP="00DD1EDA">
            <w:pPr>
              <w:pStyle w:val="numberedparagraph"/>
              <w:numPr>
                <w:ilvl w:val="0"/>
                <w:numId w:val="0"/>
              </w:numPr>
              <w:ind w:left="720"/>
              <w:jc w:val="left"/>
              <w:rPr>
                <w:rFonts w:ascii="Arial" w:eastAsia="Times New Roman" w:hAnsi="Arial" w:cs="Arial"/>
                <w:sz w:val="20"/>
                <w:szCs w:val="20"/>
              </w:rPr>
            </w:pPr>
            <m:oMathPara>
              <m:oMathParaPr>
                <m:jc m:val="left"/>
              </m:oMathParaPr>
              <m:oMath>
                <m:r>
                  <w:rPr>
                    <w:rFonts w:ascii="Cambria Math" w:hAnsi="Cambria Math" w:cs="Arial"/>
                    <w:sz w:val="20"/>
                    <w:szCs w:val="20"/>
                  </w:rPr>
                  <m:t xml:space="preserve">Minimālā seguma gaidas INRD daļām, kas </m:t>
                </m:r>
              </m:oMath>
            </m:oMathPara>
          </w:p>
          <w:p w14:paraId="4CF982FC" w14:textId="15DA7455" w:rsidR="00DD1EDA" w:rsidRPr="0089742C" w:rsidRDefault="00413B59" w:rsidP="00DD1EDA">
            <w:pPr>
              <w:pStyle w:val="numberedparagraph"/>
              <w:numPr>
                <w:ilvl w:val="0"/>
                <w:numId w:val="0"/>
              </w:numPr>
              <w:ind w:left="720"/>
              <w:jc w:val="left"/>
              <w:rPr>
                <w:rFonts w:ascii="Arial" w:hAnsi="Arial" w:cs="Arial"/>
                <w:sz w:val="20"/>
                <w:szCs w:val="20"/>
              </w:rPr>
            </w:pPr>
            <m:oMathPara>
              <m:oMathParaPr>
                <m:jc m:val="left"/>
              </m:oMathParaPr>
              <m:oMath>
                <m:r>
                  <w:rPr>
                    <w:rFonts w:ascii="Cambria Math" w:hAnsi="Cambria Math" w:cs="Arial"/>
                    <w:sz w:val="20"/>
                    <w:szCs w:val="20"/>
                  </w:rPr>
                  <m:t>nodrošinātas ar citu fondētu vai nefondētu kredītaizsardzību=</m:t>
                </m:r>
                <m:nary>
                  <m:naryPr>
                    <m:chr m:val="∑"/>
                    <m:limLoc m:val="undOvr"/>
                    <m:ctrlPr>
                      <w:rPr>
                        <w:rFonts w:ascii="Cambria Math" w:hAnsi="Cambria Math" w:cs="Arial"/>
                        <w:i/>
                        <w:sz w:val="20"/>
                        <w:szCs w:val="20"/>
                      </w:rPr>
                    </m:ctrlPr>
                  </m:naryPr>
                  <m:sub>
                    <m:r>
                      <w:rPr>
                        <w:rFonts w:ascii="Cambria Math" w:hAnsi="Cambria Math" w:cs="Arial"/>
                        <w:sz w:val="20"/>
                        <w:szCs w:val="20"/>
                      </w:rPr>
                      <m:t>i</m:t>
                    </m:r>
                  </m:sub>
                  <m:sup>
                    <m:sSub>
                      <m:sSubPr>
                        <m:ctrlPr>
                          <w:rPr>
                            <w:rFonts w:ascii="Cambria Math" w:eastAsia="Times New Roman" w:hAnsi="Cambria Math" w:cs="Arial"/>
                            <w:i/>
                            <w:sz w:val="20"/>
                            <w:szCs w:val="20"/>
                            <w:lang w:val="en-GB" w:eastAsia="en-GB"/>
                          </w:rPr>
                        </m:ctrlPr>
                      </m:sSubPr>
                      <m:e>
                        <m:r>
                          <w:rPr>
                            <w:rFonts w:ascii="Cambria Math" w:hAnsi="Cambria Math" w:cs="Arial"/>
                            <w:sz w:val="20"/>
                            <w:szCs w:val="20"/>
                          </w:rPr>
                          <m:t>I</m:t>
                        </m:r>
                      </m:e>
                      <m:sub>
                        <m:r>
                          <w:rPr>
                            <w:rFonts w:ascii="Cambria Math" w:hAnsi="Cambria Math" w:cs="Arial"/>
                            <w:sz w:val="20"/>
                            <w:szCs w:val="20"/>
                          </w:rPr>
                          <m:t>v</m:t>
                        </m:r>
                      </m:sub>
                    </m:sSub>
                  </m:sup>
                  <m:e>
                    <m:sSubSup>
                      <m:sSubSupPr>
                        <m:ctrlPr>
                          <w:rPr>
                            <w:rFonts w:ascii="Cambria Math" w:eastAsia="Times New Roman" w:hAnsi="Cambria Math" w:cs="Arial"/>
                            <w:i/>
                            <w:sz w:val="20"/>
                            <w:szCs w:val="20"/>
                            <w:lang w:val="en-GB" w:eastAsia="en-GB"/>
                          </w:rPr>
                        </m:ctrlPr>
                      </m:sSubSupPr>
                      <m:e>
                        <m:r>
                          <w:rPr>
                            <w:rFonts w:ascii="Cambria Math" w:hAnsi="Cambria Math" w:cs="Arial"/>
                            <w:sz w:val="20"/>
                            <w:szCs w:val="20"/>
                          </w:rPr>
                          <m:t>MCE</m:t>
                        </m:r>
                      </m:e>
                      <m:sub>
                        <m:r>
                          <w:rPr>
                            <w:rFonts w:ascii="Cambria Math" w:hAnsi="Cambria Math" w:cs="Arial"/>
                            <w:sz w:val="20"/>
                            <w:szCs w:val="20"/>
                          </w:rPr>
                          <m:t>i</m:t>
                        </m:r>
                      </m:sub>
                      <m:sup>
                        <m:r>
                          <w:rPr>
                            <w:rFonts w:ascii="Cambria Math" w:hAnsi="Cambria Math" w:cs="Arial"/>
                            <w:sz w:val="20"/>
                            <w:szCs w:val="20"/>
                          </w:rPr>
                          <m:t>Nodrošināti ar citu fondētu vai nefondētu kredītaizsardzību</m:t>
                        </m:r>
                      </m:sup>
                    </m:sSubSup>
                  </m:e>
                </m:nary>
              </m:oMath>
            </m:oMathPara>
          </w:p>
          <w:p w14:paraId="21A82E68" w14:textId="77777777" w:rsidR="00B31323" w:rsidRPr="0089742C" w:rsidRDefault="00B31323" w:rsidP="00DD1EDA">
            <w:pPr>
              <w:rPr>
                <w:rFonts w:cs="Arial"/>
                <w:szCs w:val="20"/>
              </w:rPr>
            </w:pPr>
          </w:p>
        </w:tc>
      </w:tr>
      <w:tr w:rsidR="00267D53" w:rsidRPr="0089742C" w14:paraId="361270F1" w14:textId="77777777" w:rsidTr="006600AC">
        <w:tc>
          <w:tcPr>
            <w:tcW w:w="1191" w:type="dxa"/>
          </w:tcPr>
          <w:p w14:paraId="14994616" w14:textId="77777777" w:rsidR="00267D53" w:rsidRPr="0089742C" w:rsidRDefault="00AA4B91" w:rsidP="00267D53">
            <w:pPr>
              <w:rPr>
                <w:rFonts w:cs="Arial"/>
                <w:szCs w:val="20"/>
              </w:rPr>
            </w:pPr>
            <w:r>
              <w:t>140</w:t>
            </w:r>
          </w:p>
        </w:tc>
        <w:tc>
          <w:tcPr>
            <w:tcW w:w="8845" w:type="dxa"/>
          </w:tcPr>
          <w:p w14:paraId="57226CF1" w14:textId="7FEE150F" w:rsidR="00267D53" w:rsidRPr="0089742C" w:rsidRDefault="00BC71DD" w:rsidP="00267D53">
            <w:pPr>
              <w:rPr>
                <w:rFonts w:cs="Arial"/>
                <w:b/>
                <w:szCs w:val="20"/>
                <w:u w:val="single"/>
              </w:rPr>
            </w:pPr>
            <w:r>
              <w:rPr>
                <w:b/>
                <w:u w:val="single"/>
              </w:rPr>
              <w:t>Nodrošināt</w:t>
            </w:r>
            <w:r w:rsidR="00665BB0">
              <w:rPr>
                <w:b/>
                <w:u w:val="single"/>
              </w:rPr>
              <w:t>i</w:t>
            </w:r>
            <w:r>
              <w:rPr>
                <w:b/>
                <w:u w:val="single"/>
              </w:rPr>
              <w:t xml:space="preserve"> ar citu fondētu vai nefondētu kredītaizsardzību. Riska darījuma vērtība </w:t>
            </w:r>
          </w:p>
          <w:p w14:paraId="5EBA472B" w14:textId="77777777" w:rsidR="00B31323" w:rsidRPr="0089742C" w:rsidRDefault="00B31323" w:rsidP="00B31323">
            <w:pPr>
              <w:pStyle w:val="ListParagraph"/>
              <w:numPr>
                <w:ilvl w:val="0"/>
                <w:numId w:val="25"/>
              </w:numPr>
              <w:rPr>
                <w:rFonts w:cs="Arial"/>
                <w:szCs w:val="20"/>
              </w:rPr>
            </w:pPr>
            <w:r>
              <w:t xml:space="preserve">Riska darījuma vērtību nosaka saskaņā ar CRR 47.a panta 1. un 2. punktu. Konkrētāk, riska darījuma vērtība vienāda ar tā uzskaites vērtību, kas aprēķināta, neņemot vērā nekādas specifiskās kredītriska korekcijas, kas minētas CRR 47.a panta 2. punktā. Turklāt ārpus bilances turētie ienākumus nenesošie riska darījumi jāiekļauj saskaņā ar CRR 47.a panta 1. punktā uzskaitītajiem nosacījumiem. </w:t>
            </w:r>
          </w:p>
          <w:p w14:paraId="2B4932DC" w14:textId="77777777" w:rsidR="00B31323" w:rsidRPr="0089742C" w:rsidRDefault="00B31323" w:rsidP="00B31323">
            <w:pPr>
              <w:pStyle w:val="ListParagraph"/>
              <w:rPr>
                <w:rFonts w:cs="Arial"/>
                <w:szCs w:val="20"/>
              </w:rPr>
            </w:pPr>
          </w:p>
          <w:p w14:paraId="3230ED87" w14:textId="77777777" w:rsidR="00B31323" w:rsidRPr="0089742C" w:rsidRDefault="00B31323" w:rsidP="00B31323">
            <w:pPr>
              <w:pStyle w:val="ListParagraph"/>
              <w:numPr>
                <w:ilvl w:val="0"/>
                <w:numId w:val="25"/>
              </w:numPr>
              <w:rPr>
                <w:rFonts w:cs="Arial"/>
                <w:szCs w:val="20"/>
              </w:rPr>
            </w:pPr>
            <w:r>
              <w:t>Sadalījumu turēšanas ilguma grupās veic saskaņā ar norādījumiem, kas sniegti šā dokumenta 2. iedaļā.</w:t>
            </w:r>
          </w:p>
          <w:p w14:paraId="1A151216" w14:textId="77777777" w:rsidR="00B31323" w:rsidRPr="0089742C" w:rsidRDefault="00B31323" w:rsidP="00B31323">
            <w:pPr>
              <w:pStyle w:val="ListParagraph"/>
              <w:rPr>
                <w:rFonts w:cs="Arial"/>
                <w:szCs w:val="20"/>
              </w:rPr>
            </w:pPr>
          </w:p>
          <w:p w14:paraId="356398C1" w14:textId="129B8120" w:rsidR="00B31323" w:rsidRPr="0089742C" w:rsidRDefault="00D13E82" w:rsidP="00B31323">
            <w:pPr>
              <w:pStyle w:val="ListParagraph"/>
              <w:numPr>
                <w:ilvl w:val="0"/>
                <w:numId w:val="25"/>
              </w:numPr>
              <w:rPr>
                <w:rFonts w:cs="Arial"/>
                <w:szCs w:val="20"/>
              </w:rPr>
            </w:pPr>
            <w:r>
              <w:t xml:space="preserve">Ienākumus nenesoša riska darījuma nodrošinātā daļa ir riska darījuma daļa, kas nodrošināta ar citu fondētu vai nefondētu kredītaizsardzību saskaņā ar CRR Trešās daļas II sadaļu, izņemot ar nekustamo īpašumu un izņemot ko garantējušas vai kā </w:t>
            </w:r>
            <w:r>
              <w:lastRenderedPageBreak/>
              <w:t>atbalsta garantiju sniegušas valstu valdības vai citas valsts iestādes</w:t>
            </w:r>
            <w:r w:rsidR="0039200B" w:rsidRPr="0089742C">
              <w:rPr>
                <w:rStyle w:val="FootnoteReference"/>
                <w:rFonts w:cs="Arial"/>
                <w:szCs w:val="20"/>
              </w:rPr>
              <w:footnoteReference w:id="9"/>
            </w:r>
            <w:r>
              <w:t xml:space="preserve"> (110., 171 un 190. rinda).</w:t>
            </w:r>
          </w:p>
          <w:p w14:paraId="333C944F" w14:textId="52ACF093" w:rsidR="00AA4B91" w:rsidRPr="0089742C" w:rsidRDefault="0048251A" w:rsidP="00676D80">
            <w:pPr>
              <w:rPr>
                <w:rFonts w:cs="Arial"/>
                <w:szCs w:val="20"/>
              </w:rPr>
            </w:pPr>
            <w:r>
              <w:t>Summas jānorāda euro.</w:t>
            </w:r>
          </w:p>
        </w:tc>
      </w:tr>
      <w:tr w:rsidR="00267D53" w:rsidRPr="0089742C" w14:paraId="3A637785" w14:textId="77777777" w:rsidTr="006600AC">
        <w:tc>
          <w:tcPr>
            <w:tcW w:w="1191" w:type="dxa"/>
          </w:tcPr>
          <w:p w14:paraId="7C83AA02" w14:textId="77777777" w:rsidR="00267D53" w:rsidRPr="0089742C" w:rsidRDefault="00AA4B91" w:rsidP="00267D53">
            <w:pPr>
              <w:rPr>
                <w:rFonts w:cs="Arial"/>
                <w:szCs w:val="20"/>
              </w:rPr>
            </w:pPr>
            <w:r>
              <w:lastRenderedPageBreak/>
              <w:t>150</w:t>
            </w:r>
          </w:p>
        </w:tc>
        <w:tc>
          <w:tcPr>
            <w:tcW w:w="8845" w:type="dxa"/>
          </w:tcPr>
          <w:p w14:paraId="621E1479" w14:textId="15A73659" w:rsidR="00BC71DD" w:rsidRPr="0089742C" w:rsidRDefault="00BC71DD" w:rsidP="00267D53">
            <w:pPr>
              <w:rPr>
                <w:rFonts w:cs="Arial"/>
                <w:szCs w:val="20"/>
              </w:rPr>
            </w:pPr>
            <w:r>
              <w:rPr>
                <w:b/>
                <w:u w:val="single"/>
              </w:rPr>
              <w:t>Nodrošināt</w:t>
            </w:r>
            <w:r w:rsidR="00665BB0">
              <w:rPr>
                <w:b/>
                <w:u w:val="single"/>
              </w:rPr>
              <w:t>i</w:t>
            </w:r>
            <w:r>
              <w:rPr>
                <w:b/>
                <w:u w:val="single"/>
              </w:rPr>
              <w:t xml:space="preserve"> ar citu fondētu vai nefondētu kredītaizsardzību. Koeficients </w:t>
            </w:r>
          </w:p>
          <w:p w14:paraId="370448A3" w14:textId="0E5A3484" w:rsidR="00AA4B91" w:rsidRPr="0089742C" w:rsidRDefault="00D52DD6" w:rsidP="008C7DDD">
            <w:pPr>
              <w:rPr>
                <w:rFonts w:cs="Arial"/>
                <w:b/>
                <w:szCs w:val="20"/>
              </w:rPr>
            </w:pPr>
            <w:r>
              <w:t>Koeficientu līmeņi nodrošinātiem INRD ir priekšaizpildīti un saskaņoti ar ECB pamatnostādni par nacionālo kompetento iestāžu uzraudzības pieeju attiecībā uz mazāk nozīmīgu uzraudzīto iestāžu turēto ienākumus nenesošo riska darījumu segumu.</w:t>
            </w:r>
          </w:p>
        </w:tc>
      </w:tr>
      <w:tr w:rsidR="00AA4B91" w:rsidRPr="0089742C" w14:paraId="0590BC81" w14:textId="77777777" w:rsidTr="006600AC">
        <w:tc>
          <w:tcPr>
            <w:tcW w:w="1191" w:type="dxa"/>
          </w:tcPr>
          <w:p w14:paraId="14ED0F26" w14:textId="584A5CEA" w:rsidR="00AA4B91" w:rsidRPr="0089742C" w:rsidRDefault="00AA4B91" w:rsidP="00267D53">
            <w:pPr>
              <w:rPr>
                <w:rFonts w:cs="Arial"/>
                <w:szCs w:val="20"/>
              </w:rPr>
            </w:pPr>
            <w:r>
              <w:t>161</w:t>
            </w:r>
          </w:p>
        </w:tc>
        <w:tc>
          <w:tcPr>
            <w:tcW w:w="8845" w:type="dxa"/>
          </w:tcPr>
          <w:p w14:paraId="39FD2210" w14:textId="0ED98F3E" w:rsidR="00A610BA" w:rsidRPr="0089742C" w:rsidRDefault="005854CD" w:rsidP="00A610BA">
            <w:pPr>
              <w:rPr>
                <w:rFonts w:cs="Arial"/>
                <w:b/>
                <w:szCs w:val="20"/>
                <w:u w:val="single"/>
              </w:rPr>
            </w:pPr>
            <w:r>
              <w:rPr>
                <w:b/>
                <w:u w:val="single"/>
              </w:rPr>
              <w:t>Ga</w:t>
            </w:r>
            <w:r w:rsidR="00A610BA">
              <w:rPr>
                <w:b/>
                <w:u w:val="single"/>
              </w:rPr>
              <w:t>rantējušas vai kā atbalsta garantiju sniegušas valstu valdības vai citas valsts iestādes (koeficients 1). Minimālā seguma gaidas</w:t>
            </w:r>
          </w:p>
          <w:p w14:paraId="5C68464B" w14:textId="77777777" w:rsidR="00A610BA" w:rsidRPr="0089742C" w:rsidRDefault="00A610BA" w:rsidP="00A610BA">
            <w:pPr>
              <w:rPr>
                <w:rFonts w:cs="Arial"/>
                <w:szCs w:val="20"/>
              </w:rPr>
            </w:pPr>
            <w:r>
              <w:t>Šo rindu aprēķina automātiski, reizinot lielumu "Riska darījuma vērtība" (171. rinda) un lielumu "Koeficients" (181. rinda).</w:t>
            </w:r>
          </w:p>
          <w:p w14:paraId="72EFABD2" w14:textId="57A38999" w:rsidR="00F833B3" w:rsidRPr="0089742C" w:rsidRDefault="00F833B3" w:rsidP="00F833B3">
            <w:pPr>
              <w:rPr>
                <w:rFonts w:cs="Arial"/>
                <w:szCs w:val="20"/>
              </w:rPr>
            </w:pPr>
            <w:r>
              <w:t>Šim lielumam jābūt vienādam ar riska darījumu līmenī aprēķināto lielumu "Minimālā seguma gaidas tām INRD daļām, ko garantējis vai kā atbalsta garantiju sniedzis 201. panta 1. punkta a)–e) apakšpunktā minētais atbilstošais kredītaizsardzības devējs, ar kuru noslēgtiem nenodrošinātiem riska darījumiem būtu piešķirta 0 % riska pakāpe saskaņā ar Trešās daļas II sadaļas 2. nodaļu", kuram saskaņā ar Regulas (ES) Nr. 575/2013 47.c panta 4. punkta b) apakšpunktu piemērojams koeficients 1, kopsummu:</w:t>
            </w:r>
          </w:p>
          <w:p w14:paraId="6F9F9564" w14:textId="77777777" w:rsidR="00F833B3" w:rsidRPr="0089742C" w:rsidRDefault="00F833B3" w:rsidP="000331D8">
            <w:pPr>
              <w:rPr>
                <w:rFonts w:cs="Arial"/>
                <w:szCs w:val="20"/>
              </w:rPr>
            </w:pPr>
          </w:p>
          <w:p w14:paraId="376F28C2" w14:textId="51AEC77F" w:rsidR="00662D43" w:rsidRPr="0089742C" w:rsidRDefault="00802E0B" w:rsidP="00662D43">
            <w:pPr>
              <w:pStyle w:val="ECBBodyText"/>
              <w:spacing w:line="240" w:lineRule="auto"/>
              <w:jc w:val="both"/>
              <w:rPr>
                <w:rFonts w:cs="Arial"/>
                <w:szCs w:val="20"/>
              </w:rPr>
            </w:pPr>
            <m:oMathPara>
              <m:oMathParaPr>
                <m:jc m:val="left"/>
              </m:oMathParaPr>
              <m:oMath>
                <m:sSub>
                  <m:sSubPr>
                    <m:ctrlPr>
                      <w:rPr>
                        <w:rFonts w:ascii="Cambria Math" w:hAnsi="Cambria Math" w:cs="Arial"/>
                        <w:i/>
                        <w:szCs w:val="20"/>
                      </w:rPr>
                    </m:ctrlPr>
                  </m:sSubPr>
                  <m:e>
                    <m:r>
                      <w:rPr>
                        <w:rFonts w:ascii="Cambria Math" w:hAnsi="Cambria Math" w:cs="Arial"/>
                        <w:szCs w:val="20"/>
                      </w:rPr>
                      <m:t>Pieņemam, ka I</m:t>
                    </m:r>
                  </m:e>
                  <m:sub>
                    <m:r>
                      <w:rPr>
                        <w:rFonts w:ascii="Cambria Math" w:hAnsi="Cambria Math" w:cs="Arial"/>
                        <w:szCs w:val="20"/>
                      </w:rPr>
                      <m:t xml:space="preserve">v </m:t>
                    </m:r>
                  </m:sub>
                </m:sSub>
                <m:r>
                  <w:rPr>
                    <w:rFonts w:ascii="Cambria Math" w:hAnsi="Cambria Math" w:cs="Arial"/>
                    <w:szCs w:val="20"/>
                  </w:rPr>
                  <m:t xml:space="preserve">ir RD skaits attiecīgajā turēšanas ilguma grupā </m:t>
                </m:r>
                <m:d>
                  <m:dPr>
                    <m:ctrlPr>
                      <w:rPr>
                        <w:rFonts w:ascii="Cambria Math" w:hAnsi="Cambria Math" w:cs="Arial"/>
                        <w:i/>
                        <w:szCs w:val="20"/>
                      </w:rPr>
                    </m:ctrlPr>
                  </m:dPr>
                  <m:e>
                    <m:r>
                      <w:rPr>
                        <w:rFonts w:ascii="Cambria Math" w:hAnsi="Cambria Math" w:cs="Arial"/>
                        <w:szCs w:val="20"/>
                      </w:rPr>
                      <m:t xml:space="preserve">t. i., visi RD, kam </m:t>
                    </m:r>
                    <m:sSub>
                      <m:sSubPr>
                        <m:ctrlPr>
                          <w:rPr>
                            <w:rFonts w:ascii="Cambria Math" w:hAnsi="Cambria Math" w:cs="Arial"/>
                            <w:i/>
                            <w:szCs w:val="20"/>
                          </w:rPr>
                        </m:ctrlPr>
                      </m:sSubPr>
                      <m:e>
                        <m:r>
                          <w:rPr>
                            <w:rFonts w:ascii="Cambria Math" w:hAnsi="Cambria Math" w:cs="Arial"/>
                            <w:szCs w:val="20"/>
                          </w:rPr>
                          <m:t>v</m:t>
                        </m:r>
                      </m:e>
                      <m:sub>
                        <m:r>
                          <w:rPr>
                            <w:rFonts w:ascii="Cambria Math" w:hAnsi="Cambria Math" w:cs="Arial"/>
                            <w:szCs w:val="20"/>
                          </w:rPr>
                          <m:t>i</m:t>
                        </m:r>
                      </m:sub>
                    </m:sSub>
                    <m:r>
                      <w:rPr>
                        <w:rFonts w:ascii="Cambria Math" w:hAnsi="Cambria Math" w:cs="Arial"/>
                        <w:szCs w:val="20"/>
                      </w:rPr>
                      <m:t>=v</m:t>
                    </m:r>
                  </m:e>
                </m:d>
                <m:r>
                  <w:rPr>
                    <w:rFonts w:ascii="Cambria Math" w:hAnsi="Cambria Math" w:cs="Arial"/>
                    <w:szCs w:val="20"/>
                  </w:rPr>
                  <m:t>.</m:t>
                </m:r>
              </m:oMath>
            </m:oMathPara>
          </w:p>
          <w:p w14:paraId="3E7B6D0C" w14:textId="2CED5C93" w:rsidR="00662D43" w:rsidRPr="0089742C" w:rsidRDefault="005854CD" w:rsidP="00662D43">
            <w:pPr>
              <w:pStyle w:val="numberedparagraph"/>
              <w:numPr>
                <w:ilvl w:val="0"/>
                <w:numId w:val="0"/>
              </w:numPr>
              <w:spacing w:after="60" w:line="240" w:lineRule="auto"/>
              <w:ind w:left="720"/>
              <w:jc w:val="left"/>
              <w:rPr>
                <w:rFonts w:ascii="Arial" w:eastAsia="Times New Roman" w:hAnsi="Arial" w:cs="Arial"/>
                <w:sz w:val="20"/>
                <w:szCs w:val="20"/>
              </w:rPr>
            </w:pPr>
            <m:oMathPara>
              <m:oMathParaPr>
                <m:jc m:val="left"/>
              </m:oMathParaPr>
              <m:oMath>
                <m:r>
                  <w:rPr>
                    <w:rFonts w:ascii="Cambria Math" w:hAnsi="Cambria Math" w:cs="Arial"/>
                    <w:sz w:val="20"/>
                    <w:szCs w:val="20"/>
                  </w:rPr>
                  <m:t xml:space="preserve">Minimālā seguma gaidas INRD daļām, ko </m:t>
                </m:r>
              </m:oMath>
            </m:oMathPara>
          </w:p>
          <w:p w14:paraId="201345A5" w14:textId="437FE8FE" w:rsidR="00662D43" w:rsidRPr="0089742C" w:rsidRDefault="001E6285" w:rsidP="00662D43">
            <w:pPr>
              <w:pStyle w:val="numberedparagraph"/>
              <w:numPr>
                <w:ilvl w:val="0"/>
                <w:numId w:val="0"/>
              </w:numPr>
              <w:spacing w:before="0" w:after="60" w:line="240" w:lineRule="auto"/>
              <w:ind w:left="720"/>
              <w:jc w:val="left"/>
              <w:rPr>
                <w:rFonts w:ascii="Arial" w:eastAsia="Times New Roman" w:hAnsi="Arial" w:cs="Arial"/>
                <w:sz w:val="20"/>
                <w:szCs w:val="20"/>
              </w:rPr>
            </w:pPr>
            <m:oMathPara>
              <m:oMathParaPr>
                <m:jc m:val="left"/>
              </m:oMathParaPr>
              <m:oMath>
                <m:r>
                  <w:rPr>
                    <w:rFonts w:ascii="Cambria Math" w:hAnsi="Cambria Math" w:cs="Arial"/>
                    <w:sz w:val="20"/>
                    <w:szCs w:val="20"/>
                  </w:rPr>
                  <m:t>garantējušas vai</m:t>
                </m:r>
              </m:oMath>
            </m:oMathPara>
          </w:p>
          <w:p w14:paraId="1E638E14" w14:textId="746CBCBC" w:rsidR="00662D43" w:rsidRPr="0089742C" w:rsidRDefault="00662D43" w:rsidP="00662D43">
            <w:pPr>
              <w:pStyle w:val="numberedparagraph"/>
              <w:numPr>
                <w:ilvl w:val="0"/>
                <w:numId w:val="0"/>
              </w:numPr>
              <w:spacing w:before="0" w:after="60" w:line="240" w:lineRule="auto"/>
              <w:ind w:left="720"/>
              <w:jc w:val="left"/>
              <w:rPr>
                <w:rFonts w:ascii="Arial" w:eastAsia="Times New Roman" w:hAnsi="Arial" w:cs="Arial"/>
                <w:sz w:val="20"/>
                <w:szCs w:val="20"/>
              </w:rPr>
            </w:pPr>
            <m:oMathPara>
              <m:oMathParaPr>
                <m:jc m:val="left"/>
              </m:oMathParaPr>
              <m:oMath>
                <m:r>
                  <w:rPr>
                    <w:rFonts w:ascii="Cambria Math" w:hAnsi="Cambria Math" w:cs="Arial"/>
                    <w:sz w:val="20"/>
                    <w:szCs w:val="20"/>
                  </w:rPr>
                  <m:t xml:space="preserve"> kā atbalsta garantiju sniegušas valstu valdības vai citas valsts iestādes (koeficients 1)</m:t>
                </m:r>
              </m:oMath>
            </m:oMathPara>
          </w:p>
          <w:p w14:paraId="6C4E6583" w14:textId="1E2F5560" w:rsidR="00662D43" w:rsidRPr="0089742C" w:rsidRDefault="00662D43" w:rsidP="00662D43">
            <w:pPr>
              <w:pStyle w:val="numberedparagraph"/>
              <w:numPr>
                <w:ilvl w:val="0"/>
                <w:numId w:val="0"/>
              </w:numPr>
              <w:ind w:left="720"/>
              <w:jc w:val="left"/>
              <w:rPr>
                <w:rFonts w:ascii="Arial" w:hAnsi="Arial" w:cs="Arial"/>
                <w:sz w:val="20"/>
                <w:szCs w:val="20"/>
              </w:rPr>
            </w:pPr>
            <m:oMathPara>
              <m:oMathParaPr>
                <m:jc m:val="left"/>
              </m:oMathParaPr>
              <m:oMath>
                <m:r>
                  <w:rPr>
                    <w:rFonts w:ascii="Cambria Math" w:hAnsi="Cambria Math" w:cs="Arial"/>
                    <w:sz w:val="20"/>
                    <w:szCs w:val="20"/>
                  </w:rPr>
                  <m:t>=</m:t>
                </m:r>
                <m:nary>
                  <m:naryPr>
                    <m:chr m:val="∑"/>
                    <m:limLoc m:val="undOvr"/>
                    <m:ctrlPr>
                      <w:rPr>
                        <w:rFonts w:ascii="Cambria Math" w:hAnsi="Cambria Math" w:cs="Arial"/>
                        <w:i/>
                        <w:sz w:val="20"/>
                        <w:szCs w:val="20"/>
                      </w:rPr>
                    </m:ctrlPr>
                  </m:naryPr>
                  <m:sub>
                    <m:r>
                      <w:rPr>
                        <w:rFonts w:ascii="Cambria Math" w:hAnsi="Cambria Math" w:cs="Arial"/>
                        <w:sz w:val="20"/>
                        <w:szCs w:val="20"/>
                      </w:rPr>
                      <m:t>i</m:t>
                    </m:r>
                  </m:sub>
                  <m:sup>
                    <m:sSub>
                      <m:sSubPr>
                        <m:ctrlPr>
                          <w:rPr>
                            <w:rFonts w:ascii="Cambria Math" w:eastAsia="Times New Roman" w:hAnsi="Cambria Math" w:cs="Arial"/>
                            <w:i/>
                            <w:sz w:val="20"/>
                            <w:szCs w:val="20"/>
                            <w:lang w:val="en-GB" w:eastAsia="en-GB"/>
                          </w:rPr>
                        </m:ctrlPr>
                      </m:sSubPr>
                      <m:e>
                        <m:r>
                          <w:rPr>
                            <w:rFonts w:ascii="Cambria Math" w:hAnsi="Cambria Math" w:cs="Arial"/>
                            <w:sz w:val="20"/>
                            <w:szCs w:val="20"/>
                          </w:rPr>
                          <m:t>I</m:t>
                        </m:r>
                      </m:e>
                      <m:sub>
                        <m:r>
                          <w:rPr>
                            <w:rFonts w:ascii="Cambria Math" w:hAnsi="Cambria Math" w:cs="Arial"/>
                            <w:sz w:val="20"/>
                            <w:szCs w:val="20"/>
                          </w:rPr>
                          <m:t>v</m:t>
                        </m:r>
                      </m:sub>
                    </m:sSub>
                  </m:sup>
                  <m:e>
                    <m:sSubSup>
                      <m:sSubSupPr>
                        <m:ctrlPr>
                          <w:rPr>
                            <w:rFonts w:ascii="Cambria Math" w:eastAsia="Times New Roman" w:hAnsi="Cambria Math" w:cs="Arial"/>
                            <w:i/>
                            <w:sz w:val="20"/>
                            <w:szCs w:val="20"/>
                            <w:lang w:val="en-GB" w:eastAsia="en-GB"/>
                          </w:rPr>
                        </m:ctrlPr>
                      </m:sSubSupPr>
                      <m:e>
                        <m:r>
                          <w:rPr>
                            <w:rFonts w:ascii="Cambria Math" w:hAnsi="Cambria Math" w:cs="Arial"/>
                            <w:sz w:val="20"/>
                            <w:szCs w:val="20"/>
                          </w:rPr>
                          <m:t>MCE</m:t>
                        </m:r>
                      </m:e>
                      <m:sub>
                        <m:r>
                          <w:rPr>
                            <w:rFonts w:ascii="Cambria Math" w:hAnsi="Cambria Math" w:cs="Arial"/>
                            <w:sz w:val="20"/>
                            <w:szCs w:val="20"/>
                          </w:rPr>
                          <m:t>i</m:t>
                        </m:r>
                      </m:sub>
                      <m:sup>
                        <m:eqArr>
                          <m:eqArrPr>
                            <m:ctrlPr>
                              <w:rPr>
                                <w:rFonts w:ascii="Cambria Math" w:hAnsi="Cambria Math" w:cs="Arial"/>
                                <w:i/>
                                <w:sz w:val="20"/>
                                <w:szCs w:val="20"/>
                              </w:rPr>
                            </m:ctrlPr>
                          </m:eqArrPr>
                          <m:e>
                            <m:r>
                              <w:rPr>
                                <w:rFonts w:ascii="Cambria Math" w:hAnsi="Cambria Math" w:cs="Arial"/>
                                <w:sz w:val="20"/>
                                <w:szCs w:val="20"/>
                              </w:rPr>
                              <m:t xml:space="preserve"> </m:t>
                            </m:r>
                          </m:e>
                          <m:e>
                            <m:r>
                              <w:rPr>
                                <w:rFonts w:ascii="Cambria Math" w:hAnsi="Cambria Math" w:cs="Arial"/>
                                <w:sz w:val="20"/>
                                <w:szCs w:val="20"/>
                              </w:rPr>
                              <m:t xml:space="preserve">Garantējušas vai kā atbalsta garantiju sniegušas </m:t>
                            </m:r>
                            <m:ctrlPr>
                              <w:rPr>
                                <w:rFonts w:ascii="Cambria Math" w:eastAsia="Cambria Math" w:hAnsi="Cambria Math" w:cs="Arial"/>
                                <w:i/>
                                <w:sz w:val="20"/>
                                <w:szCs w:val="20"/>
                              </w:rPr>
                            </m:ctrlPr>
                          </m:e>
                          <m:e>
                            <m:r>
                              <w:rPr>
                                <w:rFonts w:ascii="Cambria Math" w:hAnsi="Cambria Math" w:cs="Arial"/>
                                <w:sz w:val="20"/>
                                <w:szCs w:val="20"/>
                              </w:rPr>
                              <m:t xml:space="preserve">valstu valdības vai citas valsts iestādes (koeficients 1) </m:t>
                            </m:r>
                          </m:e>
                        </m:eqArr>
                      </m:sup>
                    </m:sSubSup>
                  </m:e>
                </m:nary>
              </m:oMath>
            </m:oMathPara>
          </w:p>
          <w:p w14:paraId="52078546" w14:textId="77777777" w:rsidR="00AA4B91" w:rsidRPr="0089742C" w:rsidRDefault="00AA4B91" w:rsidP="00267D53">
            <w:pPr>
              <w:rPr>
                <w:rFonts w:cs="Arial"/>
                <w:b/>
                <w:szCs w:val="20"/>
              </w:rPr>
            </w:pPr>
          </w:p>
        </w:tc>
      </w:tr>
      <w:tr w:rsidR="00AA4B91" w:rsidRPr="0089742C" w14:paraId="7A6467E3" w14:textId="77777777" w:rsidTr="006600AC">
        <w:tc>
          <w:tcPr>
            <w:tcW w:w="1191" w:type="dxa"/>
          </w:tcPr>
          <w:p w14:paraId="1C9C4DD3" w14:textId="0AAC0C35" w:rsidR="00AA4B91" w:rsidRPr="0089742C" w:rsidRDefault="00AA4B91" w:rsidP="00267D53">
            <w:pPr>
              <w:rPr>
                <w:rFonts w:cs="Arial"/>
                <w:szCs w:val="20"/>
              </w:rPr>
            </w:pPr>
            <w:r>
              <w:t>171</w:t>
            </w:r>
          </w:p>
        </w:tc>
        <w:tc>
          <w:tcPr>
            <w:tcW w:w="8845" w:type="dxa"/>
          </w:tcPr>
          <w:p w14:paraId="6963C85C" w14:textId="4BA7B2BD" w:rsidR="00662D43" w:rsidRPr="0089742C" w:rsidRDefault="005854CD" w:rsidP="00662D43">
            <w:pPr>
              <w:rPr>
                <w:rFonts w:cs="Arial"/>
                <w:b/>
                <w:szCs w:val="20"/>
                <w:u w:val="single"/>
              </w:rPr>
            </w:pPr>
            <w:r>
              <w:rPr>
                <w:b/>
                <w:u w:val="single"/>
              </w:rPr>
              <w:t>G</w:t>
            </w:r>
            <w:r w:rsidR="00662D43">
              <w:rPr>
                <w:b/>
                <w:u w:val="single"/>
              </w:rPr>
              <w:t xml:space="preserve">arantējušas vai kā atbalsta garantiju sniegušas valstu valdības vai citas valsts iestādes (koeficients 1). Riska darījuma vērtība </w:t>
            </w:r>
          </w:p>
          <w:p w14:paraId="5CD203B1" w14:textId="77777777" w:rsidR="00B31323" w:rsidRPr="0089742C" w:rsidRDefault="00B31323" w:rsidP="00B31323">
            <w:pPr>
              <w:pStyle w:val="ListParagraph"/>
              <w:numPr>
                <w:ilvl w:val="0"/>
                <w:numId w:val="24"/>
              </w:numPr>
              <w:rPr>
                <w:rFonts w:cs="Arial"/>
                <w:szCs w:val="20"/>
              </w:rPr>
            </w:pPr>
            <w:r>
              <w:t xml:space="preserve">Riska darījuma vērtību nosaka saskaņā ar CRR 47.a panta 1. un 2. punktu. Konkrētāk, riska darījuma vērtība vienāda ar tā uzskaites vērtību, kas aprēķināta, neņemot vērā nekādas specifiskās kredītriska korekcijas, kas minētas CRR 47.a panta 2. punktā. </w:t>
            </w:r>
            <w:r>
              <w:lastRenderedPageBreak/>
              <w:t xml:space="preserve">Turklāt ārpus bilances turētie ienākumus nenesošie riska darījumi jāiekļauj saskaņā ar CRR 47.a panta 1. punktā uzskaitītajiem nosacījumiem. </w:t>
            </w:r>
          </w:p>
          <w:p w14:paraId="7FE497A8" w14:textId="77777777" w:rsidR="00B31323" w:rsidRPr="0089742C" w:rsidRDefault="00B31323" w:rsidP="00B31323">
            <w:pPr>
              <w:pStyle w:val="ListParagraph"/>
              <w:rPr>
                <w:rFonts w:cs="Arial"/>
                <w:szCs w:val="20"/>
              </w:rPr>
            </w:pPr>
          </w:p>
          <w:p w14:paraId="7F9AF99E" w14:textId="77777777" w:rsidR="00B31323" w:rsidRPr="0089742C" w:rsidRDefault="00B31323" w:rsidP="00B31323">
            <w:pPr>
              <w:pStyle w:val="ListParagraph"/>
              <w:numPr>
                <w:ilvl w:val="0"/>
                <w:numId w:val="24"/>
              </w:numPr>
              <w:rPr>
                <w:rFonts w:cs="Arial"/>
                <w:szCs w:val="20"/>
              </w:rPr>
            </w:pPr>
            <w:r>
              <w:t>Sadalījumu turēšanas ilguma grupās veic saskaņā ar norādījumiem, kas sniegti šā dokumenta 2. iedaļā.</w:t>
            </w:r>
          </w:p>
          <w:p w14:paraId="776730AF" w14:textId="77777777" w:rsidR="00B31323" w:rsidRPr="0089742C" w:rsidRDefault="00B31323" w:rsidP="00B31323">
            <w:pPr>
              <w:pStyle w:val="ListParagraph"/>
              <w:rPr>
                <w:rFonts w:cs="Arial"/>
                <w:szCs w:val="20"/>
              </w:rPr>
            </w:pPr>
          </w:p>
          <w:p w14:paraId="4CC3A761" w14:textId="09396433" w:rsidR="00353E99" w:rsidRDefault="00353E99" w:rsidP="00353E99">
            <w:pPr>
              <w:pStyle w:val="ListParagraph"/>
              <w:numPr>
                <w:ilvl w:val="0"/>
                <w:numId w:val="24"/>
              </w:numPr>
              <w:rPr>
                <w:rFonts w:cs="Arial"/>
                <w:szCs w:val="20"/>
              </w:rPr>
            </w:pPr>
            <w:r>
              <w:t>Ienākumus nenesoša riska darījuma nodrošinātā daļa ir tā riska darījuma daļa, ko garantējusi vai kam atbalsta garantiju sniegusi valsts valdība vai citas valsts iestādes</w:t>
            </w:r>
            <w:r w:rsidR="009004A9" w:rsidRPr="0089742C">
              <w:rPr>
                <w:rStyle w:val="FootnoteReference"/>
                <w:rFonts w:cs="Arial"/>
                <w:szCs w:val="20"/>
              </w:rPr>
              <w:footnoteReference w:id="10"/>
            </w:r>
            <w:r>
              <w:t>.</w:t>
            </w:r>
          </w:p>
          <w:p w14:paraId="616E7FAD" w14:textId="77777777" w:rsidR="00662D43" w:rsidRPr="00662D43" w:rsidRDefault="00662D43" w:rsidP="008800FC">
            <w:pPr>
              <w:pStyle w:val="ListParagraph"/>
              <w:rPr>
                <w:rFonts w:cs="Arial"/>
                <w:szCs w:val="20"/>
              </w:rPr>
            </w:pPr>
          </w:p>
          <w:p w14:paraId="3A80B3B3" w14:textId="77777777" w:rsidR="00662D43" w:rsidRPr="0089742C" w:rsidRDefault="00662D43" w:rsidP="00662D43">
            <w:pPr>
              <w:pStyle w:val="ListParagraph"/>
              <w:numPr>
                <w:ilvl w:val="0"/>
                <w:numId w:val="24"/>
              </w:numPr>
              <w:rPr>
                <w:rFonts w:cs="Arial"/>
                <w:szCs w:val="20"/>
              </w:rPr>
            </w:pPr>
            <w:r>
              <w:t>Šeit uzrāda tikai tos riska darījumus, kuriem saskaņā ar Regulas (ES) Nr. 575/2013 47.c panta 4. punkta b) apakšpunktu piemērojams koeficients 1.</w:t>
            </w:r>
          </w:p>
          <w:p w14:paraId="5C8124D2" w14:textId="77777777" w:rsidR="00662D43" w:rsidRPr="00662D43" w:rsidRDefault="00662D43" w:rsidP="008800FC">
            <w:pPr>
              <w:ind w:left="360"/>
              <w:rPr>
                <w:rFonts w:cs="Arial"/>
                <w:szCs w:val="20"/>
              </w:rPr>
            </w:pPr>
          </w:p>
          <w:p w14:paraId="557B687D" w14:textId="2CF9D688" w:rsidR="00676D80" w:rsidRPr="0089742C" w:rsidRDefault="0048251A" w:rsidP="00676D80">
            <w:pPr>
              <w:rPr>
                <w:rFonts w:cs="Arial"/>
                <w:b/>
                <w:szCs w:val="20"/>
              </w:rPr>
            </w:pPr>
            <w:r>
              <w:t>Summas jānorāda euro.</w:t>
            </w:r>
          </w:p>
        </w:tc>
      </w:tr>
      <w:tr w:rsidR="00AA4B91" w:rsidRPr="0089742C" w14:paraId="63038637" w14:textId="77777777" w:rsidTr="006600AC">
        <w:tc>
          <w:tcPr>
            <w:tcW w:w="1191" w:type="dxa"/>
          </w:tcPr>
          <w:p w14:paraId="78F25F8E" w14:textId="1720F541" w:rsidR="00AA4B91" w:rsidRPr="0089742C" w:rsidRDefault="00AA4B91" w:rsidP="00267D53">
            <w:pPr>
              <w:rPr>
                <w:rFonts w:cs="Arial"/>
                <w:szCs w:val="20"/>
              </w:rPr>
            </w:pPr>
            <w:r>
              <w:lastRenderedPageBreak/>
              <w:t>181</w:t>
            </w:r>
          </w:p>
        </w:tc>
        <w:tc>
          <w:tcPr>
            <w:tcW w:w="8845" w:type="dxa"/>
          </w:tcPr>
          <w:p w14:paraId="3337D151" w14:textId="186421AB" w:rsidR="00662D43" w:rsidRPr="0089742C" w:rsidRDefault="005854CD" w:rsidP="00662D43">
            <w:pPr>
              <w:rPr>
                <w:rFonts w:cs="Arial"/>
                <w:b/>
                <w:szCs w:val="20"/>
                <w:u w:val="single"/>
              </w:rPr>
            </w:pPr>
            <w:r>
              <w:rPr>
                <w:b/>
                <w:u w:val="single"/>
              </w:rPr>
              <w:t>G</w:t>
            </w:r>
            <w:r w:rsidR="00662D43">
              <w:rPr>
                <w:b/>
                <w:u w:val="single"/>
              </w:rPr>
              <w:t>arantējušas vai kā atbalsta garantiju sniegušas valstu valdības vai citas valsts iestādes (koeficients 1). Koeficients</w:t>
            </w:r>
          </w:p>
          <w:p w14:paraId="53118AB8" w14:textId="00E340A9" w:rsidR="00AA4B91" w:rsidRPr="0089742C" w:rsidRDefault="00D52DD6" w:rsidP="009004A9">
            <w:pPr>
              <w:rPr>
                <w:rFonts w:cs="Arial"/>
                <w:b/>
                <w:szCs w:val="20"/>
              </w:rPr>
            </w:pPr>
            <w:r>
              <w:t xml:space="preserve">Koeficientu līmeņi nodrošinātiem INRD ir priekšaizpildīti un saskaņoti ar ECB pamatnostādni par nacionālo kompetento iestāžu uzraudzības pieeju attiecībā uz mazāk nozīmīgu uzraudzīto iestāžu turēto ienākumus nenesošo riska darījumu segumu.  </w:t>
            </w:r>
          </w:p>
        </w:tc>
      </w:tr>
      <w:tr w:rsidR="002368D9" w:rsidRPr="0089742C" w14:paraId="42194293" w14:textId="77777777" w:rsidTr="006600AC">
        <w:tc>
          <w:tcPr>
            <w:tcW w:w="1191" w:type="dxa"/>
          </w:tcPr>
          <w:p w14:paraId="6B2994E5" w14:textId="31948ABE" w:rsidR="002368D9" w:rsidRPr="0089742C" w:rsidRDefault="002368D9" w:rsidP="00267D53">
            <w:pPr>
              <w:rPr>
                <w:rFonts w:cs="Arial"/>
                <w:szCs w:val="20"/>
              </w:rPr>
            </w:pPr>
            <w:r>
              <w:t>185</w:t>
            </w:r>
          </w:p>
        </w:tc>
        <w:tc>
          <w:tcPr>
            <w:tcW w:w="8845" w:type="dxa"/>
          </w:tcPr>
          <w:p w14:paraId="6887178C" w14:textId="59BBD67F" w:rsidR="002368D9" w:rsidRPr="005B5DF4" w:rsidRDefault="005854CD" w:rsidP="002368D9">
            <w:pPr>
              <w:rPr>
                <w:rFonts w:cs="Arial"/>
                <w:b/>
                <w:szCs w:val="20"/>
                <w:u w:val="single"/>
              </w:rPr>
            </w:pPr>
            <w:r>
              <w:rPr>
                <w:b/>
                <w:u w:val="single"/>
              </w:rPr>
              <w:t>G</w:t>
            </w:r>
            <w:r w:rsidR="002368D9">
              <w:rPr>
                <w:b/>
                <w:u w:val="single"/>
              </w:rPr>
              <w:t>arantējušas vai kā atbalsta garantiju sniegušas valstu valdības vai citas valsts iestādes (koeficients 0). Minimālā seguma gaidas</w:t>
            </w:r>
          </w:p>
          <w:p w14:paraId="219F5457" w14:textId="77777777" w:rsidR="002368D9" w:rsidRPr="005B5DF4" w:rsidRDefault="002368D9" w:rsidP="002368D9">
            <w:pPr>
              <w:rPr>
                <w:rFonts w:cs="Arial"/>
                <w:bCs/>
                <w:szCs w:val="20"/>
              </w:rPr>
            </w:pPr>
            <w:r>
              <w:t>Šo rindu aprēķina automātiski, reizinot lielumu "Riska darījuma vērtība" (190. rinda) un lielumu "Koeficients" (195. rinda).</w:t>
            </w:r>
          </w:p>
          <w:p w14:paraId="78735875" w14:textId="77777777" w:rsidR="002368D9" w:rsidRPr="005B5DF4" w:rsidRDefault="002368D9" w:rsidP="002368D9">
            <w:pPr>
              <w:rPr>
                <w:rFonts w:cs="Arial"/>
                <w:bCs/>
                <w:szCs w:val="20"/>
              </w:rPr>
            </w:pPr>
            <w:r>
              <w:t>Šim lielumam jābūt vienādam ar riska darījumu līmenī aprēķināto lielumu "Minimālā seguma gaidas tām INRD daļām, ko garantējis vai kā atbalsta garantiju sniedzis 201. panta 1. punkta a)–e) apakšpunktā minētais atbilstošais kredītaizsardzības devējs, ar kuru noslēgtiem nenodrošinātiem riska darījumiem būtu piešķirta 0 % riska pakāpe saskaņā ar Trešās daļas II sadaļas 2. nodaļu", kam saskaņā ar Regulas (ES) Nr. 575/2013 47.c panta 4. punkta b) apakšpunktu piemērojams koeficients 0, kopsummu:</w:t>
            </w:r>
          </w:p>
          <w:p w14:paraId="7C156BF3" w14:textId="77777777" w:rsidR="002368D9" w:rsidRDefault="002368D9" w:rsidP="002368D9">
            <w:pPr>
              <w:rPr>
                <w:rFonts w:cs="Arial"/>
                <w:b/>
                <w:szCs w:val="20"/>
                <w:u w:val="single"/>
              </w:rPr>
            </w:pPr>
          </w:p>
          <w:p w14:paraId="5B724BF6" w14:textId="77777777" w:rsidR="005854CD" w:rsidRDefault="005854CD" w:rsidP="002368D9">
            <w:pPr>
              <w:rPr>
                <w:rFonts w:cs="Arial"/>
                <w:b/>
                <w:szCs w:val="20"/>
                <w:u w:val="single"/>
              </w:rPr>
            </w:pPr>
          </w:p>
          <w:p w14:paraId="040A9728" w14:textId="77777777" w:rsidR="005854CD" w:rsidRPr="005B5DF4" w:rsidRDefault="005854CD" w:rsidP="002368D9">
            <w:pPr>
              <w:rPr>
                <w:rFonts w:cs="Arial"/>
                <w:b/>
                <w:szCs w:val="20"/>
                <w:u w:val="single"/>
              </w:rPr>
            </w:pPr>
          </w:p>
          <w:p w14:paraId="5CDB3566" w14:textId="209AE4AA" w:rsidR="002368D9" w:rsidRPr="0089742C" w:rsidRDefault="00802E0B" w:rsidP="002368D9">
            <w:pPr>
              <w:pStyle w:val="ECBBodyText"/>
              <w:spacing w:line="240" w:lineRule="auto"/>
              <w:jc w:val="both"/>
              <w:rPr>
                <w:rFonts w:cs="Arial"/>
                <w:szCs w:val="20"/>
              </w:rPr>
            </w:pPr>
            <m:oMathPara>
              <m:oMathParaPr>
                <m:jc m:val="left"/>
              </m:oMathParaPr>
              <m:oMath>
                <m:sSub>
                  <m:sSubPr>
                    <m:ctrlPr>
                      <w:rPr>
                        <w:rFonts w:ascii="Cambria Math" w:hAnsi="Cambria Math" w:cs="Arial"/>
                        <w:i/>
                        <w:szCs w:val="20"/>
                      </w:rPr>
                    </m:ctrlPr>
                  </m:sSubPr>
                  <m:e>
                    <m:r>
                      <w:rPr>
                        <w:rFonts w:ascii="Cambria Math" w:hAnsi="Cambria Math" w:cs="Arial"/>
                        <w:szCs w:val="20"/>
                      </w:rPr>
                      <m:t>Pieņemam, ka I</m:t>
                    </m:r>
                  </m:e>
                  <m:sub>
                    <m:r>
                      <w:rPr>
                        <w:rFonts w:ascii="Cambria Math" w:hAnsi="Cambria Math" w:cs="Arial"/>
                        <w:szCs w:val="20"/>
                      </w:rPr>
                      <m:t xml:space="preserve">v </m:t>
                    </m:r>
                  </m:sub>
                </m:sSub>
                <m:r>
                  <w:rPr>
                    <w:rFonts w:ascii="Cambria Math" w:hAnsi="Cambria Math" w:cs="Arial"/>
                    <w:szCs w:val="20"/>
                  </w:rPr>
                  <m:t xml:space="preserve">ir RD skaits attiecīgajā turēšanas ilguma grupā </m:t>
                </m:r>
                <m:d>
                  <m:dPr>
                    <m:ctrlPr>
                      <w:rPr>
                        <w:rFonts w:ascii="Cambria Math" w:hAnsi="Cambria Math" w:cs="Arial"/>
                        <w:i/>
                        <w:szCs w:val="20"/>
                      </w:rPr>
                    </m:ctrlPr>
                  </m:dPr>
                  <m:e>
                    <m:r>
                      <w:rPr>
                        <w:rFonts w:ascii="Cambria Math" w:hAnsi="Cambria Math" w:cs="Arial"/>
                        <w:szCs w:val="20"/>
                      </w:rPr>
                      <m:t xml:space="preserve">t. i., visi RD, kam </m:t>
                    </m:r>
                    <m:sSub>
                      <m:sSubPr>
                        <m:ctrlPr>
                          <w:rPr>
                            <w:rFonts w:ascii="Cambria Math" w:hAnsi="Cambria Math" w:cs="Arial"/>
                            <w:i/>
                            <w:szCs w:val="20"/>
                          </w:rPr>
                        </m:ctrlPr>
                      </m:sSubPr>
                      <m:e>
                        <m:r>
                          <w:rPr>
                            <w:rFonts w:ascii="Cambria Math" w:hAnsi="Cambria Math" w:cs="Arial"/>
                            <w:szCs w:val="20"/>
                          </w:rPr>
                          <m:t>v</m:t>
                        </m:r>
                      </m:e>
                      <m:sub>
                        <m:r>
                          <w:rPr>
                            <w:rFonts w:ascii="Cambria Math" w:hAnsi="Cambria Math" w:cs="Arial"/>
                            <w:szCs w:val="20"/>
                          </w:rPr>
                          <m:t>i</m:t>
                        </m:r>
                      </m:sub>
                    </m:sSub>
                    <m:r>
                      <w:rPr>
                        <w:rFonts w:ascii="Cambria Math" w:hAnsi="Cambria Math" w:cs="Arial"/>
                        <w:szCs w:val="20"/>
                      </w:rPr>
                      <m:t>=v</m:t>
                    </m:r>
                  </m:e>
                </m:d>
                <m:r>
                  <w:rPr>
                    <w:rFonts w:ascii="Cambria Math" w:hAnsi="Cambria Math" w:cs="Arial"/>
                    <w:szCs w:val="20"/>
                  </w:rPr>
                  <m:t>.</m:t>
                </m:r>
              </m:oMath>
            </m:oMathPara>
          </w:p>
          <w:p w14:paraId="609C6817" w14:textId="7CABCB3B" w:rsidR="002368D9" w:rsidRPr="0089742C" w:rsidRDefault="005854CD" w:rsidP="002368D9">
            <w:pPr>
              <w:pStyle w:val="numberedparagraph"/>
              <w:numPr>
                <w:ilvl w:val="0"/>
                <w:numId w:val="0"/>
              </w:numPr>
              <w:spacing w:after="60" w:line="240" w:lineRule="auto"/>
              <w:ind w:left="720"/>
              <w:jc w:val="left"/>
              <w:rPr>
                <w:rFonts w:ascii="Arial" w:eastAsia="Times New Roman" w:hAnsi="Arial" w:cs="Arial"/>
                <w:sz w:val="20"/>
                <w:szCs w:val="20"/>
              </w:rPr>
            </w:pPr>
            <m:oMathPara>
              <m:oMathParaPr>
                <m:jc m:val="left"/>
              </m:oMathParaPr>
              <m:oMath>
                <m:r>
                  <w:rPr>
                    <w:rFonts w:ascii="Cambria Math" w:hAnsi="Cambria Math" w:cs="Arial"/>
                    <w:sz w:val="20"/>
                    <w:szCs w:val="20"/>
                  </w:rPr>
                  <m:t>Minimālā seguma gaidas INRD daļām, ko</m:t>
                </m:r>
              </m:oMath>
            </m:oMathPara>
          </w:p>
          <w:p w14:paraId="6B52129E" w14:textId="60F73603" w:rsidR="002368D9" w:rsidRPr="0089742C" w:rsidRDefault="00DF4BC2" w:rsidP="002368D9">
            <w:pPr>
              <w:pStyle w:val="numberedparagraph"/>
              <w:numPr>
                <w:ilvl w:val="0"/>
                <w:numId w:val="0"/>
              </w:numPr>
              <w:spacing w:before="0" w:after="60" w:line="240" w:lineRule="auto"/>
              <w:ind w:left="720"/>
              <w:jc w:val="left"/>
              <w:rPr>
                <w:rFonts w:ascii="Arial" w:eastAsia="Times New Roman" w:hAnsi="Arial" w:cs="Arial"/>
                <w:sz w:val="20"/>
                <w:szCs w:val="20"/>
              </w:rPr>
            </w:pPr>
            <m:oMathPara>
              <m:oMathParaPr>
                <m:jc m:val="left"/>
              </m:oMathParaPr>
              <m:oMath>
                <m:r>
                  <w:rPr>
                    <w:rFonts w:ascii="Cambria Math" w:hAnsi="Cambria Math" w:cs="Arial"/>
                    <w:sz w:val="20"/>
                    <w:szCs w:val="20"/>
                  </w:rPr>
                  <m:t>garantējušas vai</m:t>
                </m:r>
              </m:oMath>
            </m:oMathPara>
          </w:p>
          <w:p w14:paraId="46A1368D" w14:textId="6D77A51D" w:rsidR="002368D9" w:rsidRPr="0089742C" w:rsidRDefault="002368D9" w:rsidP="002368D9">
            <w:pPr>
              <w:pStyle w:val="numberedparagraph"/>
              <w:numPr>
                <w:ilvl w:val="0"/>
                <w:numId w:val="0"/>
              </w:numPr>
              <w:spacing w:before="0" w:after="60" w:line="240" w:lineRule="auto"/>
              <w:ind w:left="720"/>
              <w:jc w:val="left"/>
              <w:rPr>
                <w:rFonts w:ascii="Arial" w:eastAsia="Times New Roman" w:hAnsi="Arial" w:cs="Arial"/>
                <w:sz w:val="20"/>
                <w:szCs w:val="20"/>
              </w:rPr>
            </w:pPr>
            <m:oMathPara>
              <m:oMathParaPr>
                <m:jc m:val="left"/>
              </m:oMathParaPr>
              <m:oMath>
                <m:r>
                  <w:rPr>
                    <w:rFonts w:ascii="Cambria Math" w:hAnsi="Cambria Math" w:cs="Arial"/>
                    <w:sz w:val="20"/>
                    <w:szCs w:val="20"/>
                  </w:rPr>
                  <m:t xml:space="preserve"> kā atbalsta garantiju sniegušas valstu valdības vai citas valsts iestādes (koeficients 0)</m:t>
                </m:r>
              </m:oMath>
            </m:oMathPara>
          </w:p>
          <w:p w14:paraId="31B6A281" w14:textId="3A3F803D" w:rsidR="002368D9" w:rsidRPr="0089742C" w:rsidRDefault="002368D9" w:rsidP="002368D9">
            <w:pPr>
              <w:pStyle w:val="numberedparagraph"/>
              <w:numPr>
                <w:ilvl w:val="0"/>
                <w:numId w:val="0"/>
              </w:numPr>
              <w:ind w:left="720"/>
              <w:jc w:val="left"/>
              <w:rPr>
                <w:rFonts w:ascii="Arial" w:hAnsi="Arial" w:cs="Arial"/>
                <w:sz w:val="20"/>
                <w:szCs w:val="20"/>
              </w:rPr>
            </w:pPr>
            <m:oMathPara>
              <m:oMathParaPr>
                <m:jc m:val="left"/>
              </m:oMathParaPr>
              <m:oMath>
                <m:r>
                  <w:rPr>
                    <w:rFonts w:ascii="Cambria Math" w:hAnsi="Cambria Math" w:cs="Arial"/>
                    <w:sz w:val="20"/>
                    <w:szCs w:val="20"/>
                  </w:rPr>
                  <m:t>=</m:t>
                </m:r>
                <m:nary>
                  <m:naryPr>
                    <m:chr m:val="∑"/>
                    <m:limLoc m:val="undOvr"/>
                    <m:ctrlPr>
                      <w:rPr>
                        <w:rFonts w:ascii="Cambria Math" w:hAnsi="Cambria Math" w:cs="Arial"/>
                        <w:i/>
                        <w:sz w:val="20"/>
                        <w:szCs w:val="20"/>
                      </w:rPr>
                    </m:ctrlPr>
                  </m:naryPr>
                  <m:sub>
                    <m:r>
                      <w:rPr>
                        <w:rFonts w:ascii="Cambria Math" w:hAnsi="Cambria Math" w:cs="Arial"/>
                        <w:sz w:val="20"/>
                        <w:szCs w:val="20"/>
                      </w:rPr>
                      <m:t>i</m:t>
                    </m:r>
                  </m:sub>
                  <m:sup>
                    <m:sSub>
                      <m:sSubPr>
                        <m:ctrlPr>
                          <w:rPr>
                            <w:rFonts w:ascii="Cambria Math" w:eastAsia="Times New Roman" w:hAnsi="Cambria Math" w:cs="Arial"/>
                            <w:i/>
                            <w:sz w:val="20"/>
                            <w:szCs w:val="20"/>
                            <w:lang w:val="en-GB" w:eastAsia="en-GB"/>
                          </w:rPr>
                        </m:ctrlPr>
                      </m:sSubPr>
                      <m:e>
                        <m:r>
                          <w:rPr>
                            <w:rFonts w:ascii="Cambria Math" w:hAnsi="Cambria Math" w:cs="Arial"/>
                            <w:sz w:val="20"/>
                            <w:szCs w:val="20"/>
                          </w:rPr>
                          <m:t>I</m:t>
                        </m:r>
                      </m:e>
                      <m:sub>
                        <m:r>
                          <w:rPr>
                            <w:rFonts w:ascii="Cambria Math" w:hAnsi="Cambria Math" w:cs="Arial"/>
                            <w:sz w:val="20"/>
                            <w:szCs w:val="20"/>
                          </w:rPr>
                          <m:t>v</m:t>
                        </m:r>
                      </m:sub>
                    </m:sSub>
                  </m:sup>
                  <m:e>
                    <m:sSubSup>
                      <m:sSubSupPr>
                        <m:ctrlPr>
                          <w:rPr>
                            <w:rFonts w:ascii="Cambria Math" w:eastAsia="Times New Roman" w:hAnsi="Cambria Math" w:cs="Arial"/>
                            <w:i/>
                            <w:sz w:val="20"/>
                            <w:szCs w:val="20"/>
                            <w:lang w:val="en-GB" w:eastAsia="en-GB"/>
                          </w:rPr>
                        </m:ctrlPr>
                      </m:sSubSupPr>
                      <m:e>
                        <m:r>
                          <w:rPr>
                            <w:rFonts w:ascii="Cambria Math" w:hAnsi="Cambria Math" w:cs="Arial"/>
                            <w:sz w:val="20"/>
                            <w:szCs w:val="20"/>
                          </w:rPr>
                          <m:t>MCE</m:t>
                        </m:r>
                      </m:e>
                      <m:sub>
                        <m:r>
                          <w:rPr>
                            <w:rFonts w:ascii="Cambria Math" w:hAnsi="Cambria Math" w:cs="Arial"/>
                            <w:sz w:val="20"/>
                            <w:szCs w:val="20"/>
                          </w:rPr>
                          <m:t>i</m:t>
                        </m:r>
                      </m:sub>
                      <m:sup>
                        <m:eqArr>
                          <m:eqArrPr>
                            <m:ctrlPr>
                              <w:rPr>
                                <w:rFonts w:ascii="Cambria Math" w:hAnsi="Cambria Math" w:cs="Arial"/>
                                <w:i/>
                                <w:sz w:val="20"/>
                                <w:szCs w:val="20"/>
                              </w:rPr>
                            </m:ctrlPr>
                          </m:eqArrPr>
                          <m:e>
                            <m:r>
                              <w:rPr>
                                <w:rFonts w:ascii="Cambria Math" w:hAnsi="Cambria Math" w:cs="Arial"/>
                                <w:sz w:val="20"/>
                                <w:szCs w:val="20"/>
                              </w:rPr>
                              <m:t xml:space="preserve"> </m:t>
                            </m:r>
                          </m:e>
                          <m:e>
                            <m:r>
                              <w:rPr>
                                <w:rFonts w:ascii="Cambria Math" w:hAnsi="Cambria Math" w:cs="Arial"/>
                                <w:sz w:val="20"/>
                                <w:szCs w:val="20"/>
                              </w:rPr>
                              <m:t xml:space="preserve">Garantējušas vai kā atbalsta garantiju sniegušas </m:t>
                            </m:r>
                            <m:ctrlPr>
                              <w:rPr>
                                <w:rFonts w:ascii="Cambria Math" w:eastAsia="Cambria Math" w:hAnsi="Cambria Math" w:cs="Arial"/>
                                <w:i/>
                                <w:sz w:val="20"/>
                                <w:szCs w:val="20"/>
                              </w:rPr>
                            </m:ctrlPr>
                          </m:e>
                          <m:e>
                            <m:r>
                              <w:rPr>
                                <w:rFonts w:ascii="Cambria Math" w:hAnsi="Cambria Math" w:cs="Arial"/>
                                <w:sz w:val="20"/>
                                <w:szCs w:val="20"/>
                              </w:rPr>
                              <m:t xml:space="preserve">valstu valdības vai citas valsts iestādes (koeficients 0) </m:t>
                            </m:r>
                          </m:e>
                        </m:eqArr>
                      </m:sup>
                    </m:sSubSup>
                  </m:e>
                </m:nary>
              </m:oMath>
            </m:oMathPara>
          </w:p>
          <w:p w14:paraId="35420DD4" w14:textId="77777777" w:rsidR="002368D9" w:rsidRDefault="002368D9" w:rsidP="00662D43">
            <w:pPr>
              <w:rPr>
                <w:rFonts w:cs="Arial"/>
                <w:b/>
                <w:szCs w:val="20"/>
                <w:u w:val="single"/>
              </w:rPr>
            </w:pPr>
          </w:p>
        </w:tc>
      </w:tr>
      <w:tr w:rsidR="002368D9" w:rsidRPr="0089742C" w14:paraId="6A775326" w14:textId="77777777" w:rsidTr="006600AC">
        <w:tc>
          <w:tcPr>
            <w:tcW w:w="1191" w:type="dxa"/>
          </w:tcPr>
          <w:p w14:paraId="297D9827" w14:textId="64BE607A" w:rsidR="002368D9" w:rsidRPr="0089742C" w:rsidRDefault="002368D9" w:rsidP="00267D53">
            <w:pPr>
              <w:rPr>
                <w:rFonts w:cs="Arial"/>
                <w:szCs w:val="20"/>
              </w:rPr>
            </w:pPr>
            <w:r>
              <w:lastRenderedPageBreak/>
              <w:t>190</w:t>
            </w:r>
          </w:p>
        </w:tc>
        <w:tc>
          <w:tcPr>
            <w:tcW w:w="8845" w:type="dxa"/>
          </w:tcPr>
          <w:p w14:paraId="492590BF" w14:textId="5FBBA421" w:rsidR="002368D9" w:rsidRPr="0089742C" w:rsidRDefault="005854CD" w:rsidP="002368D9">
            <w:pPr>
              <w:rPr>
                <w:rFonts w:cs="Arial"/>
                <w:b/>
                <w:szCs w:val="20"/>
                <w:u w:val="single"/>
              </w:rPr>
            </w:pPr>
            <w:r>
              <w:rPr>
                <w:b/>
                <w:u w:val="single"/>
              </w:rPr>
              <w:t>G</w:t>
            </w:r>
            <w:r w:rsidR="002368D9">
              <w:rPr>
                <w:b/>
                <w:u w:val="single"/>
              </w:rPr>
              <w:t xml:space="preserve">arantējušas vai kā atbalsta garantiju sniegušas valstu valdības vai citas valsts iestādes (koeficients 0). Riska darījuma vērtība </w:t>
            </w:r>
          </w:p>
          <w:p w14:paraId="412EDBA9" w14:textId="77777777" w:rsidR="002368D9" w:rsidRPr="0089742C" w:rsidRDefault="002368D9" w:rsidP="002368D9">
            <w:pPr>
              <w:pStyle w:val="ListParagraph"/>
              <w:numPr>
                <w:ilvl w:val="0"/>
                <w:numId w:val="42"/>
              </w:numPr>
              <w:rPr>
                <w:rFonts w:cs="Arial"/>
                <w:szCs w:val="20"/>
              </w:rPr>
            </w:pPr>
            <w:r>
              <w:t xml:space="preserve">Riska darījuma vērtību nosaka saskaņā ar CRR 47.a panta 1. un 2. punktu. Konkrētāk, riska darījuma vērtība vienāda ar tā uzskaites vērtību, kas aprēķināta, neņemot vērā nekādas specifiskās kredītriska korekcijas, kas minētas CRR 47.a panta 2. punktā. Turklāt ārpus bilances turētie ienākumus nenesošie riska darījumi jāiekļauj saskaņā ar CRR 47.a panta 1. punktā uzskaitītajiem nosacījumiem. </w:t>
            </w:r>
          </w:p>
          <w:p w14:paraId="3DADA7EE" w14:textId="77777777" w:rsidR="002368D9" w:rsidRPr="0089742C" w:rsidRDefault="002368D9" w:rsidP="002368D9">
            <w:pPr>
              <w:pStyle w:val="ListParagraph"/>
              <w:rPr>
                <w:rFonts w:cs="Arial"/>
                <w:szCs w:val="20"/>
              </w:rPr>
            </w:pPr>
          </w:p>
          <w:p w14:paraId="4A101E84" w14:textId="77777777" w:rsidR="002368D9" w:rsidRPr="0089742C" w:rsidRDefault="002368D9" w:rsidP="002368D9">
            <w:pPr>
              <w:pStyle w:val="ListParagraph"/>
              <w:numPr>
                <w:ilvl w:val="0"/>
                <w:numId w:val="42"/>
              </w:numPr>
              <w:rPr>
                <w:rFonts w:cs="Arial"/>
                <w:szCs w:val="20"/>
              </w:rPr>
            </w:pPr>
            <w:r>
              <w:t>Sadalījumu turēšanas ilguma grupās veic saskaņā ar norādījumiem, kas sniegti šā dokumenta 2. iedaļā.</w:t>
            </w:r>
          </w:p>
          <w:p w14:paraId="676F8B9D" w14:textId="77777777" w:rsidR="002368D9" w:rsidRPr="0089742C" w:rsidRDefault="002368D9" w:rsidP="002368D9">
            <w:pPr>
              <w:pStyle w:val="ListParagraph"/>
              <w:rPr>
                <w:rFonts w:cs="Arial"/>
                <w:szCs w:val="20"/>
              </w:rPr>
            </w:pPr>
          </w:p>
          <w:p w14:paraId="3D4BE1D3" w14:textId="77777777" w:rsidR="002368D9" w:rsidRDefault="002368D9" w:rsidP="002368D9">
            <w:pPr>
              <w:pStyle w:val="ListParagraph"/>
              <w:numPr>
                <w:ilvl w:val="0"/>
                <w:numId w:val="42"/>
              </w:numPr>
              <w:rPr>
                <w:rFonts w:cs="Arial"/>
                <w:szCs w:val="20"/>
              </w:rPr>
            </w:pPr>
            <w:r>
              <w:t>Ienākumus nenesoša riska darījuma nodrošinātā daļa ir tā riska darījuma daļa, ko garantējusi vai kam atbalsta garantiju sniegusi valsts valdība vai citas valsts iestādes</w:t>
            </w:r>
            <w:r w:rsidRPr="0089742C">
              <w:rPr>
                <w:rStyle w:val="FootnoteReference"/>
                <w:rFonts w:cs="Arial"/>
                <w:szCs w:val="20"/>
              </w:rPr>
              <w:footnoteReference w:id="11"/>
            </w:r>
            <w:r>
              <w:t>.</w:t>
            </w:r>
          </w:p>
          <w:p w14:paraId="232322B0" w14:textId="77777777" w:rsidR="002368D9" w:rsidRPr="005F4628" w:rsidRDefault="002368D9" w:rsidP="002368D9">
            <w:pPr>
              <w:pStyle w:val="ListParagraph"/>
              <w:rPr>
                <w:rFonts w:cs="Arial"/>
                <w:szCs w:val="20"/>
              </w:rPr>
            </w:pPr>
          </w:p>
          <w:p w14:paraId="15F674E9" w14:textId="77777777" w:rsidR="002368D9" w:rsidRPr="0089742C" w:rsidRDefault="002368D9" w:rsidP="002368D9">
            <w:pPr>
              <w:pStyle w:val="ListParagraph"/>
              <w:numPr>
                <w:ilvl w:val="0"/>
                <w:numId w:val="42"/>
              </w:numPr>
              <w:rPr>
                <w:rFonts w:cs="Arial"/>
                <w:szCs w:val="20"/>
              </w:rPr>
            </w:pPr>
            <w:r>
              <w:t>Šeit uzrāda tikai tos riska darījumus, kuriem saskaņā ar Regulas (ES) Nr. 575/2013 47.c panta 4. punkta b) apakšpunktu piemērojams koeficients 0.</w:t>
            </w:r>
          </w:p>
          <w:p w14:paraId="5242DF24" w14:textId="1C380A8F" w:rsidR="002368D9" w:rsidRDefault="002368D9" w:rsidP="00676D80">
            <w:pPr>
              <w:rPr>
                <w:rFonts w:cs="Arial"/>
                <w:b/>
                <w:szCs w:val="20"/>
                <w:u w:val="single"/>
              </w:rPr>
            </w:pPr>
            <w:r>
              <w:t>Summas jānorāda euro.</w:t>
            </w:r>
          </w:p>
        </w:tc>
      </w:tr>
      <w:tr w:rsidR="002368D9" w:rsidRPr="0089742C" w14:paraId="412F5796" w14:textId="77777777" w:rsidTr="006600AC">
        <w:tc>
          <w:tcPr>
            <w:tcW w:w="1191" w:type="dxa"/>
          </w:tcPr>
          <w:p w14:paraId="765499D9" w14:textId="270CB654" w:rsidR="002368D9" w:rsidRPr="0089742C" w:rsidRDefault="002368D9" w:rsidP="00267D53">
            <w:pPr>
              <w:rPr>
                <w:rFonts w:cs="Arial"/>
                <w:szCs w:val="20"/>
              </w:rPr>
            </w:pPr>
            <w:r>
              <w:t>195</w:t>
            </w:r>
          </w:p>
        </w:tc>
        <w:tc>
          <w:tcPr>
            <w:tcW w:w="8845" w:type="dxa"/>
          </w:tcPr>
          <w:p w14:paraId="0DF05E18" w14:textId="23133ADA" w:rsidR="002368D9" w:rsidRDefault="005854CD" w:rsidP="002368D9">
            <w:pPr>
              <w:rPr>
                <w:rFonts w:cs="Arial"/>
                <w:b/>
                <w:szCs w:val="20"/>
                <w:u w:val="single"/>
              </w:rPr>
            </w:pPr>
            <w:r>
              <w:rPr>
                <w:b/>
                <w:u w:val="single"/>
              </w:rPr>
              <w:t>G</w:t>
            </w:r>
            <w:r w:rsidR="002368D9">
              <w:rPr>
                <w:b/>
                <w:u w:val="single"/>
              </w:rPr>
              <w:t>arantējušas vai kā atbalsta garantiju sniegušas valstu valdības vai citas valsts iestādes. Koeficients (koeficients 0)</w:t>
            </w:r>
          </w:p>
          <w:p w14:paraId="269F1D2F" w14:textId="18A175FC" w:rsidR="002368D9" w:rsidRDefault="002368D9" w:rsidP="00662D43">
            <w:pPr>
              <w:rPr>
                <w:rFonts w:cs="Arial"/>
                <w:b/>
                <w:szCs w:val="20"/>
                <w:u w:val="single"/>
              </w:rPr>
            </w:pPr>
            <w:r>
              <w:t>Šīs kategorijas INRD koeficientu līmeņi pārskata veidnē ir priekšaizpildīti ar vērtību 0.</w:t>
            </w:r>
          </w:p>
        </w:tc>
      </w:tr>
      <w:tr w:rsidR="002B6975" w:rsidRPr="0089742C" w14:paraId="6B558646" w14:textId="77777777" w:rsidTr="006600AC">
        <w:tc>
          <w:tcPr>
            <w:tcW w:w="1191" w:type="dxa"/>
          </w:tcPr>
          <w:p w14:paraId="1940CFDD" w14:textId="77777777" w:rsidR="002B6975" w:rsidRPr="0089742C" w:rsidRDefault="002B6975" w:rsidP="002B6975">
            <w:pPr>
              <w:rPr>
                <w:rFonts w:cs="Arial"/>
                <w:szCs w:val="20"/>
              </w:rPr>
            </w:pPr>
            <w:r>
              <w:t>200</w:t>
            </w:r>
          </w:p>
        </w:tc>
        <w:tc>
          <w:tcPr>
            <w:tcW w:w="8845" w:type="dxa"/>
          </w:tcPr>
          <w:p w14:paraId="667309A1" w14:textId="77777777" w:rsidR="002B6975" w:rsidRPr="0089742C" w:rsidRDefault="002B6975" w:rsidP="002B6975">
            <w:pPr>
              <w:rPr>
                <w:rFonts w:cs="Arial"/>
                <w:b/>
                <w:szCs w:val="20"/>
                <w:u w:val="single"/>
              </w:rPr>
            </w:pPr>
            <w:r>
              <w:rPr>
                <w:b/>
                <w:u w:val="single"/>
              </w:rPr>
              <w:t>Kopējie uzkrājumi un korekcijas vai atskaitījumi (ar ierobežojumu)</w:t>
            </w:r>
          </w:p>
          <w:p w14:paraId="6645561A" w14:textId="77777777" w:rsidR="00DD1EDA" w:rsidRPr="0089742C" w:rsidRDefault="001E4826" w:rsidP="00DD1EDA">
            <w:pPr>
              <w:pStyle w:val="ECBBodyText"/>
              <w:rPr>
                <w:rFonts w:cs="Arial"/>
                <w:szCs w:val="20"/>
              </w:rPr>
            </w:pPr>
            <w:r>
              <w:lastRenderedPageBreak/>
              <w:t>Šī vērtība vispirms jāaprēķina riska darījumu līmenī, kā norādīts 2. iedaļas 3. solī. Norādāmā vērtība ir lieluma "Kopējie uzkrājumi un korekcijas vai atskaitījumi (ar ierobežojumu)" atsevišķo vērtību kopsumma.</w:t>
            </w:r>
          </w:p>
          <w:p w14:paraId="0D0523E0" w14:textId="566F68AE" w:rsidR="0048251A" w:rsidRPr="0089742C" w:rsidRDefault="00802E0B" w:rsidP="0048251A">
            <w:pPr>
              <w:pStyle w:val="ECBBodyText"/>
              <w:spacing w:line="240" w:lineRule="auto"/>
              <w:jc w:val="both"/>
              <w:rPr>
                <w:rFonts w:cs="Arial"/>
                <w:szCs w:val="20"/>
              </w:rPr>
            </w:pPr>
            <m:oMathPara>
              <m:oMathParaPr>
                <m:jc m:val="left"/>
              </m:oMathParaPr>
              <m:oMath>
                <m:sSub>
                  <m:sSubPr>
                    <m:ctrlPr>
                      <w:rPr>
                        <w:rFonts w:ascii="Cambria Math" w:hAnsi="Cambria Math" w:cs="Arial"/>
                        <w:i/>
                        <w:szCs w:val="20"/>
                      </w:rPr>
                    </m:ctrlPr>
                  </m:sSubPr>
                  <m:e>
                    <m:r>
                      <w:rPr>
                        <w:rFonts w:ascii="Cambria Math" w:hAnsi="Cambria Math" w:cs="Arial"/>
                        <w:szCs w:val="20"/>
                      </w:rPr>
                      <m:t>Pieņemam, ka I</m:t>
                    </m:r>
                  </m:e>
                  <m:sub>
                    <m:r>
                      <w:rPr>
                        <w:rFonts w:ascii="Cambria Math" w:hAnsi="Cambria Math" w:cs="Arial"/>
                        <w:szCs w:val="20"/>
                      </w:rPr>
                      <m:t xml:space="preserve">v </m:t>
                    </m:r>
                  </m:sub>
                </m:sSub>
                <m:r>
                  <w:rPr>
                    <w:rFonts w:ascii="Cambria Math" w:hAnsi="Cambria Math" w:cs="Arial"/>
                    <w:szCs w:val="20"/>
                  </w:rPr>
                  <m:t xml:space="preserve">ir RD skaits attiecīgajā turēšanas ilguma grupā </m:t>
                </m:r>
                <m:d>
                  <m:dPr>
                    <m:ctrlPr>
                      <w:rPr>
                        <w:rFonts w:ascii="Cambria Math" w:hAnsi="Cambria Math" w:cs="Arial"/>
                        <w:i/>
                        <w:szCs w:val="20"/>
                      </w:rPr>
                    </m:ctrlPr>
                  </m:dPr>
                  <m:e>
                    <m:r>
                      <w:rPr>
                        <w:rFonts w:ascii="Cambria Math" w:hAnsi="Cambria Math" w:cs="Arial"/>
                        <w:szCs w:val="20"/>
                      </w:rPr>
                      <m:t xml:space="preserve">t. i., visi RD, kam </m:t>
                    </m:r>
                    <m:sSub>
                      <m:sSubPr>
                        <m:ctrlPr>
                          <w:rPr>
                            <w:rFonts w:ascii="Cambria Math" w:hAnsi="Cambria Math" w:cs="Arial"/>
                            <w:i/>
                            <w:szCs w:val="20"/>
                          </w:rPr>
                        </m:ctrlPr>
                      </m:sSubPr>
                      <m:e>
                        <m:r>
                          <w:rPr>
                            <w:rFonts w:ascii="Cambria Math" w:hAnsi="Cambria Math" w:cs="Arial"/>
                            <w:szCs w:val="20"/>
                          </w:rPr>
                          <m:t>v</m:t>
                        </m:r>
                      </m:e>
                      <m:sub>
                        <m:r>
                          <w:rPr>
                            <w:rFonts w:ascii="Cambria Math" w:hAnsi="Cambria Math" w:cs="Arial"/>
                            <w:szCs w:val="20"/>
                          </w:rPr>
                          <m:t>i</m:t>
                        </m:r>
                      </m:sub>
                    </m:sSub>
                    <m:r>
                      <w:rPr>
                        <w:rFonts w:ascii="Cambria Math" w:hAnsi="Cambria Math" w:cs="Arial"/>
                        <w:szCs w:val="20"/>
                      </w:rPr>
                      <m:t>=v</m:t>
                    </m:r>
                  </m:e>
                </m:d>
                <m:r>
                  <w:rPr>
                    <w:rFonts w:ascii="Cambria Math" w:hAnsi="Cambria Math" w:cs="Arial"/>
                    <w:szCs w:val="20"/>
                  </w:rPr>
                  <m:t>.</m:t>
                </m:r>
              </m:oMath>
            </m:oMathPara>
          </w:p>
          <w:p w14:paraId="193E0897" w14:textId="0FC1F691" w:rsidR="0048251A" w:rsidRPr="0089742C" w:rsidRDefault="00802E0B" w:rsidP="0048251A">
            <w:pPr>
              <w:pStyle w:val="numberedparagraph"/>
              <w:numPr>
                <w:ilvl w:val="0"/>
                <w:numId w:val="0"/>
              </w:numPr>
              <w:ind w:left="720"/>
              <w:jc w:val="left"/>
              <w:rPr>
                <w:rFonts w:ascii="Arial" w:hAnsi="Arial" w:cs="Arial"/>
                <w:sz w:val="20"/>
                <w:szCs w:val="20"/>
              </w:rPr>
            </w:pPr>
            <m:oMathPara>
              <m:oMathParaPr>
                <m:jc m:val="left"/>
              </m:oMathParaPr>
              <m:oMath>
                <m:sSub>
                  <m:sSubPr>
                    <m:ctrlPr>
                      <w:rPr>
                        <w:rFonts w:ascii="Cambria Math" w:hAnsi="Cambria Math" w:cs="Arial"/>
                        <w:i/>
                        <w:sz w:val="20"/>
                        <w:szCs w:val="20"/>
                      </w:rPr>
                    </m:ctrlPr>
                  </m:sSubPr>
                  <m:e>
                    <m:r>
                      <w:rPr>
                        <w:rFonts w:ascii="Cambria Math" w:hAnsi="Cambria Math" w:cs="Arial"/>
                        <w:sz w:val="20"/>
                        <w:szCs w:val="20"/>
                      </w:rPr>
                      <m:t>Kopējie uzkrājumi un korekcijas vai atskaitījumi (ar ierobežojumu) INRD</m:t>
                    </m:r>
                  </m:e>
                  <m:sub>
                    <m:r>
                      <w:rPr>
                        <w:rFonts w:ascii="Cambria Math" w:hAnsi="Cambria Math" w:cs="Arial"/>
                        <w:sz w:val="20"/>
                        <w:szCs w:val="20"/>
                      </w:rPr>
                      <m:t>v</m:t>
                    </m:r>
                  </m:sub>
                </m:sSub>
                <m:r>
                  <w:rPr>
                    <w:rFonts w:ascii="Cambria Math" w:hAnsi="Cambria Math" w:cs="Arial"/>
                    <w:sz w:val="20"/>
                    <w:szCs w:val="20"/>
                  </w:rPr>
                  <m:t xml:space="preserve">= </m:t>
                </m:r>
                <m:nary>
                  <m:naryPr>
                    <m:chr m:val="∑"/>
                    <m:limLoc m:val="undOvr"/>
                    <m:ctrlPr>
                      <w:rPr>
                        <w:rFonts w:ascii="Cambria Math" w:hAnsi="Cambria Math" w:cs="Arial"/>
                        <w:i/>
                        <w:sz w:val="20"/>
                        <w:szCs w:val="20"/>
                      </w:rPr>
                    </m:ctrlPr>
                  </m:naryPr>
                  <m:sub>
                    <m:r>
                      <w:rPr>
                        <w:rFonts w:ascii="Cambria Math" w:hAnsi="Cambria Math" w:cs="Arial"/>
                        <w:sz w:val="20"/>
                        <w:szCs w:val="20"/>
                      </w:rPr>
                      <m:t>i</m:t>
                    </m:r>
                  </m:sub>
                  <m:sup>
                    <m:sSub>
                      <m:sSubPr>
                        <m:ctrlPr>
                          <w:rPr>
                            <w:rFonts w:ascii="Cambria Math" w:eastAsia="Times New Roman" w:hAnsi="Cambria Math" w:cs="Arial"/>
                            <w:i/>
                            <w:sz w:val="20"/>
                            <w:szCs w:val="20"/>
                            <w:lang w:val="en-GB" w:eastAsia="en-GB"/>
                          </w:rPr>
                        </m:ctrlPr>
                      </m:sSubPr>
                      <m:e>
                        <m:r>
                          <w:rPr>
                            <w:rFonts w:ascii="Cambria Math" w:hAnsi="Cambria Math" w:cs="Arial"/>
                            <w:sz w:val="20"/>
                            <w:szCs w:val="20"/>
                          </w:rPr>
                          <m:t>I</m:t>
                        </m:r>
                      </m:e>
                      <m:sub>
                        <m:r>
                          <w:rPr>
                            <w:rFonts w:ascii="Cambria Math" w:hAnsi="Cambria Math" w:cs="Arial"/>
                            <w:sz w:val="20"/>
                            <w:szCs w:val="20"/>
                          </w:rPr>
                          <m:t>v</m:t>
                        </m:r>
                      </m:sub>
                    </m:sSub>
                  </m:sup>
                  <m:e>
                    <m:sSub>
                      <m:sSubPr>
                        <m:ctrlPr>
                          <w:rPr>
                            <w:rFonts w:ascii="Cambria Math" w:hAnsi="Cambria Math" w:cs="Arial"/>
                            <w:i/>
                            <w:sz w:val="20"/>
                            <w:szCs w:val="20"/>
                          </w:rPr>
                        </m:ctrlPr>
                      </m:sSubPr>
                      <m:e>
                        <m:r>
                          <w:rPr>
                            <w:rFonts w:ascii="Cambria Math" w:hAnsi="Cambria Math" w:cs="Arial"/>
                            <w:sz w:val="20"/>
                            <w:szCs w:val="20"/>
                          </w:rPr>
                          <m:t>CC</m:t>
                        </m:r>
                        <m:ctrlPr>
                          <w:rPr>
                            <w:rFonts w:ascii="Cambria Math" w:eastAsia="Times New Roman" w:hAnsi="Cambria Math" w:cs="Arial"/>
                            <w:i/>
                            <w:sz w:val="20"/>
                            <w:szCs w:val="20"/>
                          </w:rPr>
                        </m:ctrlPr>
                      </m:e>
                      <m:sub>
                        <m:r>
                          <w:rPr>
                            <w:rFonts w:ascii="Cambria Math" w:hAnsi="Cambria Math" w:cs="Arial"/>
                            <w:sz w:val="20"/>
                            <w:szCs w:val="20"/>
                          </w:rPr>
                          <m:t>i</m:t>
                        </m:r>
                        <m:ctrlPr>
                          <w:rPr>
                            <w:rFonts w:ascii="Cambria Math" w:eastAsia="Times New Roman" w:hAnsi="Cambria Math" w:cs="Arial"/>
                            <w:i/>
                            <w:sz w:val="20"/>
                            <w:szCs w:val="20"/>
                          </w:rPr>
                        </m:ctrlPr>
                      </m:sub>
                    </m:sSub>
                  </m:e>
                </m:nary>
              </m:oMath>
            </m:oMathPara>
          </w:p>
          <w:p w14:paraId="7BDC55E1" w14:textId="77777777" w:rsidR="0048251A" w:rsidRPr="0089742C" w:rsidRDefault="0048251A" w:rsidP="0048251A">
            <w:pPr>
              <w:pStyle w:val="ECBBodyText"/>
              <w:rPr>
                <w:rFonts w:cs="Arial"/>
                <w:i/>
                <w:szCs w:val="20"/>
              </w:rPr>
            </w:pPr>
            <w:r>
              <w:rPr>
                <w:i/>
              </w:rPr>
              <w:t>CC</w:t>
            </w:r>
            <w:r>
              <w:rPr>
                <w:i/>
                <w:vertAlign w:val="subscript"/>
              </w:rPr>
              <w:t>i</w:t>
            </w:r>
            <w:r>
              <w:rPr>
                <w:i/>
              </w:rPr>
              <w:t xml:space="preserve"> atbilst 2. iedaļā sniegtajai definīcijai.</w:t>
            </w:r>
          </w:p>
          <w:p w14:paraId="3E80B967" w14:textId="55DF92C3" w:rsidR="00DD1EDA" w:rsidRPr="0089742C" w:rsidRDefault="0048251A" w:rsidP="00676D80">
            <w:pPr>
              <w:pStyle w:val="ECBBodyText"/>
              <w:rPr>
                <w:rFonts w:cs="Arial"/>
                <w:szCs w:val="20"/>
              </w:rPr>
            </w:pPr>
            <w:r>
              <w:t>Summas jānorāda euro.</w:t>
            </w:r>
          </w:p>
        </w:tc>
      </w:tr>
      <w:tr w:rsidR="00535C17" w:rsidRPr="0089742C" w14:paraId="78B0EF19" w14:textId="77777777" w:rsidTr="00040D4E">
        <w:tc>
          <w:tcPr>
            <w:tcW w:w="1191" w:type="dxa"/>
          </w:tcPr>
          <w:p w14:paraId="4B0D0DCF" w14:textId="77777777" w:rsidR="00535C17" w:rsidRPr="0089742C" w:rsidRDefault="001E4826" w:rsidP="00040D4E">
            <w:pPr>
              <w:rPr>
                <w:rFonts w:cs="Arial"/>
                <w:szCs w:val="20"/>
              </w:rPr>
            </w:pPr>
            <w:r>
              <w:lastRenderedPageBreak/>
              <w:t>210</w:t>
            </w:r>
          </w:p>
        </w:tc>
        <w:tc>
          <w:tcPr>
            <w:tcW w:w="8845" w:type="dxa"/>
          </w:tcPr>
          <w:p w14:paraId="4ED7AB12" w14:textId="77777777" w:rsidR="00535C17" w:rsidRPr="0089742C" w:rsidRDefault="00535C17" w:rsidP="00040D4E">
            <w:pPr>
              <w:rPr>
                <w:rFonts w:cs="Arial"/>
                <w:b/>
                <w:szCs w:val="20"/>
                <w:u w:val="single"/>
              </w:rPr>
            </w:pPr>
            <w:r>
              <w:rPr>
                <w:b/>
                <w:u w:val="single"/>
              </w:rPr>
              <w:t>Kopējie uzkrājumi un korekcijas vai atskaitījumi (bez ierobežojuma)</w:t>
            </w:r>
          </w:p>
          <w:p w14:paraId="42CAA875" w14:textId="42BA8DCA" w:rsidR="00535C17" w:rsidRPr="0089742C" w:rsidRDefault="00535C17" w:rsidP="00040D4E">
            <w:pPr>
              <w:rPr>
                <w:rFonts w:cs="Arial"/>
                <w:szCs w:val="20"/>
              </w:rPr>
            </w:pPr>
            <w:r>
              <w:t>Šo rindu aprēķina automātiski kā 220.–270. rindas summu. Piezīme. 220.–270. rindā uzrādītās summas nedrīkst ietvert summas, kuras saistītas ar INRD, ko garantējušas vai kā atbalsta garantiju sniegušas valstu valdības vai citas valsts iestādes (koeficients 0) un ko uzrāda 190. rindā.</w:t>
            </w:r>
          </w:p>
          <w:p w14:paraId="73AD5EF3" w14:textId="77777777" w:rsidR="00535C17" w:rsidRPr="0089742C" w:rsidRDefault="00535C17" w:rsidP="00040D4E">
            <w:pPr>
              <w:rPr>
                <w:rFonts w:cs="Arial"/>
                <w:szCs w:val="20"/>
              </w:rPr>
            </w:pPr>
            <w:r>
              <w:t>Šim lielumam jābūt vienādam ar riska darījumu līmenī aprēķināto lielumu "Kopējie uzkrājumi un korekcijas vai atskaitījumi (bez ierobežojuma)" kopsummu:</w:t>
            </w:r>
          </w:p>
          <w:p w14:paraId="5D20974C" w14:textId="77777777" w:rsidR="00535C17" w:rsidRPr="0089742C" w:rsidRDefault="00535C17" w:rsidP="00040D4E">
            <w:pPr>
              <w:pStyle w:val="ECBBodyText"/>
              <w:spacing w:line="240" w:lineRule="auto"/>
              <w:jc w:val="both"/>
              <w:rPr>
                <w:rFonts w:cs="Arial"/>
                <w:bCs/>
                <w:kern w:val="28"/>
                <w:szCs w:val="20"/>
              </w:rPr>
            </w:pPr>
          </w:p>
          <w:p w14:paraId="465924BD" w14:textId="31D3609A" w:rsidR="00535C17" w:rsidRPr="0089742C" w:rsidRDefault="00802E0B" w:rsidP="00040D4E">
            <w:pPr>
              <w:pStyle w:val="ECBBodyText"/>
              <w:spacing w:line="240" w:lineRule="auto"/>
              <w:jc w:val="both"/>
              <w:rPr>
                <w:rFonts w:cs="Arial"/>
                <w:szCs w:val="20"/>
              </w:rPr>
            </w:pPr>
            <m:oMathPara>
              <m:oMathParaPr>
                <m:jc m:val="left"/>
              </m:oMathParaPr>
              <m:oMath>
                <m:sSub>
                  <m:sSubPr>
                    <m:ctrlPr>
                      <w:rPr>
                        <w:rFonts w:ascii="Cambria Math" w:hAnsi="Cambria Math" w:cs="Arial"/>
                        <w:i/>
                        <w:szCs w:val="20"/>
                      </w:rPr>
                    </m:ctrlPr>
                  </m:sSubPr>
                  <m:e>
                    <m:r>
                      <w:rPr>
                        <w:rFonts w:ascii="Cambria Math" w:hAnsi="Cambria Math" w:cs="Arial"/>
                        <w:szCs w:val="20"/>
                      </w:rPr>
                      <m:t>Pieņemam, ka I</m:t>
                    </m:r>
                  </m:e>
                  <m:sub>
                    <m:r>
                      <w:rPr>
                        <w:rFonts w:ascii="Cambria Math" w:hAnsi="Cambria Math" w:cs="Arial"/>
                        <w:szCs w:val="20"/>
                      </w:rPr>
                      <m:t>v</m:t>
                    </m:r>
                  </m:sub>
                </m:sSub>
                <m:r>
                  <w:rPr>
                    <w:rFonts w:ascii="Cambria Math" w:hAnsi="Cambria Math" w:cs="Arial"/>
                    <w:szCs w:val="20"/>
                  </w:rPr>
                  <m:t xml:space="preserve"> ir RD skaits attiecīgajā turēšanas ilguma grupā (t. i., visi RD, kam </m:t>
                </m:r>
                <m:sSub>
                  <m:sSubPr>
                    <m:ctrlPr>
                      <w:rPr>
                        <w:rFonts w:ascii="Cambria Math" w:hAnsi="Cambria Math" w:cs="Arial"/>
                        <w:i/>
                        <w:szCs w:val="20"/>
                      </w:rPr>
                    </m:ctrlPr>
                  </m:sSubPr>
                  <m:e>
                    <m:r>
                      <w:rPr>
                        <w:rFonts w:ascii="Cambria Math" w:hAnsi="Cambria Math" w:cs="Arial"/>
                        <w:szCs w:val="20"/>
                      </w:rPr>
                      <m:t>v</m:t>
                    </m:r>
                  </m:e>
                  <m:sub>
                    <m:r>
                      <w:rPr>
                        <w:rFonts w:ascii="Cambria Math" w:hAnsi="Cambria Math" w:cs="Arial"/>
                        <w:szCs w:val="20"/>
                      </w:rPr>
                      <m:t>i</m:t>
                    </m:r>
                  </m:sub>
                </m:sSub>
                <m:r>
                  <w:rPr>
                    <w:rFonts w:ascii="Cambria Math" w:hAnsi="Cambria Math" w:cs="Arial"/>
                    <w:szCs w:val="20"/>
                  </w:rPr>
                  <m:t>=v)</m:t>
                </m:r>
              </m:oMath>
            </m:oMathPara>
          </w:p>
          <w:p w14:paraId="64E3303D" w14:textId="73D46692" w:rsidR="00535C17" w:rsidRPr="0089742C" w:rsidRDefault="00802E0B" w:rsidP="00040D4E">
            <w:pPr>
              <w:pStyle w:val="numberedparagraph"/>
              <w:numPr>
                <w:ilvl w:val="0"/>
                <w:numId w:val="0"/>
              </w:numPr>
              <w:jc w:val="left"/>
              <w:rPr>
                <w:rFonts w:ascii="Arial" w:hAnsi="Arial" w:cs="Arial"/>
                <w:sz w:val="20"/>
                <w:szCs w:val="20"/>
              </w:rPr>
            </w:pPr>
            <m:oMathPara>
              <m:oMathParaPr>
                <m:jc m:val="left"/>
              </m:oMathParaPr>
              <m:oMath>
                <m:sSub>
                  <m:sSubPr>
                    <m:ctrlPr>
                      <w:rPr>
                        <w:rFonts w:ascii="Cambria Math" w:hAnsi="Cambria Math" w:cs="Arial"/>
                        <w:i/>
                        <w:sz w:val="20"/>
                        <w:szCs w:val="20"/>
                      </w:rPr>
                    </m:ctrlPr>
                  </m:sSubPr>
                  <m:e>
                    <m:r>
                      <w:rPr>
                        <w:rFonts w:ascii="Cambria Math" w:hAnsi="Cambria Math" w:cs="Arial"/>
                        <w:sz w:val="20"/>
                        <w:szCs w:val="20"/>
                      </w:rPr>
                      <m:t>Kopējās minimālā seguma gaidas INRD</m:t>
                    </m:r>
                  </m:e>
                  <m:sub>
                    <m:r>
                      <w:rPr>
                        <w:rFonts w:ascii="Cambria Math" w:hAnsi="Cambria Math" w:cs="Arial"/>
                        <w:sz w:val="20"/>
                        <w:szCs w:val="20"/>
                      </w:rPr>
                      <m:t>v</m:t>
                    </m:r>
                  </m:sub>
                </m:sSub>
                <m:r>
                  <w:rPr>
                    <w:rFonts w:ascii="Cambria Math" w:hAnsi="Cambria Math" w:cs="Arial"/>
                    <w:sz w:val="20"/>
                    <w:szCs w:val="20"/>
                  </w:rPr>
                  <m:t xml:space="preserve">= </m:t>
                </m:r>
                <m:nary>
                  <m:naryPr>
                    <m:chr m:val="∑"/>
                    <m:limLoc m:val="undOvr"/>
                    <m:ctrlPr>
                      <w:rPr>
                        <w:rFonts w:ascii="Cambria Math" w:hAnsi="Cambria Math" w:cs="Arial"/>
                        <w:i/>
                        <w:sz w:val="20"/>
                        <w:szCs w:val="20"/>
                      </w:rPr>
                    </m:ctrlPr>
                  </m:naryPr>
                  <m:sub>
                    <m:r>
                      <w:rPr>
                        <w:rFonts w:ascii="Cambria Math" w:hAnsi="Cambria Math" w:cs="Arial"/>
                        <w:sz w:val="20"/>
                        <w:szCs w:val="20"/>
                      </w:rPr>
                      <m:t>i</m:t>
                    </m:r>
                  </m:sub>
                  <m:sup>
                    <m:sSub>
                      <m:sSubPr>
                        <m:ctrlPr>
                          <w:rPr>
                            <w:rFonts w:ascii="Cambria Math" w:eastAsia="Times New Roman" w:hAnsi="Cambria Math" w:cs="Arial"/>
                            <w:i/>
                            <w:sz w:val="20"/>
                            <w:szCs w:val="20"/>
                            <w:lang w:val="en-GB" w:eastAsia="en-GB"/>
                          </w:rPr>
                        </m:ctrlPr>
                      </m:sSubPr>
                      <m:e>
                        <m:r>
                          <w:rPr>
                            <w:rFonts w:ascii="Cambria Math" w:hAnsi="Cambria Math" w:cs="Arial"/>
                            <w:sz w:val="20"/>
                            <w:szCs w:val="20"/>
                          </w:rPr>
                          <m:t>I</m:t>
                        </m:r>
                      </m:e>
                      <m:sub>
                        <m:r>
                          <w:rPr>
                            <w:rFonts w:ascii="Cambria Math" w:hAnsi="Cambria Math" w:cs="Arial"/>
                            <w:sz w:val="20"/>
                            <w:szCs w:val="20"/>
                          </w:rPr>
                          <m:t>v</m:t>
                        </m:r>
                      </m:sub>
                    </m:sSub>
                  </m:sup>
                  <m:e>
                    <m:sSubSup>
                      <m:sSubSupPr>
                        <m:ctrlPr>
                          <w:rPr>
                            <w:rFonts w:ascii="Cambria Math" w:eastAsia="Times New Roman" w:hAnsi="Cambria Math" w:cs="Arial"/>
                            <w:i/>
                            <w:sz w:val="20"/>
                            <w:szCs w:val="20"/>
                            <w:lang w:val="en-GB" w:eastAsia="en-GB"/>
                          </w:rPr>
                        </m:ctrlPr>
                      </m:sSubSupPr>
                      <m:e>
                        <m:r>
                          <w:rPr>
                            <w:rFonts w:ascii="Cambria Math" w:hAnsi="Cambria Math" w:cs="Arial"/>
                            <w:sz w:val="20"/>
                            <w:szCs w:val="20"/>
                          </w:rPr>
                          <m:t>C</m:t>
                        </m:r>
                      </m:e>
                      <m:sub>
                        <m:r>
                          <w:rPr>
                            <w:rFonts w:ascii="Cambria Math" w:hAnsi="Cambria Math" w:cs="Arial"/>
                            <w:sz w:val="20"/>
                            <w:szCs w:val="20"/>
                          </w:rPr>
                          <m:t>i</m:t>
                        </m:r>
                      </m:sub>
                      <m:sup>
                        <m:r>
                          <w:rPr>
                            <w:rFonts w:ascii="Cambria Math" w:hAnsi="Cambria Math" w:cs="Arial"/>
                            <w:sz w:val="20"/>
                            <w:szCs w:val="20"/>
                          </w:rPr>
                          <m:t>Nenodrošināti</m:t>
                        </m:r>
                      </m:sup>
                    </m:sSubSup>
                  </m:e>
                </m:nary>
                <m:r>
                  <w:rPr>
                    <w:rFonts w:ascii="Cambria Math" w:hAnsi="Cambria Math" w:cs="Arial"/>
                    <w:sz w:val="20"/>
                    <w:szCs w:val="20"/>
                  </w:rPr>
                  <m:t>+</m:t>
                </m:r>
                <m:nary>
                  <m:naryPr>
                    <m:chr m:val="∑"/>
                    <m:limLoc m:val="undOvr"/>
                    <m:ctrlPr>
                      <w:rPr>
                        <w:rFonts w:ascii="Cambria Math" w:hAnsi="Cambria Math" w:cs="Arial"/>
                        <w:i/>
                        <w:sz w:val="20"/>
                        <w:szCs w:val="20"/>
                      </w:rPr>
                    </m:ctrlPr>
                  </m:naryPr>
                  <m:sub>
                    <m:r>
                      <w:rPr>
                        <w:rFonts w:ascii="Cambria Math" w:hAnsi="Cambria Math" w:cs="Arial"/>
                        <w:sz w:val="20"/>
                        <w:szCs w:val="20"/>
                      </w:rPr>
                      <m:t>i</m:t>
                    </m:r>
                  </m:sub>
                  <m:sup>
                    <m:sSub>
                      <m:sSubPr>
                        <m:ctrlPr>
                          <w:rPr>
                            <w:rFonts w:ascii="Cambria Math" w:eastAsia="Times New Roman" w:hAnsi="Cambria Math" w:cs="Arial"/>
                            <w:i/>
                            <w:sz w:val="20"/>
                            <w:szCs w:val="20"/>
                            <w:lang w:val="en-GB" w:eastAsia="en-GB"/>
                          </w:rPr>
                        </m:ctrlPr>
                      </m:sSubPr>
                      <m:e>
                        <m:r>
                          <w:rPr>
                            <w:rFonts w:ascii="Cambria Math" w:hAnsi="Cambria Math" w:cs="Arial"/>
                            <w:sz w:val="20"/>
                            <w:szCs w:val="20"/>
                          </w:rPr>
                          <m:t>I</m:t>
                        </m:r>
                      </m:e>
                      <m:sub>
                        <m:r>
                          <w:rPr>
                            <w:rFonts w:ascii="Cambria Math" w:hAnsi="Cambria Math" w:cs="Arial"/>
                            <w:sz w:val="20"/>
                            <w:szCs w:val="20"/>
                          </w:rPr>
                          <m:t>v</m:t>
                        </m:r>
                      </m:sub>
                    </m:sSub>
                  </m:sup>
                  <m:e>
                    <m:sSubSup>
                      <m:sSubSupPr>
                        <m:ctrlPr>
                          <w:rPr>
                            <w:rFonts w:ascii="Cambria Math" w:eastAsia="Times New Roman" w:hAnsi="Cambria Math" w:cs="Arial"/>
                            <w:i/>
                            <w:sz w:val="20"/>
                            <w:szCs w:val="20"/>
                            <w:lang w:val="en-GB" w:eastAsia="en-GB"/>
                          </w:rPr>
                        </m:ctrlPr>
                      </m:sSubSupPr>
                      <m:e>
                        <m:r>
                          <w:rPr>
                            <w:rFonts w:ascii="Cambria Math" w:hAnsi="Cambria Math" w:cs="Arial"/>
                            <w:sz w:val="20"/>
                            <w:szCs w:val="20"/>
                          </w:rPr>
                          <m:t>C</m:t>
                        </m:r>
                      </m:e>
                      <m:sub>
                        <m:r>
                          <w:rPr>
                            <w:rFonts w:ascii="Cambria Math" w:hAnsi="Cambria Math" w:cs="Arial"/>
                            <w:sz w:val="20"/>
                            <w:szCs w:val="20"/>
                          </w:rPr>
                          <m:t>i</m:t>
                        </m:r>
                      </m:sub>
                      <m:sup>
                        <m:r>
                          <w:rPr>
                            <w:rFonts w:ascii="Cambria Math" w:hAnsi="Cambria Math" w:cs="Arial"/>
                            <w:sz w:val="20"/>
                            <w:szCs w:val="20"/>
                          </w:rPr>
                          <m:t>Nodrošināti ar nekustamo īpašumu</m:t>
                        </m:r>
                      </m:sup>
                    </m:sSubSup>
                  </m:e>
                </m:nary>
                <m:r>
                  <w:rPr>
                    <w:rFonts w:ascii="Cambria Math" w:hAnsi="Cambria Math" w:cs="Arial"/>
                    <w:sz w:val="20"/>
                    <w:szCs w:val="20"/>
                  </w:rPr>
                  <m:t>+</m:t>
                </m:r>
                <m:nary>
                  <m:naryPr>
                    <m:chr m:val="∑"/>
                    <m:limLoc m:val="undOvr"/>
                    <m:ctrlPr>
                      <w:rPr>
                        <w:rFonts w:ascii="Cambria Math" w:hAnsi="Cambria Math" w:cs="Arial"/>
                        <w:i/>
                        <w:sz w:val="20"/>
                        <w:szCs w:val="20"/>
                      </w:rPr>
                    </m:ctrlPr>
                  </m:naryPr>
                  <m:sub>
                    <m:r>
                      <w:rPr>
                        <w:rFonts w:ascii="Cambria Math" w:hAnsi="Cambria Math" w:cs="Arial"/>
                        <w:sz w:val="20"/>
                        <w:szCs w:val="20"/>
                      </w:rPr>
                      <m:t>i</m:t>
                    </m:r>
                  </m:sub>
                  <m:sup>
                    <m:sSub>
                      <m:sSubPr>
                        <m:ctrlPr>
                          <w:rPr>
                            <w:rFonts w:ascii="Cambria Math" w:eastAsia="Times New Roman" w:hAnsi="Cambria Math" w:cs="Arial"/>
                            <w:i/>
                            <w:sz w:val="20"/>
                            <w:szCs w:val="20"/>
                            <w:lang w:val="en-GB" w:eastAsia="en-GB"/>
                          </w:rPr>
                        </m:ctrlPr>
                      </m:sSubPr>
                      <m:e>
                        <m:r>
                          <w:rPr>
                            <w:rFonts w:ascii="Cambria Math" w:hAnsi="Cambria Math" w:cs="Arial"/>
                            <w:sz w:val="20"/>
                            <w:szCs w:val="20"/>
                          </w:rPr>
                          <m:t>I</m:t>
                        </m:r>
                      </m:e>
                      <m:sub>
                        <m:r>
                          <w:rPr>
                            <w:rFonts w:ascii="Cambria Math" w:hAnsi="Cambria Math" w:cs="Arial"/>
                            <w:sz w:val="20"/>
                            <w:szCs w:val="20"/>
                          </w:rPr>
                          <m:t>v</m:t>
                        </m:r>
                      </m:sub>
                    </m:sSub>
                  </m:sup>
                  <m:e>
                    <m:sSubSup>
                      <m:sSubSupPr>
                        <m:ctrlPr>
                          <w:rPr>
                            <w:rFonts w:ascii="Cambria Math" w:eastAsia="Times New Roman" w:hAnsi="Cambria Math" w:cs="Arial"/>
                            <w:i/>
                            <w:sz w:val="20"/>
                            <w:szCs w:val="20"/>
                            <w:lang w:val="en-GB" w:eastAsia="en-GB"/>
                          </w:rPr>
                        </m:ctrlPr>
                      </m:sSubSupPr>
                      <m:e>
                        <m:r>
                          <w:rPr>
                            <w:rFonts w:ascii="Cambria Math" w:hAnsi="Cambria Math" w:cs="Arial"/>
                            <w:sz w:val="20"/>
                            <w:szCs w:val="20"/>
                          </w:rPr>
                          <m:t>C</m:t>
                        </m:r>
                      </m:e>
                      <m:sub>
                        <m:r>
                          <w:rPr>
                            <w:rFonts w:ascii="Cambria Math" w:hAnsi="Cambria Math" w:cs="Arial"/>
                            <w:sz w:val="20"/>
                            <w:szCs w:val="20"/>
                          </w:rPr>
                          <m:t>i</m:t>
                        </m:r>
                      </m:sub>
                      <m:sup>
                        <m:r>
                          <w:rPr>
                            <w:rFonts w:ascii="Cambria Math" w:hAnsi="Cambria Math" w:cs="Arial"/>
                            <w:sz w:val="20"/>
                            <w:szCs w:val="20"/>
                          </w:rPr>
                          <m:t>Nodrošināti ar citu fondētu vai nefondētu kredītaizsardzību</m:t>
                        </m:r>
                      </m:sup>
                    </m:sSubSup>
                  </m:e>
                </m:nary>
                <m:r>
                  <w:rPr>
                    <w:rFonts w:ascii="Cambria Math" w:hAnsi="Cambria Math" w:cs="Arial"/>
                    <w:sz w:val="20"/>
                    <w:szCs w:val="20"/>
                  </w:rPr>
                  <m:t>+</m:t>
                </m:r>
                <m:nary>
                  <m:naryPr>
                    <m:chr m:val="∑"/>
                    <m:limLoc m:val="undOvr"/>
                    <m:ctrlPr>
                      <w:rPr>
                        <w:rFonts w:ascii="Cambria Math" w:hAnsi="Cambria Math" w:cs="Arial"/>
                        <w:i/>
                        <w:sz w:val="20"/>
                        <w:szCs w:val="20"/>
                      </w:rPr>
                    </m:ctrlPr>
                  </m:naryPr>
                  <m:sub>
                    <m:r>
                      <w:rPr>
                        <w:rFonts w:ascii="Cambria Math" w:hAnsi="Cambria Math" w:cs="Arial"/>
                        <w:sz w:val="20"/>
                        <w:szCs w:val="20"/>
                      </w:rPr>
                      <m:t>i</m:t>
                    </m:r>
                  </m:sub>
                  <m:sup>
                    <m:sSub>
                      <m:sSubPr>
                        <m:ctrlPr>
                          <w:rPr>
                            <w:rFonts w:ascii="Cambria Math" w:eastAsia="Times New Roman" w:hAnsi="Cambria Math" w:cs="Arial"/>
                            <w:i/>
                            <w:sz w:val="20"/>
                            <w:szCs w:val="20"/>
                            <w:lang w:val="en-GB" w:eastAsia="en-GB"/>
                          </w:rPr>
                        </m:ctrlPr>
                      </m:sSubPr>
                      <m:e>
                        <m:r>
                          <w:rPr>
                            <w:rFonts w:ascii="Cambria Math" w:hAnsi="Cambria Math" w:cs="Arial"/>
                            <w:sz w:val="20"/>
                            <w:szCs w:val="20"/>
                          </w:rPr>
                          <m:t>I</m:t>
                        </m:r>
                      </m:e>
                      <m:sub>
                        <m:r>
                          <w:rPr>
                            <w:rFonts w:ascii="Cambria Math" w:hAnsi="Cambria Math" w:cs="Arial"/>
                            <w:sz w:val="20"/>
                            <w:szCs w:val="20"/>
                          </w:rPr>
                          <m:t>v</m:t>
                        </m:r>
                      </m:sub>
                    </m:sSub>
                  </m:sup>
                  <m:e>
                    <m:sSubSup>
                      <m:sSubSupPr>
                        <m:ctrlPr>
                          <w:rPr>
                            <w:rFonts w:ascii="Cambria Math" w:eastAsia="Times New Roman" w:hAnsi="Cambria Math" w:cs="Arial"/>
                            <w:i/>
                            <w:sz w:val="20"/>
                            <w:szCs w:val="20"/>
                            <w:lang w:val="en-GB" w:eastAsia="en-GB"/>
                          </w:rPr>
                        </m:ctrlPr>
                      </m:sSubSupPr>
                      <m:e>
                        <m:r>
                          <w:rPr>
                            <w:rFonts w:ascii="Cambria Math" w:hAnsi="Cambria Math" w:cs="Arial"/>
                            <w:sz w:val="20"/>
                            <w:szCs w:val="20"/>
                          </w:rPr>
                          <m:t>C</m:t>
                        </m:r>
                      </m:e>
                      <m:sub>
                        <m:r>
                          <w:rPr>
                            <w:rFonts w:ascii="Cambria Math" w:hAnsi="Cambria Math" w:cs="Arial"/>
                            <w:sz w:val="20"/>
                            <w:szCs w:val="20"/>
                          </w:rPr>
                          <m:t>i</m:t>
                        </m:r>
                      </m:sub>
                      <m:sup>
                        <m:r>
                          <w:rPr>
                            <w:rFonts w:ascii="Cambria Math" w:hAnsi="Cambria Math" w:cs="Arial"/>
                            <w:sz w:val="20"/>
                            <w:szCs w:val="20"/>
                          </w:rPr>
                          <m:t>Garantējušas vai kā atbalsta garantiju sniegušas valstu valdības vai citas valsts iestādes</m:t>
                        </m:r>
                      </m:sup>
                    </m:sSubSup>
                  </m:e>
                </m:nary>
              </m:oMath>
            </m:oMathPara>
          </w:p>
          <w:p w14:paraId="7ABE7C3B" w14:textId="77777777" w:rsidR="00535C17" w:rsidRPr="0089742C" w:rsidRDefault="00535C17" w:rsidP="00040D4E">
            <w:pPr>
              <w:rPr>
                <w:rFonts w:cs="Arial"/>
                <w:szCs w:val="20"/>
              </w:rPr>
            </w:pPr>
          </w:p>
        </w:tc>
      </w:tr>
      <w:tr w:rsidR="002B6975" w:rsidRPr="0089742C" w14:paraId="469BDD1E" w14:textId="77777777" w:rsidTr="006600AC">
        <w:tc>
          <w:tcPr>
            <w:tcW w:w="1191" w:type="dxa"/>
          </w:tcPr>
          <w:p w14:paraId="36D1821A" w14:textId="77777777" w:rsidR="002B6975" w:rsidRPr="0089742C" w:rsidRDefault="001E4826" w:rsidP="002B6975">
            <w:pPr>
              <w:rPr>
                <w:rFonts w:cs="Arial"/>
                <w:szCs w:val="20"/>
              </w:rPr>
            </w:pPr>
            <w:r>
              <w:t>220</w:t>
            </w:r>
          </w:p>
        </w:tc>
        <w:tc>
          <w:tcPr>
            <w:tcW w:w="8845" w:type="dxa"/>
          </w:tcPr>
          <w:p w14:paraId="1E78E834" w14:textId="77777777" w:rsidR="002B6975" w:rsidRPr="0089742C" w:rsidRDefault="002B6975" w:rsidP="002B6975">
            <w:pPr>
              <w:rPr>
                <w:rFonts w:cs="Arial"/>
                <w:b/>
                <w:szCs w:val="20"/>
                <w:u w:val="single"/>
              </w:rPr>
            </w:pPr>
            <w:r>
              <w:rPr>
                <w:b/>
                <w:u w:val="single"/>
              </w:rPr>
              <w:t>Specifiskās kredītriska korekcijas</w:t>
            </w:r>
          </w:p>
          <w:p w14:paraId="1F70D4AE" w14:textId="77777777" w:rsidR="002B6975" w:rsidRPr="0089742C" w:rsidRDefault="002B6975" w:rsidP="002B6975">
            <w:pPr>
              <w:rPr>
                <w:rFonts w:cs="Arial"/>
                <w:b/>
                <w:szCs w:val="20"/>
                <w:u w:val="single"/>
              </w:rPr>
            </w:pPr>
            <w:r>
              <w:t>CRR 47.c panta 1. punkta b) apakšpunkta i) punkts. Summas jānorāda euro ar pozitīvu zīmi.</w:t>
            </w:r>
          </w:p>
        </w:tc>
      </w:tr>
      <w:tr w:rsidR="002B6975" w:rsidRPr="0089742C" w14:paraId="00A08D50" w14:textId="77777777" w:rsidTr="006600AC">
        <w:tc>
          <w:tcPr>
            <w:tcW w:w="1191" w:type="dxa"/>
          </w:tcPr>
          <w:p w14:paraId="647EB3CB" w14:textId="77777777" w:rsidR="002B6975" w:rsidRPr="0089742C" w:rsidRDefault="001E4826" w:rsidP="002B6975">
            <w:pPr>
              <w:rPr>
                <w:rFonts w:cs="Arial"/>
                <w:szCs w:val="20"/>
              </w:rPr>
            </w:pPr>
            <w:r>
              <w:t>230</w:t>
            </w:r>
          </w:p>
        </w:tc>
        <w:tc>
          <w:tcPr>
            <w:tcW w:w="8845" w:type="dxa"/>
          </w:tcPr>
          <w:p w14:paraId="6BC4622A" w14:textId="77777777" w:rsidR="002B6975" w:rsidRPr="0089742C" w:rsidRDefault="002B6975" w:rsidP="002B6975">
            <w:pPr>
              <w:rPr>
                <w:rFonts w:cs="Arial"/>
                <w:b/>
                <w:szCs w:val="20"/>
                <w:u w:val="single"/>
              </w:rPr>
            </w:pPr>
            <w:r>
              <w:rPr>
                <w:b/>
                <w:u w:val="single"/>
              </w:rPr>
              <w:t>Vērtības papildkorekcijas</w:t>
            </w:r>
          </w:p>
          <w:p w14:paraId="67F6C2EB" w14:textId="77777777" w:rsidR="002B6975" w:rsidRPr="0089742C" w:rsidRDefault="002B6975" w:rsidP="002B6975">
            <w:pPr>
              <w:rPr>
                <w:rFonts w:cs="Arial"/>
                <w:b/>
                <w:szCs w:val="20"/>
                <w:u w:val="single"/>
              </w:rPr>
            </w:pPr>
            <w:r>
              <w:t>CRR 47.c panta 1. punkta b) apakšpunkta ii) punkts. Summas jānorāda euro ar pozitīvu zīmi.</w:t>
            </w:r>
          </w:p>
        </w:tc>
      </w:tr>
      <w:tr w:rsidR="002B6975" w:rsidRPr="0089742C" w14:paraId="08797A3B" w14:textId="77777777" w:rsidTr="006600AC">
        <w:tc>
          <w:tcPr>
            <w:tcW w:w="1191" w:type="dxa"/>
          </w:tcPr>
          <w:p w14:paraId="2A59E4AB" w14:textId="77777777" w:rsidR="002B6975" w:rsidRPr="0089742C" w:rsidRDefault="001E4826" w:rsidP="002B6975">
            <w:pPr>
              <w:rPr>
                <w:rFonts w:cs="Arial"/>
                <w:szCs w:val="20"/>
              </w:rPr>
            </w:pPr>
            <w:r>
              <w:t>240</w:t>
            </w:r>
          </w:p>
        </w:tc>
        <w:tc>
          <w:tcPr>
            <w:tcW w:w="8845" w:type="dxa"/>
          </w:tcPr>
          <w:p w14:paraId="55A64D36" w14:textId="77777777" w:rsidR="002B6975" w:rsidRPr="0089742C" w:rsidRDefault="002B6975" w:rsidP="002B6975">
            <w:pPr>
              <w:rPr>
                <w:rFonts w:cs="Arial"/>
                <w:b/>
                <w:szCs w:val="20"/>
                <w:u w:val="single"/>
              </w:rPr>
            </w:pPr>
            <w:r>
              <w:rPr>
                <w:b/>
                <w:u w:val="single"/>
              </w:rPr>
              <w:t>Citi pašu kapitāla samazinājumi</w:t>
            </w:r>
          </w:p>
          <w:p w14:paraId="67ECF4D5" w14:textId="66058A72" w:rsidR="002B6975" w:rsidRPr="0089742C" w:rsidRDefault="002B6975" w:rsidP="005D35A5">
            <w:pPr>
              <w:rPr>
                <w:rFonts w:cs="Arial"/>
                <w:b/>
                <w:szCs w:val="20"/>
                <w:u w:val="single"/>
              </w:rPr>
            </w:pPr>
            <w:r>
              <w:lastRenderedPageBreak/>
              <w:t>CRR 47.c panta 1. punkta b) apakšpunkta iii) punkts. Summas jānorāda euro ar pozitīvu zīmi. Jebkuri brīvprātīgi CET1 atskaitījumi, kas saistīti ar 1. tabulā ietvertajiem INRD, jāuzrāda 240. rindā. Lai novērstu neskaidrības, nav pietiekami tos uzrādīt tikai C.01.00 524. rindā.</w:t>
            </w:r>
          </w:p>
        </w:tc>
      </w:tr>
      <w:tr w:rsidR="002B6975" w:rsidRPr="0089742C" w14:paraId="4867B62E" w14:textId="77777777" w:rsidTr="006600AC">
        <w:tc>
          <w:tcPr>
            <w:tcW w:w="1191" w:type="dxa"/>
          </w:tcPr>
          <w:p w14:paraId="3752DDA9" w14:textId="77777777" w:rsidR="002B6975" w:rsidRPr="0089742C" w:rsidRDefault="001E4826" w:rsidP="002B6975">
            <w:pPr>
              <w:rPr>
                <w:rFonts w:cs="Arial"/>
                <w:szCs w:val="20"/>
              </w:rPr>
            </w:pPr>
            <w:r>
              <w:lastRenderedPageBreak/>
              <w:t>250</w:t>
            </w:r>
          </w:p>
        </w:tc>
        <w:tc>
          <w:tcPr>
            <w:tcW w:w="8845" w:type="dxa"/>
          </w:tcPr>
          <w:p w14:paraId="010E6707" w14:textId="53863FF6" w:rsidR="002B6975" w:rsidRPr="0089742C" w:rsidRDefault="002B6975" w:rsidP="002B6975">
            <w:pPr>
              <w:rPr>
                <w:rFonts w:cs="Arial"/>
                <w:b/>
                <w:szCs w:val="20"/>
                <w:u w:val="single"/>
              </w:rPr>
            </w:pPr>
            <w:r>
              <w:rPr>
                <w:b/>
                <w:u w:val="single"/>
              </w:rPr>
              <w:t xml:space="preserve">IRB deficīts </w:t>
            </w:r>
            <w:r>
              <w:rPr>
                <w:b/>
              </w:rPr>
              <w:t>(ja tāds ir):</w:t>
            </w:r>
          </w:p>
          <w:p w14:paraId="209327B9" w14:textId="77777777" w:rsidR="002B6975" w:rsidRPr="0089742C" w:rsidRDefault="002B6975" w:rsidP="002B6975">
            <w:pPr>
              <w:rPr>
                <w:rFonts w:cs="Arial"/>
                <w:b/>
                <w:szCs w:val="20"/>
                <w:u w:val="single"/>
              </w:rPr>
            </w:pPr>
            <w:r>
              <w:t>CRR 47.c panta 1. punkta b) apakšpunkta iv) punkts. Summas jānorāda euro ar pozitīvu zīmi.</w:t>
            </w:r>
          </w:p>
        </w:tc>
      </w:tr>
      <w:tr w:rsidR="002B6975" w:rsidRPr="0089742C" w14:paraId="1B6A40D3" w14:textId="77777777" w:rsidTr="006600AC">
        <w:tc>
          <w:tcPr>
            <w:tcW w:w="1191" w:type="dxa"/>
          </w:tcPr>
          <w:p w14:paraId="4DC4DD1D" w14:textId="77777777" w:rsidR="002B6975" w:rsidRPr="0089742C" w:rsidRDefault="001E4826" w:rsidP="002B6975">
            <w:pPr>
              <w:rPr>
                <w:rFonts w:cs="Arial"/>
                <w:szCs w:val="20"/>
              </w:rPr>
            </w:pPr>
            <w:r>
              <w:t>260</w:t>
            </w:r>
          </w:p>
        </w:tc>
        <w:tc>
          <w:tcPr>
            <w:tcW w:w="8845" w:type="dxa"/>
          </w:tcPr>
          <w:p w14:paraId="14636DF7" w14:textId="77777777" w:rsidR="002B6975" w:rsidRPr="0089742C" w:rsidRDefault="002B6975" w:rsidP="002B6975">
            <w:pPr>
              <w:rPr>
                <w:rFonts w:cs="Arial"/>
                <w:b/>
                <w:szCs w:val="20"/>
                <w:u w:val="single"/>
              </w:rPr>
            </w:pPr>
            <w:r>
              <w:rPr>
                <w:b/>
                <w:u w:val="single"/>
              </w:rPr>
              <w:t>Starpība starp iegādes cenu un debitora parāda summu</w:t>
            </w:r>
          </w:p>
          <w:p w14:paraId="457E5AB2" w14:textId="77777777" w:rsidR="002B6975" w:rsidRPr="0089742C" w:rsidRDefault="002B6975" w:rsidP="002B6975">
            <w:pPr>
              <w:rPr>
                <w:rFonts w:cs="Arial"/>
                <w:b/>
                <w:szCs w:val="20"/>
                <w:u w:val="single"/>
              </w:rPr>
            </w:pPr>
            <w:r>
              <w:t>CRR 47.c panta 1. punkta b) apakšpunkta v) punkts. Summas jānorāda euro ar pozitīvu zīmi.</w:t>
            </w:r>
          </w:p>
        </w:tc>
      </w:tr>
      <w:tr w:rsidR="002B6975" w:rsidRPr="0089742C" w14:paraId="0725B8FA" w14:textId="77777777" w:rsidTr="006600AC">
        <w:tc>
          <w:tcPr>
            <w:tcW w:w="1191" w:type="dxa"/>
          </w:tcPr>
          <w:p w14:paraId="5645902E" w14:textId="77777777" w:rsidR="002B6975" w:rsidRPr="0089742C" w:rsidRDefault="001E4826" w:rsidP="002B6975">
            <w:pPr>
              <w:rPr>
                <w:rFonts w:cs="Arial"/>
                <w:szCs w:val="20"/>
              </w:rPr>
            </w:pPr>
            <w:r>
              <w:t>270</w:t>
            </w:r>
          </w:p>
        </w:tc>
        <w:tc>
          <w:tcPr>
            <w:tcW w:w="8845" w:type="dxa"/>
          </w:tcPr>
          <w:p w14:paraId="45B91106" w14:textId="77777777" w:rsidR="002B6975" w:rsidRPr="0089742C" w:rsidRDefault="002B6975" w:rsidP="002B6975">
            <w:pPr>
              <w:rPr>
                <w:rFonts w:cs="Arial"/>
                <w:b/>
                <w:szCs w:val="20"/>
                <w:u w:val="single"/>
              </w:rPr>
            </w:pPr>
            <w:r>
              <w:rPr>
                <w:b/>
                <w:u w:val="single"/>
              </w:rPr>
              <w:t>Daļēji norakstītās summas</w:t>
            </w:r>
          </w:p>
          <w:p w14:paraId="67CEE4A0" w14:textId="77777777" w:rsidR="002B6975" w:rsidRPr="0089742C" w:rsidRDefault="002B6975" w:rsidP="002B6975">
            <w:pPr>
              <w:rPr>
                <w:rFonts w:cs="Arial"/>
                <w:b/>
                <w:szCs w:val="20"/>
                <w:u w:val="single"/>
              </w:rPr>
            </w:pPr>
            <w:r>
              <w:t>CRR 47.c panta 1. punkta b) apakšpunkta vi) punkts. Summas jānorāda euro ar pozitīvu zīmi.</w:t>
            </w:r>
          </w:p>
        </w:tc>
      </w:tr>
      <w:tr w:rsidR="00535C17" w:rsidRPr="0089742C" w14:paraId="17B4908B" w14:textId="77777777" w:rsidTr="00040D4E">
        <w:tc>
          <w:tcPr>
            <w:tcW w:w="1191" w:type="dxa"/>
          </w:tcPr>
          <w:p w14:paraId="4D36030B" w14:textId="77777777" w:rsidR="00535C17" w:rsidRPr="0089742C" w:rsidRDefault="001E4826" w:rsidP="00040D4E">
            <w:pPr>
              <w:rPr>
                <w:rFonts w:cs="Arial"/>
                <w:szCs w:val="20"/>
              </w:rPr>
            </w:pPr>
            <w:r>
              <w:t>280</w:t>
            </w:r>
          </w:p>
        </w:tc>
        <w:tc>
          <w:tcPr>
            <w:tcW w:w="8845" w:type="dxa"/>
          </w:tcPr>
          <w:p w14:paraId="2C1FADFD" w14:textId="10B963DF" w:rsidR="00535C17" w:rsidRPr="0089742C" w:rsidRDefault="001E4826" w:rsidP="00040D4E">
            <w:pPr>
              <w:rPr>
                <w:rFonts w:cs="Arial"/>
                <w:b/>
                <w:szCs w:val="20"/>
                <w:u w:val="single"/>
              </w:rPr>
            </w:pPr>
            <w:r>
              <w:rPr>
                <w:b/>
                <w:u w:val="single"/>
              </w:rPr>
              <w:t>T. sk.: nenodrošināt</w:t>
            </w:r>
            <w:r w:rsidR="00665BB0">
              <w:rPr>
                <w:b/>
                <w:u w:val="single"/>
              </w:rPr>
              <w:t>i</w:t>
            </w:r>
            <w:r>
              <w:rPr>
                <w:b/>
                <w:u w:val="single"/>
              </w:rPr>
              <w:t xml:space="preserve"> </w:t>
            </w:r>
          </w:p>
          <w:p w14:paraId="56629974" w14:textId="77777777" w:rsidR="00535C17" w:rsidRPr="0089742C" w:rsidRDefault="00535C17" w:rsidP="00040D4E">
            <w:pPr>
              <w:rPr>
                <w:rFonts w:cs="Arial"/>
                <w:szCs w:val="20"/>
              </w:rPr>
            </w:pPr>
            <w:r>
              <w:t>Norādāmā vērtība ir lieluma "Kopējie uzkrājumi un korekcijas vai atskaitījumi (bez ierobežojuma)" atsevišķo vērtību kopsumma:</w:t>
            </w:r>
          </w:p>
          <w:p w14:paraId="1FA5C91D" w14:textId="77777777" w:rsidR="00535C17" w:rsidRPr="0089742C" w:rsidRDefault="00535C17" w:rsidP="00040D4E">
            <w:pPr>
              <w:rPr>
                <w:rFonts w:cs="Arial"/>
                <w:szCs w:val="20"/>
              </w:rPr>
            </w:pPr>
          </w:p>
          <w:p w14:paraId="36212C70" w14:textId="0F19F331" w:rsidR="00535C17" w:rsidRPr="0089742C" w:rsidRDefault="00802E0B" w:rsidP="00040D4E">
            <w:pPr>
              <w:pStyle w:val="ECBBodyText"/>
              <w:spacing w:line="240" w:lineRule="auto"/>
              <w:jc w:val="both"/>
              <w:rPr>
                <w:rFonts w:cs="Arial"/>
                <w:szCs w:val="20"/>
              </w:rPr>
            </w:pPr>
            <m:oMathPara>
              <m:oMathParaPr>
                <m:jc m:val="left"/>
              </m:oMathParaPr>
              <m:oMath>
                <m:sSub>
                  <m:sSubPr>
                    <m:ctrlPr>
                      <w:rPr>
                        <w:rFonts w:ascii="Cambria Math" w:hAnsi="Cambria Math" w:cs="Arial"/>
                        <w:i/>
                        <w:szCs w:val="20"/>
                      </w:rPr>
                    </m:ctrlPr>
                  </m:sSubPr>
                  <m:e>
                    <m:r>
                      <w:rPr>
                        <w:rFonts w:ascii="Cambria Math" w:hAnsi="Cambria Math" w:cs="Arial"/>
                        <w:szCs w:val="20"/>
                      </w:rPr>
                      <m:t>Pieņemam, ka I</m:t>
                    </m:r>
                  </m:e>
                  <m:sub>
                    <m:r>
                      <w:rPr>
                        <w:rFonts w:ascii="Cambria Math" w:hAnsi="Cambria Math" w:cs="Arial"/>
                        <w:szCs w:val="20"/>
                      </w:rPr>
                      <m:t xml:space="preserve">v </m:t>
                    </m:r>
                  </m:sub>
                </m:sSub>
                <m:r>
                  <w:rPr>
                    <w:rFonts w:ascii="Cambria Math" w:hAnsi="Cambria Math" w:cs="Arial"/>
                    <w:szCs w:val="20"/>
                  </w:rPr>
                  <m:t xml:space="preserve">ir RD skaits attiecīgajā turēšanas ilguma grupā (t. i., visi RD, kam </m:t>
                </m:r>
                <m:sSub>
                  <m:sSubPr>
                    <m:ctrlPr>
                      <w:rPr>
                        <w:rFonts w:ascii="Cambria Math" w:hAnsi="Cambria Math" w:cs="Arial"/>
                        <w:i/>
                        <w:szCs w:val="20"/>
                      </w:rPr>
                    </m:ctrlPr>
                  </m:sSubPr>
                  <m:e>
                    <m:r>
                      <w:rPr>
                        <w:rFonts w:ascii="Cambria Math" w:hAnsi="Cambria Math" w:cs="Arial"/>
                        <w:szCs w:val="20"/>
                      </w:rPr>
                      <m:t>v</m:t>
                    </m:r>
                  </m:e>
                  <m:sub>
                    <m:r>
                      <w:rPr>
                        <w:rFonts w:ascii="Cambria Math" w:hAnsi="Cambria Math" w:cs="Arial"/>
                        <w:szCs w:val="20"/>
                      </w:rPr>
                      <m:t>i</m:t>
                    </m:r>
                  </m:sub>
                </m:sSub>
                <m:r>
                  <w:rPr>
                    <w:rFonts w:ascii="Cambria Math" w:hAnsi="Cambria Math" w:cs="Arial"/>
                    <w:szCs w:val="20"/>
                  </w:rPr>
                  <m:t>=v)</m:t>
                </m:r>
              </m:oMath>
            </m:oMathPara>
          </w:p>
          <w:p w14:paraId="31B2826E" w14:textId="7D4A159D" w:rsidR="00535C17" w:rsidRPr="0089742C" w:rsidRDefault="00802E0B" w:rsidP="00040D4E">
            <w:pPr>
              <w:rPr>
                <w:rFonts w:cs="Arial"/>
                <w:color w:val="FF0000"/>
                <w:szCs w:val="20"/>
              </w:rPr>
            </w:pPr>
            <m:oMathPara>
              <m:oMath>
                <m:nary>
                  <m:naryPr>
                    <m:chr m:val="∑"/>
                    <m:limLoc m:val="undOvr"/>
                    <m:ctrlPr>
                      <w:rPr>
                        <w:rFonts w:ascii="Cambria Math" w:hAnsi="Cambria Math" w:cs="Arial"/>
                        <w:i/>
                        <w:szCs w:val="20"/>
                      </w:rPr>
                    </m:ctrlPr>
                  </m:naryPr>
                  <m:sub>
                    <m:r>
                      <w:rPr>
                        <w:rFonts w:ascii="Cambria Math" w:hAnsi="Cambria Math" w:cs="Arial"/>
                        <w:szCs w:val="20"/>
                      </w:rPr>
                      <m:t>i</m:t>
                    </m:r>
                  </m:sub>
                  <m:sup>
                    <m:sSub>
                      <m:sSubPr>
                        <m:ctrlPr>
                          <w:rPr>
                            <w:rFonts w:ascii="Cambria Math" w:hAnsi="Cambria Math" w:cs="Arial"/>
                            <w:i/>
                            <w:szCs w:val="20"/>
                          </w:rPr>
                        </m:ctrlPr>
                      </m:sSubPr>
                      <m:e>
                        <m:r>
                          <w:rPr>
                            <w:rFonts w:ascii="Cambria Math" w:hAnsi="Cambria Math" w:cs="Arial"/>
                            <w:szCs w:val="20"/>
                          </w:rPr>
                          <m:t>I</m:t>
                        </m:r>
                      </m:e>
                      <m:sub>
                        <m:r>
                          <w:rPr>
                            <w:rFonts w:ascii="Cambria Math" w:hAnsi="Cambria Math" w:cs="Arial"/>
                            <w:szCs w:val="20"/>
                          </w:rPr>
                          <m:t>v</m:t>
                        </m:r>
                      </m:sub>
                    </m:sSub>
                  </m:sup>
                  <m:e>
                    <m:sSubSup>
                      <m:sSubSupPr>
                        <m:ctrlPr>
                          <w:rPr>
                            <w:rFonts w:ascii="Cambria Math" w:hAnsi="Cambria Math" w:cs="Arial"/>
                            <w:i/>
                            <w:szCs w:val="20"/>
                          </w:rPr>
                        </m:ctrlPr>
                      </m:sSubSupPr>
                      <m:e>
                        <m:r>
                          <w:rPr>
                            <w:rFonts w:ascii="Cambria Math" w:hAnsi="Cambria Math" w:cs="Arial"/>
                            <w:szCs w:val="20"/>
                          </w:rPr>
                          <m:t>C</m:t>
                        </m:r>
                      </m:e>
                      <m:sub>
                        <m:r>
                          <w:rPr>
                            <w:rFonts w:ascii="Cambria Math" w:hAnsi="Cambria Math" w:cs="Arial"/>
                            <w:szCs w:val="20"/>
                          </w:rPr>
                          <m:t>i</m:t>
                        </m:r>
                      </m:sub>
                      <m:sup>
                        <m:r>
                          <w:rPr>
                            <w:rFonts w:ascii="Cambria Math" w:hAnsi="Cambria Math" w:cs="Arial"/>
                            <w:szCs w:val="20"/>
                          </w:rPr>
                          <m:t>Nenodrošināti</m:t>
                        </m:r>
                      </m:sup>
                    </m:sSubSup>
                  </m:e>
                </m:nary>
              </m:oMath>
            </m:oMathPara>
          </w:p>
          <w:p w14:paraId="28428337" w14:textId="77777777" w:rsidR="00535C17" w:rsidRPr="0089742C" w:rsidRDefault="00535C17" w:rsidP="001E4826">
            <w:pPr>
              <w:rPr>
                <w:rFonts w:cs="Arial"/>
                <w:i/>
                <w:szCs w:val="20"/>
              </w:rPr>
            </w:pPr>
            <w:r>
              <w:rPr>
                <w:i/>
              </w:rPr>
              <w:t>C</w:t>
            </w:r>
            <w:r>
              <w:rPr>
                <w:i/>
                <w:vertAlign w:val="subscript"/>
              </w:rPr>
              <w:t>i</w:t>
            </w:r>
            <w:r>
              <w:rPr>
                <w:i/>
              </w:rPr>
              <w:t xml:space="preserve"> atbilst 2. iedaļā sniegtajai definīcijai.</w:t>
            </w:r>
          </w:p>
          <w:p w14:paraId="1AB092E0" w14:textId="77777777" w:rsidR="00DA6924" w:rsidRPr="0089742C" w:rsidRDefault="00DA6924" w:rsidP="001E4826">
            <w:pPr>
              <w:rPr>
                <w:rFonts w:cs="Arial"/>
                <w:i/>
                <w:szCs w:val="20"/>
              </w:rPr>
            </w:pPr>
          </w:p>
          <w:p w14:paraId="02FF5034" w14:textId="4251B764" w:rsidR="00DA6924" w:rsidRPr="0089742C" w:rsidRDefault="00DA6924" w:rsidP="00DA6924">
            <w:pPr>
              <w:rPr>
                <w:rFonts w:cs="Arial"/>
                <w:i/>
                <w:szCs w:val="20"/>
              </w:rPr>
            </w:pPr>
            <w:r>
              <w:rPr>
                <w:i/>
              </w:rPr>
              <w:t>(Lūdzam ņemt vērā, ka šīs lapas 280.–315. rinda ir 210. rindas sīkāks sadalījums)</w:t>
            </w:r>
          </w:p>
        </w:tc>
      </w:tr>
      <w:tr w:rsidR="00535C17" w:rsidRPr="0089742C" w14:paraId="62AFE8FE" w14:textId="77777777" w:rsidTr="00040D4E">
        <w:tc>
          <w:tcPr>
            <w:tcW w:w="1191" w:type="dxa"/>
          </w:tcPr>
          <w:p w14:paraId="0519DA13" w14:textId="77777777" w:rsidR="00535C17" w:rsidRPr="0089742C" w:rsidRDefault="001E4826" w:rsidP="00040D4E">
            <w:pPr>
              <w:rPr>
                <w:rFonts w:cs="Arial"/>
                <w:szCs w:val="20"/>
              </w:rPr>
            </w:pPr>
            <w:r>
              <w:t>290</w:t>
            </w:r>
          </w:p>
        </w:tc>
        <w:tc>
          <w:tcPr>
            <w:tcW w:w="8845" w:type="dxa"/>
          </w:tcPr>
          <w:p w14:paraId="4BCFD083" w14:textId="305BE9B0" w:rsidR="00535C17" w:rsidRPr="0089742C" w:rsidRDefault="001E4826" w:rsidP="00040D4E">
            <w:pPr>
              <w:rPr>
                <w:rFonts w:cs="Arial"/>
                <w:b/>
                <w:szCs w:val="20"/>
                <w:u w:val="single"/>
              </w:rPr>
            </w:pPr>
            <w:r>
              <w:rPr>
                <w:b/>
                <w:u w:val="single"/>
              </w:rPr>
              <w:t>T. sk.: nodrošināt</w:t>
            </w:r>
            <w:r w:rsidR="00665BB0">
              <w:rPr>
                <w:b/>
                <w:u w:val="single"/>
              </w:rPr>
              <w:t>i</w:t>
            </w:r>
            <w:r>
              <w:rPr>
                <w:b/>
                <w:u w:val="single"/>
              </w:rPr>
              <w:t xml:space="preserve"> ar nekustamo īpašumu vai mājokļa kredītu, ko garantē atbilstošs aizsardzības devējs</w:t>
            </w:r>
          </w:p>
          <w:p w14:paraId="7E7F019C" w14:textId="77777777" w:rsidR="00535C17" w:rsidRPr="0089742C" w:rsidRDefault="00535C17" w:rsidP="00040D4E">
            <w:pPr>
              <w:rPr>
                <w:rFonts w:cs="Arial"/>
                <w:szCs w:val="20"/>
              </w:rPr>
            </w:pPr>
            <w:r>
              <w:t xml:space="preserve">Norādāmā vērtība ir visu INRD daļu, kuras </w:t>
            </w:r>
            <w:r>
              <w:rPr>
                <w:i/>
                <w:iCs/>
              </w:rPr>
              <w:t>nodrošinātas ar nekustamo īpašumu vai mājokļa kredītu, ko garantē atbilstošs aizsardzības devējs,</w:t>
            </w:r>
            <w:r>
              <w:t xml:space="preserve"> lieluma "Kopējie uzkrājumi un korekcijas vai atskaitījumi (bez ierobežojuma)" atsevišķo vērtību kopsumma:</w:t>
            </w:r>
          </w:p>
          <w:p w14:paraId="696DBD93" w14:textId="77777777" w:rsidR="00535C17" w:rsidRPr="0089742C" w:rsidRDefault="00535C17" w:rsidP="00040D4E">
            <w:pPr>
              <w:rPr>
                <w:rFonts w:cs="Arial"/>
                <w:szCs w:val="20"/>
              </w:rPr>
            </w:pPr>
          </w:p>
          <w:p w14:paraId="320E8CA4" w14:textId="23436D0C" w:rsidR="00535C17" w:rsidRPr="0089742C" w:rsidRDefault="00802E0B" w:rsidP="00040D4E">
            <w:pPr>
              <w:pStyle w:val="ECBBodyText"/>
              <w:spacing w:line="240" w:lineRule="auto"/>
              <w:jc w:val="both"/>
              <w:rPr>
                <w:rFonts w:cs="Arial"/>
                <w:szCs w:val="20"/>
              </w:rPr>
            </w:pPr>
            <m:oMathPara>
              <m:oMathParaPr>
                <m:jc m:val="left"/>
              </m:oMathParaPr>
              <m:oMath>
                <m:sSub>
                  <m:sSubPr>
                    <m:ctrlPr>
                      <w:rPr>
                        <w:rFonts w:ascii="Cambria Math" w:hAnsi="Cambria Math" w:cs="Arial"/>
                        <w:i/>
                        <w:szCs w:val="20"/>
                      </w:rPr>
                    </m:ctrlPr>
                  </m:sSubPr>
                  <m:e>
                    <m:r>
                      <w:rPr>
                        <w:rFonts w:ascii="Cambria Math" w:hAnsi="Cambria Math" w:cs="Arial"/>
                        <w:szCs w:val="20"/>
                      </w:rPr>
                      <m:t>Pieņemam, ka I</m:t>
                    </m:r>
                  </m:e>
                  <m:sub>
                    <m:r>
                      <w:rPr>
                        <w:rFonts w:ascii="Cambria Math" w:hAnsi="Cambria Math" w:cs="Arial"/>
                        <w:szCs w:val="20"/>
                      </w:rPr>
                      <m:t xml:space="preserve">v </m:t>
                    </m:r>
                  </m:sub>
                </m:sSub>
                <m:r>
                  <w:rPr>
                    <w:rFonts w:ascii="Cambria Math" w:hAnsi="Cambria Math" w:cs="Arial"/>
                    <w:szCs w:val="20"/>
                  </w:rPr>
                  <m:t xml:space="preserve">ir RD skaits attiecīgajā turēšanas ilguma grupā (t. i., visi RD, kam </m:t>
                </m:r>
                <m:sSub>
                  <m:sSubPr>
                    <m:ctrlPr>
                      <w:rPr>
                        <w:rFonts w:ascii="Cambria Math" w:hAnsi="Cambria Math" w:cs="Arial"/>
                        <w:i/>
                        <w:szCs w:val="20"/>
                      </w:rPr>
                    </m:ctrlPr>
                  </m:sSubPr>
                  <m:e>
                    <m:r>
                      <w:rPr>
                        <w:rFonts w:ascii="Cambria Math" w:hAnsi="Cambria Math" w:cs="Arial"/>
                        <w:szCs w:val="20"/>
                      </w:rPr>
                      <m:t>v</m:t>
                    </m:r>
                  </m:e>
                  <m:sub>
                    <m:r>
                      <w:rPr>
                        <w:rFonts w:ascii="Cambria Math" w:hAnsi="Cambria Math" w:cs="Arial"/>
                        <w:szCs w:val="20"/>
                      </w:rPr>
                      <m:t>i</m:t>
                    </m:r>
                  </m:sub>
                </m:sSub>
                <m:r>
                  <w:rPr>
                    <w:rFonts w:ascii="Cambria Math" w:hAnsi="Cambria Math" w:cs="Arial"/>
                    <w:szCs w:val="20"/>
                  </w:rPr>
                  <m:t>=v)</m:t>
                </m:r>
              </m:oMath>
            </m:oMathPara>
          </w:p>
          <w:p w14:paraId="73363A0E" w14:textId="1DDCEBAC" w:rsidR="00535C17" w:rsidRPr="0089742C" w:rsidRDefault="00802E0B" w:rsidP="00040D4E">
            <w:pPr>
              <w:rPr>
                <w:rFonts w:cs="Arial"/>
                <w:szCs w:val="20"/>
              </w:rPr>
            </w:pPr>
            <m:oMathPara>
              <m:oMath>
                <m:nary>
                  <m:naryPr>
                    <m:chr m:val="∑"/>
                    <m:limLoc m:val="undOvr"/>
                    <m:ctrlPr>
                      <w:rPr>
                        <w:rFonts w:ascii="Cambria Math" w:hAnsi="Cambria Math" w:cs="Arial"/>
                        <w:i/>
                        <w:szCs w:val="20"/>
                      </w:rPr>
                    </m:ctrlPr>
                  </m:naryPr>
                  <m:sub>
                    <m:r>
                      <w:rPr>
                        <w:rFonts w:ascii="Cambria Math" w:hAnsi="Cambria Math" w:cs="Arial"/>
                        <w:szCs w:val="20"/>
                      </w:rPr>
                      <m:t>i</m:t>
                    </m:r>
                  </m:sub>
                  <m:sup>
                    <m:sSub>
                      <m:sSubPr>
                        <m:ctrlPr>
                          <w:rPr>
                            <w:rFonts w:ascii="Cambria Math" w:hAnsi="Cambria Math" w:cs="Arial"/>
                            <w:i/>
                            <w:szCs w:val="20"/>
                          </w:rPr>
                        </m:ctrlPr>
                      </m:sSubPr>
                      <m:e>
                        <m:r>
                          <w:rPr>
                            <w:rFonts w:ascii="Cambria Math" w:hAnsi="Cambria Math" w:cs="Arial"/>
                            <w:szCs w:val="20"/>
                          </w:rPr>
                          <m:t>I</m:t>
                        </m:r>
                      </m:e>
                      <m:sub>
                        <m:r>
                          <w:rPr>
                            <w:rFonts w:ascii="Cambria Math" w:hAnsi="Cambria Math" w:cs="Arial"/>
                            <w:szCs w:val="20"/>
                          </w:rPr>
                          <m:t>v</m:t>
                        </m:r>
                      </m:sub>
                    </m:sSub>
                  </m:sup>
                  <m:e>
                    <m:sSubSup>
                      <m:sSubSupPr>
                        <m:ctrlPr>
                          <w:rPr>
                            <w:rFonts w:ascii="Cambria Math" w:hAnsi="Cambria Math" w:cs="Arial"/>
                            <w:i/>
                            <w:szCs w:val="20"/>
                          </w:rPr>
                        </m:ctrlPr>
                      </m:sSubSupPr>
                      <m:e>
                        <m:r>
                          <w:rPr>
                            <w:rFonts w:ascii="Cambria Math" w:hAnsi="Cambria Math" w:cs="Arial"/>
                            <w:szCs w:val="20"/>
                          </w:rPr>
                          <m:t>C</m:t>
                        </m:r>
                      </m:e>
                      <m:sub>
                        <m:r>
                          <w:rPr>
                            <w:rFonts w:ascii="Cambria Math" w:hAnsi="Cambria Math" w:cs="Arial"/>
                            <w:szCs w:val="20"/>
                          </w:rPr>
                          <m:t>i</m:t>
                        </m:r>
                      </m:sub>
                      <m:sup>
                        <m:r>
                          <w:rPr>
                            <w:rFonts w:ascii="Cambria Math" w:hAnsi="Cambria Math" w:cs="Arial"/>
                            <w:szCs w:val="20"/>
                          </w:rPr>
                          <m:t>Nodrošināti ar nekustamo īpašumu</m:t>
                        </m:r>
                      </m:sup>
                    </m:sSubSup>
                  </m:e>
                </m:nary>
              </m:oMath>
            </m:oMathPara>
          </w:p>
          <w:p w14:paraId="025E1A0F" w14:textId="77777777" w:rsidR="00535C17" w:rsidRPr="0089742C" w:rsidRDefault="00535C17" w:rsidP="001E4826">
            <w:pPr>
              <w:rPr>
                <w:rFonts w:cs="Arial"/>
                <w:i/>
                <w:szCs w:val="20"/>
              </w:rPr>
            </w:pPr>
            <w:r>
              <w:rPr>
                <w:i/>
              </w:rPr>
              <w:t>C</w:t>
            </w:r>
            <w:r>
              <w:rPr>
                <w:i/>
                <w:vertAlign w:val="subscript"/>
              </w:rPr>
              <w:t>i</w:t>
            </w:r>
            <w:r>
              <w:rPr>
                <w:i/>
              </w:rPr>
              <w:t xml:space="preserve"> atbilst 2. iedaļā sniegtajai definīcijai.</w:t>
            </w:r>
          </w:p>
          <w:p w14:paraId="6F1A655F" w14:textId="2BF3DBAE" w:rsidR="00DA6924" w:rsidRPr="0089742C" w:rsidRDefault="00DA6924" w:rsidP="00DA6924">
            <w:pPr>
              <w:rPr>
                <w:rFonts w:cs="Arial"/>
                <w:i/>
                <w:szCs w:val="20"/>
              </w:rPr>
            </w:pPr>
            <w:r>
              <w:rPr>
                <w:i/>
              </w:rPr>
              <w:t>(Lūdzam ņemt vērā, ka šīs lapas 280.–315. rinda ir 210. rindas sīkāks sadalījums)</w:t>
            </w:r>
          </w:p>
        </w:tc>
      </w:tr>
      <w:tr w:rsidR="00535C17" w:rsidRPr="0089742C" w14:paraId="01D67D19" w14:textId="77777777" w:rsidTr="00040D4E">
        <w:tc>
          <w:tcPr>
            <w:tcW w:w="1191" w:type="dxa"/>
          </w:tcPr>
          <w:p w14:paraId="118A5662" w14:textId="77777777" w:rsidR="00535C17" w:rsidRPr="0089742C" w:rsidRDefault="001E4826" w:rsidP="00040D4E">
            <w:pPr>
              <w:rPr>
                <w:rFonts w:cs="Arial"/>
                <w:szCs w:val="20"/>
              </w:rPr>
            </w:pPr>
            <w:r>
              <w:t>300</w:t>
            </w:r>
          </w:p>
        </w:tc>
        <w:tc>
          <w:tcPr>
            <w:tcW w:w="8845" w:type="dxa"/>
          </w:tcPr>
          <w:p w14:paraId="0320959E" w14:textId="713DF5EF" w:rsidR="00535C17" w:rsidRPr="0089742C" w:rsidRDefault="001E4826" w:rsidP="00040D4E">
            <w:pPr>
              <w:rPr>
                <w:rFonts w:cs="Arial"/>
                <w:b/>
                <w:szCs w:val="20"/>
                <w:u w:val="single"/>
              </w:rPr>
            </w:pPr>
            <w:r>
              <w:rPr>
                <w:b/>
                <w:u w:val="single"/>
              </w:rPr>
              <w:t>T. sk.: nodrošināt</w:t>
            </w:r>
            <w:r w:rsidR="00665BB0">
              <w:rPr>
                <w:b/>
                <w:u w:val="single"/>
              </w:rPr>
              <w:t>i</w:t>
            </w:r>
            <w:r>
              <w:rPr>
                <w:b/>
                <w:u w:val="single"/>
              </w:rPr>
              <w:t xml:space="preserve"> ar citu fondētu vai nefondētu kredītaizsardzību </w:t>
            </w:r>
          </w:p>
          <w:p w14:paraId="141881BA" w14:textId="77777777" w:rsidR="00535C17" w:rsidRPr="0089742C" w:rsidRDefault="00535C17" w:rsidP="00040D4E">
            <w:pPr>
              <w:rPr>
                <w:rFonts w:cs="Arial"/>
                <w:szCs w:val="20"/>
              </w:rPr>
            </w:pPr>
            <w:r>
              <w:lastRenderedPageBreak/>
              <w:t xml:space="preserve">Norādāmā vērtība ir visu INRD daļu, kuras </w:t>
            </w:r>
            <w:r>
              <w:rPr>
                <w:i/>
                <w:iCs/>
              </w:rPr>
              <w:t>nodrošinātas ar citu fondētu vai nefondētu kredītaizsardzību</w:t>
            </w:r>
            <w:r>
              <w:t>, lieluma "Kopējie uzkrājumi un korekcijas vai atskaitījumi (bez ierobežojuma)" atsevišķo vērtību kopsumma:</w:t>
            </w:r>
          </w:p>
          <w:p w14:paraId="0B358050" w14:textId="77777777" w:rsidR="00535C17" w:rsidRPr="0089742C" w:rsidRDefault="00535C17" w:rsidP="00040D4E">
            <w:pPr>
              <w:rPr>
                <w:rFonts w:cs="Arial"/>
                <w:szCs w:val="20"/>
              </w:rPr>
            </w:pPr>
          </w:p>
          <w:p w14:paraId="1E8828F9" w14:textId="7A03AD23" w:rsidR="00535C17" w:rsidRPr="0089742C" w:rsidRDefault="00802E0B" w:rsidP="00040D4E">
            <w:pPr>
              <w:pStyle w:val="ECBBodyText"/>
              <w:spacing w:line="240" w:lineRule="auto"/>
              <w:jc w:val="both"/>
              <w:rPr>
                <w:rFonts w:cs="Arial"/>
                <w:szCs w:val="20"/>
              </w:rPr>
            </w:pPr>
            <m:oMathPara>
              <m:oMathParaPr>
                <m:jc m:val="left"/>
              </m:oMathParaPr>
              <m:oMath>
                <m:sSub>
                  <m:sSubPr>
                    <m:ctrlPr>
                      <w:rPr>
                        <w:rFonts w:ascii="Cambria Math" w:hAnsi="Cambria Math" w:cs="Arial"/>
                        <w:i/>
                        <w:szCs w:val="20"/>
                      </w:rPr>
                    </m:ctrlPr>
                  </m:sSubPr>
                  <m:e>
                    <m:r>
                      <w:rPr>
                        <w:rFonts w:ascii="Cambria Math" w:hAnsi="Cambria Math" w:cs="Arial"/>
                        <w:szCs w:val="20"/>
                      </w:rPr>
                      <m:t>Pieņemam, ka I</m:t>
                    </m:r>
                  </m:e>
                  <m:sub>
                    <m:r>
                      <w:rPr>
                        <w:rFonts w:ascii="Cambria Math" w:hAnsi="Cambria Math" w:cs="Arial"/>
                        <w:szCs w:val="20"/>
                      </w:rPr>
                      <m:t xml:space="preserve">v </m:t>
                    </m:r>
                  </m:sub>
                </m:sSub>
                <m:r>
                  <w:rPr>
                    <w:rFonts w:ascii="Cambria Math" w:hAnsi="Cambria Math" w:cs="Arial"/>
                    <w:szCs w:val="20"/>
                  </w:rPr>
                  <m:t xml:space="preserve">ir RD skaits attiecīgajā turēšanas ilguma grupā (t. i., visi RD, kam </m:t>
                </m:r>
                <m:sSub>
                  <m:sSubPr>
                    <m:ctrlPr>
                      <w:rPr>
                        <w:rFonts w:ascii="Cambria Math" w:hAnsi="Cambria Math" w:cs="Arial"/>
                        <w:i/>
                        <w:szCs w:val="20"/>
                      </w:rPr>
                    </m:ctrlPr>
                  </m:sSubPr>
                  <m:e>
                    <m:r>
                      <w:rPr>
                        <w:rFonts w:ascii="Cambria Math" w:hAnsi="Cambria Math" w:cs="Arial"/>
                        <w:szCs w:val="20"/>
                      </w:rPr>
                      <m:t>v</m:t>
                    </m:r>
                  </m:e>
                  <m:sub>
                    <m:r>
                      <w:rPr>
                        <w:rFonts w:ascii="Cambria Math" w:hAnsi="Cambria Math" w:cs="Arial"/>
                        <w:szCs w:val="20"/>
                      </w:rPr>
                      <m:t>i</m:t>
                    </m:r>
                  </m:sub>
                </m:sSub>
                <m:r>
                  <w:rPr>
                    <w:rFonts w:ascii="Cambria Math" w:hAnsi="Cambria Math" w:cs="Arial"/>
                    <w:szCs w:val="20"/>
                  </w:rPr>
                  <m:t>=v)</m:t>
                </m:r>
              </m:oMath>
            </m:oMathPara>
          </w:p>
          <w:p w14:paraId="68989CDD" w14:textId="11DB2719" w:rsidR="00535C17" w:rsidRPr="0089742C" w:rsidRDefault="00802E0B" w:rsidP="00040D4E">
            <w:pPr>
              <w:rPr>
                <w:rFonts w:cs="Arial"/>
                <w:szCs w:val="20"/>
              </w:rPr>
            </w:pPr>
            <m:oMathPara>
              <m:oMath>
                <m:nary>
                  <m:naryPr>
                    <m:chr m:val="∑"/>
                    <m:limLoc m:val="undOvr"/>
                    <m:ctrlPr>
                      <w:rPr>
                        <w:rFonts w:ascii="Cambria Math" w:hAnsi="Cambria Math" w:cs="Arial"/>
                        <w:i/>
                        <w:szCs w:val="20"/>
                      </w:rPr>
                    </m:ctrlPr>
                  </m:naryPr>
                  <m:sub>
                    <m:r>
                      <w:rPr>
                        <w:rFonts w:ascii="Cambria Math" w:hAnsi="Cambria Math" w:cs="Arial"/>
                        <w:szCs w:val="20"/>
                      </w:rPr>
                      <m:t>i</m:t>
                    </m:r>
                  </m:sub>
                  <m:sup>
                    <m:sSub>
                      <m:sSubPr>
                        <m:ctrlPr>
                          <w:rPr>
                            <w:rFonts w:ascii="Cambria Math" w:hAnsi="Cambria Math" w:cs="Arial"/>
                            <w:i/>
                            <w:szCs w:val="20"/>
                          </w:rPr>
                        </m:ctrlPr>
                      </m:sSubPr>
                      <m:e>
                        <m:r>
                          <w:rPr>
                            <w:rFonts w:ascii="Cambria Math" w:hAnsi="Cambria Math" w:cs="Arial"/>
                            <w:szCs w:val="20"/>
                          </w:rPr>
                          <m:t>I</m:t>
                        </m:r>
                      </m:e>
                      <m:sub>
                        <m:r>
                          <w:rPr>
                            <w:rFonts w:ascii="Cambria Math" w:hAnsi="Cambria Math" w:cs="Arial"/>
                            <w:szCs w:val="20"/>
                          </w:rPr>
                          <m:t>v</m:t>
                        </m:r>
                      </m:sub>
                    </m:sSub>
                  </m:sup>
                  <m:e>
                    <m:sSubSup>
                      <m:sSubSupPr>
                        <m:ctrlPr>
                          <w:rPr>
                            <w:rFonts w:ascii="Cambria Math" w:hAnsi="Cambria Math" w:cs="Arial"/>
                            <w:i/>
                            <w:szCs w:val="20"/>
                          </w:rPr>
                        </m:ctrlPr>
                      </m:sSubSupPr>
                      <m:e>
                        <m:r>
                          <w:rPr>
                            <w:rFonts w:ascii="Cambria Math" w:hAnsi="Cambria Math" w:cs="Arial"/>
                            <w:szCs w:val="20"/>
                          </w:rPr>
                          <m:t>C</m:t>
                        </m:r>
                      </m:e>
                      <m:sub>
                        <m:r>
                          <w:rPr>
                            <w:rFonts w:ascii="Cambria Math" w:hAnsi="Cambria Math" w:cs="Arial"/>
                            <w:szCs w:val="20"/>
                          </w:rPr>
                          <m:t>i</m:t>
                        </m:r>
                      </m:sub>
                      <m:sup>
                        <m:r>
                          <w:rPr>
                            <w:rFonts w:ascii="Cambria Math" w:hAnsi="Cambria Math" w:cs="Arial"/>
                            <w:szCs w:val="20"/>
                          </w:rPr>
                          <m:t>Nodrošināti ar citu fondētu vai nefondētu kredītaizsardzību</m:t>
                        </m:r>
                      </m:sup>
                    </m:sSubSup>
                  </m:e>
                </m:nary>
              </m:oMath>
            </m:oMathPara>
          </w:p>
          <w:p w14:paraId="41C6C445" w14:textId="77777777" w:rsidR="00535C17" w:rsidRPr="0089742C" w:rsidRDefault="00535C17" w:rsidP="001E4826">
            <w:pPr>
              <w:rPr>
                <w:rFonts w:cs="Arial"/>
                <w:i/>
                <w:szCs w:val="20"/>
              </w:rPr>
            </w:pPr>
            <w:r>
              <w:rPr>
                <w:i/>
              </w:rPr>
              <w:t>C</w:t>
            </w:r>
            <w:r>
              <w:rPr>
                <w:i/>
                <w:vertAlign w:val="subscript"/>
              </w:rPr>
              <w:t>i</w:t>
            </w:r>
            <w:r>
              <w:rPr>
                <w:i/>
              </w:rPr>
              <w:t xml:space="preserve"> atbilst 2. iedaļā sniegtajai definīcijai.</w:t>
            </w:r>
          </w:p>
          <w:p w14:paraId="016459D2" w14:textId="005B5333" w:rsidR="00DA6924" w:rsidRPr="0089742C" w:rsidRDefault="00DA6924" w:rsidP="00DA6924">
            <w:pPr>
              <w:rPr>
                <w:rFonts w:cs="Arial"/>
                <w:i/>
                <w:szCs w:val="20"/>
              </w:rPr>
            </w:pPr>
            <w:r>
              <w:rPr>
                <w:i/>
              </w:rPr>
              <w:t>(Lūdzam ņemt vērā, ka šīs lapas 280.–315. rinda ir 210. rindas sīkāks sadalījums)</w:t>
            </w:r>
          </w:p>
        </w:tc>
      </w:tr>
      <w:tr w:rsidR="00535C17" w:rsidRPr="0089742C" w14:paraId="20981F08" w14:textId="77777777" w:rsidTr="00040D4E">
        <w:tc>
          <w:tcPr>
            <w:tcW w:w="1191" w:type="dxa"/>
          </w:tcPr>
          <w:p w14:paraId="1C89D737" w14:textId="39F745CD" w:rsidR="00535C17" w:rsidRPr="0089742C" w:rsidRDefault="001E4826" w:rsidP="00040D4E">
            <w:pPr>
              <w:rPr>
                <w:rFonts w:cs="Arial"/>
                <w:szCs w:val="20"/>
              </w:rPr>
            </w:pPr>
            <w:r>
              <w:lastRenderedPageBreak/>
              <w:t>315</w:t>
            </w:r>
          </w:p>
        </w:tc>
        <w:tc>
          <w:tcPr>
            <w:tcW w:w="8845" w:type="dxa"/>
          </w:tcPr>
          <w:p w14:paraId="25A0AAA4" w14:textId="3949C0AA" w:rsidR="00535C17" w:rsidRPr="0089742C" w:rsidRDefault="00595DFA" w:rsidP="00040D4E">
            <w:pPr>
              <w:rPr>
                <w:rFonts w:cs="Arial"/>
                <w:szCs w:val="20"/>
              </w:rPr>
            </w:pPr>
            <w:r>
              <w:rPr>
                <w:b/>
                <w:bCs/>
                <w:u w:val="single"/>
              </w:rPr>
              <w:t>T. sk. ko garantējis vai kā atbalsta garantiju sniedzis atbilstošs kredītaizsardzības devējs (koeficients 1)</w:t>
            </w:r>
            <w:r>
              <w:br/>
              <w:t xml:space="preserve">Norādāmā vērtība ir visu INRD daļu, </w:t>
            </w:r>
            <w:r>
              <w:rPr>
                <w:i/>
                <w:iCs/>
              </w:rPr>
              <w:t>ko garantējis vai kā atbalsta garantiju sniedzis 201. panta 1. punkta a)–e) apakšpunktā minētais atbilstošais kredītaizsardzības devējs, ar kuru noslēgtiem nenodrošinātiem riska darījumiem būtu piešķirta 0 % riska pakāpe saskaņā ar Trešās daļas II sadaļas 2. nodaļu</w:t>
            </w:r>
            <w:r>
              <w:t xml:space="preserve"> </w:t>
            </w:r>
            <w:r>
              <w:rPr>
                <w:i/>
                <w:iCs/>
              </w:rPr>
              <w:t>un</w:t>
            </w:r>
            <w:r>
              <w:t xml:space="preserve"> </w:t>
            </w:r>
            <w:r>
              <w:rPr>
                <w:i/>
                <w:iCs/>
              </w:rPr>
              <w:t>kam saskaņā ar Regulas (ES) Nr. 575/2013 47.c panta 4. punkta b) apakšpunktu piemērojams koeficients 1</w:t>
            </w:r>
            <w:r>
              <w:t>, lielumu "Uzkrājumi un korekcijas vai atskaitījumi (bez ierobežojuma)" atsevišķo vērtību kopsumma.</w:t>
            </w:r>
          </w:p>
          <w:p w14:paraId="1FBF1798" w14:textId="77777777" w:rsidR="00535C17" w:rsidRPr="0089742C" w:rsidRDefault="00535C17" w:rsidP="00040D4E">
            <w:pPr>
              <w:rPr>
                <w:rFonts w:cs="Arial"/>
                <w:szCs w:val="20"/>
              </w:rPr>
            </w:pPr>
          </w:p>
          <w:p w14:paraId="00F8D6AC" w14:textId="2B21BD53" w:rsidR="00535C17" w:rsidRPr="0089742C" w:rsidRDefault="00802E0B" w:rsidP="00040D4E">
            <w:pPr>
              <w:pStyle w:val="ECBBodyText"/>
              <w:spacing w:line="240" w:lineRule="auto"/>
              <w:jc w:val="both"/>
              <w:rPr>
                <w:rFonts w:cs="Arial"/>
                <w:szCs w:val="20"/>
              </w:rPr>
            </w:pPr>
            <m:oMathPara>
              <m:oMathParaPr>
                <m:jc m:val="left"/>
              </m:oMathParaPr>
              <m:oMath>
                <m:sSub>
                  <m:sSubPr>
                    <m:ctrlPr>
                      <w:rPr>
                        <w:rFonts w:ascii="Cambria Math" w:hAnsi="Cambria Math" w:cs="Arial"/>
                        <w:i/>
                        <w:szCs w:val="20"/>
                      </w:rPr>
                    </m:ctrlPr>
                  </m:sSubPr>
                  <m:e>
                    <m:r>
                      <w:rPr>
                        <w:rFonts w:ascii="Cambria Math" w:hAnsi="Cambria Math" w:cs="Arial"/>
                        <w:szCs w:val="20"/>
                      </w:rPr>
                      <m:t>Pieņemam, ka I</m:t>
                    </m:r>
                  </m:e>
                  <m:sub>
                    <m:r>
                      <w:rPr>
                        <w:rFonts w:ascii="Cambria Math" w:hAnsi="Cambria Math" w:cs="Arial"/>
                        <w:szCs w:val="20"/>
                      </w:rPr>
                      <m:t xml:space="preserve">v </m:t>
                    </m:r>
                  </m:sub>
                </m:sSub>
                <m:r>
                  <w:rPr>
                    <w:rFonts w:ascii="Cambria Math" w:hAnsi="Cambria Math" w:cs="Arial"/>
                    <w:szCs w:val="20"/>
                  </w:rPr>
                  <m:t xml:space="preserve">ir RD skaits attiecīgajā turēšanas ilguma grupā (t. i., visi RD, kam </m:t>
                </m:r>
                <m:sSub>
                  <m:sSubPr>
                    <m:ctrlPr>
                      <w:rPr>
                        <w:rFonts w:ascii="Cambria Math" w:hAnsi="Cambria Math" w:cs="Arial"/>
                        <w:i/>
                        <w:szCs w:val="20"/>
                      </w:rPr>
                    </m:ctrlPr>
                  </m:sSubPr>
                  <m:e>
                    <m:r>
                      <w:rPr>
                        <w:rFonts w:ascii="Cambria Math" w:hAnsi="Cambria Math" w:cs="Arial"/>
                        <w:szCs w:val="20"/>
                      </w:rPr>
                      <m:t>v</m:t>
                    </m:r>
                  </m:e>
                  <m:sub>
                    <m:r>
                      <w:rPr>
                        <w:rFonts w:ascii="Cambria Math" w:hAnsi="Cambria Math" w:cs="Arial"/>
                        <w:szCs w:val="20"/>
                      </w:rPr>
                      <m:t>i</m:t>
                    </m:r>
                  </m:sub>
                </m:sSub>
                <m:r>
                  <w:rPr>
                    <w:rFonts w:ascii="Cambria Math" w:hAnsi="Cambria Math" w:cs="Arial"/>
                    <w:szCs w:val="20"/>
                  </w:rPr>
                  <m:t>=v)</m:t>
                </m:r>
              </m:oMath>
            </m:oMathPara>
          </w:p>
          <w:p w14:paraId="65503DA7" w14:textId="643BE18B" w:rsidR="00535C17" w:rsidRPr="0089742C" w:rsidRDefault="00802E0B" w:rsidP="00040D4E">
            <w:pPr>
              <w:rPr>
                <w:rFonts w:cs="Arial"/>
                <w:color w:val="FF0000"/>
                <w:szCs w:val="20"/>
              </w:rPr>
            </w:pPr>
            <m:oMathPara>
              <m:oMath>
                <m:nary>
                  <m:naryPr>
                    <m:chr m:val="∑"/>
                    <m:limLoc m:val="undOvr"/>
                    <m:ctrlPr>
                      <w:rPr>
                        <w:rFonts w:ascii="Cambria Math" w:hAnsi="Cambria Math" w:cs="Arial"/>
                        <w:i/>
                        <w:szCs w:val="20"/>
                      </w:rPr>
                    </m:ctrlPr>
                  </m:naryPr>
                  <m:sub>
                    <m:r>
                      <w:rPr>
                        <w:rFonts w:ascii="Cambria Math" w:hAnsi="Cambria Math" w:cs="Arial"/>
                        <w:szCs w:val="20"/>
                      </w:rPr>
                      <m:t>i</m:t>
                    </m:r>
                  </m:sub>
                  <m:sup>
                    <m:sSub>
                      <m:sSubPr>
                        <m:ctrlPr>
                          <w:rPr>
                            <w:rFonts w:ascii="Cambria Math" w:hAnsi="Cambria Math" w:cs="Arial"/>
                            <w:i/>
                            <w:szCs w:val="20"/>
                          </w:rPr>
                        </m:ctrlPr>
                      </m:sSubPr>
                      <m:e>
                        <m:r>
                          <w:rPr>
                            <w:rFonts w:ascii="Cambria Math" w:hAnsi="Cambria Math" w:cs="Arial"/>
                            <w:szCs w:val="20"/>
                          </w:rPr>
                          <m:t>I</m:t>
                        </m:r>
                      </m:e>
                      <m:sub>
                        <m:r>
                          <w:rPr>
                            <w:rFonts w:ascii="Cambria Math" w:hAnsi="Cambria Math" w:cs="Arial"/>
                            <w:szCs w:val="20"/>
                          </w:rPr>
                          <m:t>v</m:t>
                        </m:r>
                      </m:sub>
                    </m:sSub>
                  </m:sup>
                  <m:e>
                    <m:sSubSup>
                      <m:sSubSupPr>
                        <m:ctrlPr>
                          <w:rPr>
                            <w:rFonts w:ascii="Cambria Math" w:hAnsi="Cambria Math" w:cs="Arial"/>
                            <w:i/>
                            <w:szCs w:val="20"/>
                          </w:rPr>
                        </m:ctrlPr>
                      </m:sSubSupPr>
                      <m:e>
                        <m:r>
                          <w:rPr>
                            <w:rFonts w:ascii="Cambria Math" w:hAnsi="Cambria Math" w:cs="Arial"/>
                            <w:szCs w:val="20"/>
                          </w:rPr>
                          <m:t>C</m:t>
                        </m:r>
                      </m:e>
                      <m:sub>
                        <m:r>
                          <w:rPr>
                            <w:rFonts w:ascii="Cambria Math" w:hAnsi="Cambria Math" w:cs="Arial"/>
                            <w:szCs w:val="20"/>
                          </w:rPr>
                          <m:t>i</m:t>
                        </m:r>
                      </m:sub>
                      <m:sup>
                        <m:eqArr>
                          <m:eqArrPr>
                            <m:ctrlPr>
                              <w:rPr>
                                <w:rFonts w:ascii="Cambria Math" w:hAnsi="Cambria Math" w:cs="Arial"/>
                                <w:i/>
                                <w:szCs w:val="20"/>
                              </w:rPr>
                            </m:ctrlPr>
                          </m:eqArrPr>
                          <m:e/>
                          <m:e>
                            <m:r>
                              <w:rPr>
                                <w:rFonts w:ascii="Cambria Math" w:hAnsi="Cambria Math" w:cs="Arial"/>
                                <w:szCs w:val="20"/>
                              </w:rPr>
                              <m:t xml:space="preserve"> Garantējušas vai kā atbalsta garantiju sniegušas </m:t>
                            </m:r>
                            <m:ctrlPr>
                              <w:rPr>
                                <w:rFonts w:ascii="Cambria Math" w:eastAsia="Cambria Math" w:hAnsi="Cambria Math" w:cs="Arial"/>
                                <w:i/>
                                <w:szCs w:val="20"/>
                              </w:rPr>
                            </m:ctrlPr>
                          </m:e>
                          <m:e>
                            <m:r>
                              <w:rPr>
                                <w:rFonts w:ascii="Cambria Math" w:hAnsi="Cambria Math" w:cs="Arial"/>
                                <w:szCs w:val="20"/>
                              </w:rPr>
                              <m:t>valstu valdības vai citas valsts iestādes</m:t>
                            </m:r>
                          </m:e>
                        </m:eqArr>
                      </m:sup>
                    </m:sSubSup>
                  </m:e>
                </m:nary>
              </m:oMath>
            </m:oMathPara>
          </w:p>
          <w:p w14:paraId="525A2036" w14:textId="77777777" w:rsidR="00535C17" w:rsidRPr="0089742C" w:rsidRDefault="00535C17" w:rsidP="001E4826">
            <w:pPr>
              <w:rPr>
                <w:rFonts w:cs="Arial"/>
                <w:i/>
                <w:szCs w:val="20"/>
              </w:rPr>
            </w:pPr>
            <w:r>
              <w:rPr>
                <w:i/>
              </w:rPr>
              <w:t>C</w:t>
            </w:r>
            <w:r>
              <w:rPr>
                <w:i/>
                <w:vertAlign w:val="subscript"/>
              </w:rPr>
              <w:t>i</w:t>
            </w:r>
            <w:r>
              <w:rPr>
                <w:i/>
              </w:rPr>
              <w:t xml:space="preserve"> atbilst 2. iedaļā sniegtajai definīcijai.</w:t>
            </w:r>
          </w:p>
          <w:p w14:paraId="6692962D" w14:textId="7D3549C0" w:rsidR="00DA6924" w:rsidRPr="0089742C" w:rsidRDefault="00DA6924" w:rsidP="00DA6924">
            <w:pPr>
              <w:rPr>
                <w:rFonts w:cs="Arial"/>
                <w:i/>
                <w:szCs w:val="20"/>
              </w:rPr>
            </w:pPr>
            <w:r>
              <w:rPr>
                <w:i/>
              </w:rPr>
              <w:t>(Lūdzam ņemt vērā, ka šīs lapas 280.–315. rinda ir 210. rindas sīkāks sadalījums).</w:t>
            </w:r>
          </w:p>
        </w:tc>
      </w:tr>
    </w:tbl>
    <w:p w14:paraId="3D8D689C" w14:textId="0271EFA8" w:rsidR="001D6CF4" w:rsidRDefault="001D6CF4" w:rsidP="007A67A1">
      <w:pPr>
        <w:spacing w:before="0" w:after="0" w:line="240" w:lineRule="auto"/>
        <w:rPr>
          <w:rFonts w:cs="Arial"/>
          <w:bCs/>
          <w:kern w:val="28"/>
          <w:szCs w:val="20"/>
        </w:rPr>
      </w:pPr>
    </w:p>
    <w:p w14:paraId="5354962F" w14:textId="519F08F6" w:rsidR="009D3140" w:rsidRPr="0087216D" w:rsidRDefault="00676D80" w:rsidP="009D3140">
      <w:pPr>
        <w:pStyle w:val="Heading2"/>
        <w:numPr>
          <w:ilvl w:val="0"/>
          <w:numId w:val="0"/>
        </w:numPr>
        <w:ind w:left="851" w:hanging="131"/>
        <w:rPr>
          <w:rFonts w:cs="Arial"/>
          <w:szCs w:val="20"/>
        </w:rPr>
      </w:pPr>
      <w:r>
        <w:t>3.2. Norādījumi par 2. lapu "Izņēmumi"</w:t>
      </w:r>
    </w:p>
    <w:p w14:paraId="6F1276D7" w14:textId="77777777" w:rsidR="009D3140" w:rsidRPr="0087216D" w:rsidRDefault="009D3140" w:rsidP="009D3140">
      <w:pPr>
        <w:jc w:val="both"/>
        <w:rPr>
          <w:rFonts w:cs="Arial"/>
          <w:b/>
          <w:szCs w:val="20"/>
          <w:u w:val="single"/>
        </w:rPr>
      </w:pPr>
      <w:r>
        <w:rPr>
          <w:b/>
          <w:u w:val="single"/>
        </w:rPr>
        <w:t>Kritēriji informācijas sniegšanai par izņēmumiem</w:t>
      </w:r>
    </w:p>
    <w:p w14:paraId="32661A48" w14:textId="77777777" w:rsidR="009D3140" w:rsidRPr="0087216D" w:rsidRDefault="009D3140" w:rsidP="009D3140">
      <w:pPr>
        <w:jc w:val="both"/>
        <w:rPr>
          <w:rFonts w:cs="Arial"/>
          <w:b/>
          <w:szCs w:val="20"/>
          <w:u w:val="single"/>
        </w:rPr>
      </w:pPr>
    </w:p>
    <w:p w14:paraId="4AF9501B" w14:textId="2D83E04F" w:rsidR="009D3140" w:rsidRPr="0087216D" w:rsidRDefault="009D3140" w:rsidP="008800FC">
      <w:pPr>
        <w:jc w:val="both"/>
        <w:rPr>
          <w:rFonts w:cs="Arial"/>
          <w:szCs w:val="20"/>
        </w:rPr>
      </w:pPr>
      <w:r>
        <w:t xml:space="preserve">Attiecībā uz INRD, uz kuriem attiecas uzraudzības seguma gaidas 2. pīlāra ietvaros, nacionālās kompetentās iestādes (NKI) apsvērs īpašus apstākļus, kuru rezultātā prudenciālo uzkrājumu līmeņa gaidas varētu būt neatbilstošas konkrētam portfelim/riska darījumam. Precīzāk, var tikt apsvērti potenciāli izņēmumi, kad uz INRD netiek attiecinātas uzraudzības seguma gaidas, ja saistībā ar attiecīgo INRD tiek veikti regulāri pamatsummas un procentu maksājumi, kā rezultātā, balstoties uz kredītņēmēja oficiālajām naudas plūsmām, parāds tiks pilnībā atmaksāts. Uzsvars tiek likts uz to, vai kredītņēmējs ir parādījis spēju </w:t>
      </w:r>
      <w:r>
        <w:lastRenderedPageBreak/>
        <w:t>izpildīt pēcpārskatīšanas nosacījumus (ilgtspējīga pārskatīšanas risinājuma gadījumā) un/vai ir sagaidāms, ka tas spēs pilnībā atmaksāt parāda atlikumu. Lai novērstu neskaidrības, tas attiecas arī uz riska darījumiem, kas klasificēti kā INRD parādu savstarpējās ietekmes efekta</w:t>
      </w:r>
      <w:r w:rsidR="009B56D2">
        <w:t xml:space="preserve"> </w:t>
      </w:r>
      <w:r w:rsidR="009B56D2" w:rsidRPr="009B56D2">
        <w:rPr>
          <w:i/>
          <w:iCs/>
        </w:rPr>
        <w:t>(pulling effect)</w:t>
      </w:r>
      <w:r>
        <w:t xml:space="preserve"> dēļ, ja sniegti pierādījumi, ka saistībā ar šiem INRD tiek veikti līgumā noteiktie pamatsummas un procentu maksājumi, kuru rezultātā tie tiks pilnībā atmaksāti.</w:t>
      </w:r>
    </w:p>
    <w:p w14:paraId="5982FDE3" w14:textId="6CA09C41" w:rsidR="009D3140" w:rsidRPr="0087216D" w:rsidRDefault="009D3140" w:rsidP="008800FC">
      <w:pPr>
        <w:spacing w:beforeLines="60" w:before="144" w:afterLines="60" w:after="144"/>
        <w:jc w:val="both"/>
        <w:rPr>
          <w:rFonts w:cs="Arial"/>
          <w:szCs w:val="20"/>
        </w:rPr>
      </w:pPr>
      <w:r>
        <w:t>Turklāt īpaši apstākļi tiks apsvērti arī gadījumos, kad uzraudzības seguma gaidu piemērošana apvienojumā ar 1. pīlāra kredītriska kapitāla prasībām novestu pie tā, ka riska darījuma segums pārsniedz 100 %. Segums, kas pārsniedz 100 %, jāuzskata par izņēmumu un jāsniedz informācija par to.</w:t>
      </w:r>
      <w:r w:rsidRPr="0087216D">
        <w:rPr>
          <w:rStyle w:val="FootnoteReference"/>
          <w:rFonts w:cs="Arial"/>
          <w:szCs w:val="20"/>
        </w:rPr>
        <w:footnoteReference w:id="12"/>
      </w:r>
      <w:r>
        <w:t xml:space="preserve"> </w:t>
      </w:r>
    </w:p>
    <w:p w14:paraId="1152E4C1" w14:textId="3641CDCE" w:rsidR="009D3140" w:rsidRPr="0087216D" w:rsidRDefault="009D3140" w:rsidP="008800FC">
      <w:pPr>
        <w:jc w:val="both"/>
        <w:rPr>
          <w:rFonts w:cs="Arial"/>
          <w:szCs w:val="20"/>
        </w:rPr>
      </w:pPr>
      <w:r>
        <w:t>Izņēmuma statuss piemērojams arī tā dēvētajām "tehniskajām garantijām", t. i., garantijām, kas attiecas uz bankas klienta spēju izpildīt līgumiskas neekonomiskas saistības pret trešo personu (piemēram, preču piegāde vai darbu izpilde), kam vienlaikus nav kredīta aizstājējiem raksturīgo pazīmju.</w:t>
      </w:r>
      <w:r w:rsidR="00595DFA">
        <w:rPr>
          <w:rStyle w:val="FootnoteReference"/>
          <w:rFonts w:cs="Arial"/>
          <w:szCs w:val="20"/>
        </w:rPr>
        <w:footnoteReference w:id="13"/>
      </w:r>
      <w:r>
        <w:t xml:space="preserve"> </w:t>
      </w:r>
    </w:p>
    <w:p w14:paraId="341E7A2F" w14:textId="7BA68D2A" w:rsidR="009D3140" w:rsidRPr="0087216D" w:rsidRDefault="009D3140" w:rsidP="004961C4">
      <w:pPr>
        <w:spacing w:beforeLines="60" w:before="144" w:afterLines="60" w:after="144"/>
        <w:jc w:val="both"/>
        <w:rPr>
          <w:rFonts w:cs="Arial"/>
          <w:szCs w:val="20"/>
        </w:rPr>
      </w:pPr>
      <w:r>
        <w:t xml:space="preserve">Turklāt iestādei jāizvērtē jebkuri citi iespējamie izņēmumi, aplūkojot katru gadījumu atsevišķi, lai nodrošinātu, ka tie atbilst minimālajiem kritērijiem, saskaņā ar kuriem sagaidāma pilnīga atmaksa, t. i., pašlaik notiek regulāri pamatsummas un procentu maksājumi, pamatojoties uz oficiālā parādnieka naudas plūsmām. Tāpēc pielikumā jāuzrāda tikai tie riska darījumi, kas atbilst minētajiem kritērijiem. Šajā sarakstā norādītie apstākļi nav uzskatāmi par potenciāliem </w:t>
      </w:r>
      <w:r>
        <w:rPr>
          <w:b/>
          <w:bCs/>
          <w:u w:val="single"/>
        </w:rPr>
        <w:t>izņēmumiem</w:t>
      </w:r>
      <w:r>
        <w:t>,</w:t>
      </w:r>
      <w:r>
        <w:rPr>
          <w:b/>
        </w:rPr>
        <w:t xml:space="preserve"> </w:t>
      </w:r>
      <w:r>
        <w:t>un attiecīgi tos nav jāuzrāda 2. lapā:</w:t>
      </w:r>
    </w:p>
    <w:p w14:paraId="10422E26" w14:textId="698C51F7" w:rsidR="009D3140" w:rsidRPr="0087216D" w:rsidRDefault="009D3140" w:rsidP="004961C4">
      <w:pPr>
        <w:pStyle w:val="ListParagraph"/>
        <w:numPr>
          <w:ilvl w:val="0"/>
          <w:numId w:val="18"/>
        </w:numPr>
        <w:spacing w:beforeLines="60" w:before="144" w:afterLines="60" w:after="144"/>
        <w:jc w:val="both"/>
        <w:rPr>
          <w:rFonts w:cs="Arial"/>
          <w:szCs w:val="20"/>
        </w:rPr>
      </w:pPr>
      <w:r>
        <w:t xml:space="preserve">Ja saistībā ar riska darījumu </w:t>
      </w:r>
      <w:r>
        <w:rPr>
          <w:b/>
          <w:bCs/>
          <w:u w:val="single"/>
        </w:rPr>
        <w:t>netiek veikti</w:t>
      </w:r>
      <w:r>
        <w:t xml:space="preserve"> regulāri pamatsummas un procentu maksājumi tādā apmērā, kas ļauj to savlaicīgi atmaksāt;</w:t>
      </w:r>
    </w:p>
    <w:p w14:paraId="20C40765" w14:textId="77777777" w:rsidR="009D3140" w:rsidRPr="0087216D" w:rsidRDefault="009D3140" w:rsidP="004961C4">
      <w:pPr>
        <w:pStyle w:val="ListParagraph"/>
        <w:numPr>
          <w:ilvl w:val="0"/>
          <w:numId w:val="18"/>
        </w:numPr>
        <w:spacing w:beforeLines="60" w:before="144" w:afterLines="60" w:after="144"/>
        <w:jc w:val="both"/>
        <w:rPr>
          <w:rFonts w:cs="Arial"/>
          <w:szCs w:val="20"/>
        </w:rPr>
      </w:pPr>
      <w:r>
        <w:t xml:space="preserve">Ja saistībā ar riska darījumu </w:t>
      </w:r>
      <w:r>
        <w:rPr>
          <w:b/>
          <w:bCs/>
          <w:u w:val="single"/>
        </w:rPr>
        <w:t>tiek veikti</w:t>
      </w:r>
      <w:r>
        <w:t xml:space="preserve"> regulāri pamatsummas un procentu maksājumi, bet to termiņa kavējums pārsniedz 30 dienas;</w:t>
      </w:r>
    </w:p>
    <w:p w14:paraId="4538DB90" w14:textId="77777777" w:rsidR="009D3140" w:rsidRPr="0087216D" w:rsidRDefault="009D3140" w:rsidP="004961C4">
      <w:pPr>
        <w:pStyle w:val="ListParagraph"/>
        <w:numPr>
          <w:ilvl w:val="0"/>
          <w:numId w:val="18"/>
        </w:numPr>
        <w:spacing w:beforeLines="60" w:before="144" w:afterLines="60" w:after="144"/>
        <w:jc w:val="both"/>
        <w:rPr>
          <w:rFonts w:cs="Arial"/>
          <w:szCs w:val="20"/>
        </w:rPr>
      </w:pPr>
      <w:r>
        <w:t xml:space="preserve">Ja līgumā noteiktie maksājumi </w:t>
      </w:r>
      <w:r>
        <w:rPr>
          <w:b/>
        </w:rPr>
        <w:t xml:space="preserve">nav </w:t>
      </w:r>
      <w:r>
        <w:t xml:space="preserve">veikti vismaz 12 mēnešus. Daļa no šiem līgumā paredzētajiem maksājumiem var būt veikti periodā, kurā riska darījums vēl bijis ienākumus nesošs. </w:t>
      </w:r>
    </w:p>
    <w:p w14:paraId="314C0F96" w14:textId="3CD8EC2A" w:rsidR="009D3140" w:rsidRPr="0087216D" w:rsidRDefault="009D3140" w:rsidP="008800FC">
      <w:pPr>
        <w:spacing w:beforeLines="60" w:before="144" w:afterLines="60" w:after="144"/>
        <w:jc w:val="both"/>
        <w:rPr>
          <w:rFonts w:cs="Arial"/>
          <w:szCs w:val="20"/>
        </w:rPr>
      </w:pPr>
      <w:r>
        <w:t>Jāsniedz informācija tikai par apstākļiem, kas nav minēti iepriekš, pēc tam, kad 1) banka veikusi pienācīgu iekšējo novērtējumu par to, ka sagaidāma pilnīga atmaksa</w:t>
      </w:r>
      <w:r w:rsidRPr="0087216D">
        <w:rPr>
          <w:rStyle w:val="FootnoteReference"/>
          <w:rFonts w:cs="Arial"/>
          <w:szCs w:val="20"/>
        </w:rPr>
        <w:footnoteReference w:id="14"/>
      </w:r>
      <w:r>
        <w:t xml:space="preserve">, un 2) atbilstoša iekšējās pārvaldības struktūra (piemēram, risku direktors vai risku komiteja) pēc veiktā iekšējā novērtējuma pienācīgas pārraudzības sniegusi apstiprinājumu. Uzraudzītajai iestādei tabulā jānorāda kopējās summas, apvienojot riska darījumus ar līdzīgām iezīmēm (piemēram, visu INRD, kuri nodrošināti ar nekustamo īpašumu vai mājokļa kredītu, kurus garantē atbilstošs aizsardzības devējs, kuru gadījumā maksājums ir maz ticams, kuri nav </w:t>
      </w:r>
      <w:r>
        <w:lastRenderedPageBreak/>
        <w:t>pārskatīti, kuru gadījumā nav parādu savstarpējās ietekmes efekta un kuru kopējais seguma līmenis nepārsniedz 100 %, riska darījumu vērtība).</w:t>
      </w:r>
    </w:p>
    <w:p w14:paraId="4BC75561" w14:textId="4954B4D9" w:rsidR="00123150" w:rsidRPr="00676D80" w:rsidRDefault="009D3140" w:rsidP="004961C4">
      <w:pPr>
        <w:jc w:val="both"/>
        <w:rPr>
          <w:rFonts w:cs="Arial"/>
          <w:szCs w:val="20"/>
        </w:rPr>
      </w:pPr>
      <w:r>
        <w:t>Konkrēti norādījumi par 2. lapu sniegti tālāk. Jāievēro sekojošais.</w:t>
      </w:r>
    </w:p>
    <w:p w14:paraId="421E2DC5" w14:textId="64FD108B" w:rsidR="00123150" w:rsidRPr="001B0CE4" w:rsidRDefault="00123150" w:rsidP="00123150">
      <w:pPr>
        <w:pStyle w:val="ListParagraph"/>
        <w:numPr>
          <w:ilvl w:val="0"/>
          <w:numId w:val="39"/>
        </w:numPr>
        <w:jc w:val="both"/>
        <w:rPr>
          <w:rFonts w:cs="Arial"/>
          <w:b/>
          <w:bCs/>
          <w:szCs w:val="20"/>
        </w:rPr>
      </w:pPr>
      <w:r>
        <w:rPr>
          <w:b/>
        </w:rPr>
        <w:t xml:space="preserve">Informācija par visiem INRD, uz kuriem attiecas šo norādījumu 1. iedaļā aprakstītās uzraudzības seguma gaidas, jāsniedz 1. lapā. Ja iestāde ierosina konkrētu riska darījumu uzskatīt par izņēmumu un attiecīgi sniedz par to informāciju 2. lapā, tas </w:t>
      </w:r>
      <w:r>
        <w:rPr>
          <w:b/>
          <w:u w:val="single"/>
        </w:rPr>
        <w:t>nenozīmē</w:t>
      </w:r>
      <w:r>
        <w:rPr>
          <w:b/>
        </w:rPr>
        <w:t xml:space="preserve">, ka tā var nesniegt informāciju par šo riska darījumu 1. lapā. </w:t>
      </w:r>
    </w:p>
    <w:p w14:paraId="3127A150" w14:textId="19214367" w:rsidR="009D3140" w:rsidRPr="00676D80" w:rsidRDefault="000B505B" w:rsidP="003D3BFC">
      <w:pPr>
        <w:pStyle w:val="ListParagraph"/>
        <w:numPr>
          <w:ilvl w:val="0"/>
          <w:numId w:val="39"/>
        </w:numPr>
        <w:jc w:val="both"/>
        <w:rPr>
          <w:rFonts w:cs="Arial"/>
          <w:szCs w:val="20"/>
        </w:rPr>
      </w:pPr>
      <w:r>
        <w:rPr>
          <w:b/>
        </w:rPr>
        <w:t>NKI novērtēs un, iespējams, piešķirs izņēmuma statusu tikai tādos gadījumos, ja būs pilnībā un pareizi aizpildīti visi attiecīgie 2. lapas lauki.</w:t>
      </w:r>
    </w:p>
    <w:p w14:paraId="58644118" w14:textId="77777777" w:rsidR="009D3140" w:rsidRPr="0087216D" w:rsidRDefault="009D3140" w:rsidP="009D3140">
      <w:pPr>
        <w:spacing w:before="0" w:after="0" w:line="240" w:lineRule="auto"/>
        <w:rPr>
          <w:rFonts w:cs="Arial"/>
          <w:szCs w:val="20"/>
        </w:rPr>
      </w:pPr>
      <w:r>
        <w:br w:type="page"/>
      </w:r>
    </w:p>
    <w:p w14:paraId="1922170E" w14:textId="77777777" w:rsidR="009D3140" w:rsidRPr="0087216D" w:rsidRDefault="009D3140" w:rsidP="009D3140">
      <w:pPr>
        <w:rPr>
          <w:rFonts w:cs="Arial"/>
          <w:szCs w:val="20"/>
        </w:rPr>
      </w:pPr>
      <w:r>
        <w:lastRenderedPageBreak/>
        <w:t xml:space="preserve">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8843"/>
      </w:tblGrid>
      <w:tr w:rsidR="00D37CBA" w:rsidRPr="0087216D" w14:paraId="72E745FF" w14:textId="77777777" w:rsidTr="00676D80">
        <w:tc>
          <w:tcPr>
            <w:tcW w:w="10031" w:type="dxa"/>
            <w:gridSpan w:val="2"/>
            <w:tcBorders>
              <w:top w:val="single" w:sz="4" w:space="0" w:color="auto"/>
              <w:left w:val="single" w:sz="4" w:space="0" w:color="auto"/>
              <w:bottom w:val="single" w:sz="4" w:space="0" w:color="auto"/>
              <w:right w:val="single" w:sz="4" w:space="0" w:color="auto"/>
            </w:tcBorders>
          </w:tcPr>
          <w:p w14:paraId="6AA5BA41" w14:textId="2F41864E" w:rsidR="00D37CBA" w:rsidRPr="00676D80" w:rsidRDefault="00D37CBA" w:rsidP="00FB7961">
            <w:pPr>
              <w:rPr>
                <w:rFonts w:cs="Arial"/>
                <w:b/>
                <w:bCs/>
                <w:szCs w:val="20"/>
              </w:rPr>
            </w:pPr>
            <w:r>
              <w:rPr>
                <w:b/>
              </w:rPr>
              <w:t xml:space="preserve">DAĻA, KAS JĀAIZPILDA UZRAUDZĪTAJAI IESTĀDEI </w:t>
            </w:r>
          </w:p>
        </w:tc>
      </w:tr>
      <w:tr w:rsidR="009D3140" w:rsidRPr="0087216D" w14:paraId="40AB95AC" w14:textId="77777777" w:rsidTr="00676D80">
        <w:tc>
          <w:tcPr>
            <w:tcW w:w="1188" w:type="dxa"/>
            <w:tcBorders>
              <w:top w:val="single" w:sz="4" w:space="0" w:color="auto"/>
              <w:left w:val="single" w:sz="4" w:space="0" w:color="auto"/>
              <w:bottom w:val="single" w:sz="4" w:space="0" w:color="auto"/>
              <w:right w:val="single" w:sz="4" w:space="0" w:color="auto"/>
            </w:tcBorders>
            <w:hideMark/>
          </w:tcPr>
          <w:p w14:paraId="4BDB25B0" w14:textId="77777777" w:rsidR="009D3140" w:rsidRPr="0087216D" w:rsidRDefault="009D3140" w:rsidP="00FB7961">
            <w:pPr>
              <w:rPr>
                <w:rFonts w:cs="Arial"/>
                <w:szCs w:val="20"/>
              </w:rPr>
            </w:pPr>
            <w:r>
              <w:t>Aile</w:t>
            </w:r>
          </w:p>
        </w:tc>
        <w:tc>
          <w:tcPr>
            <w:tcW w:w="8843" w:type="dxa"/>
            <w:tcBorders>
              <w:top w:val="single" w:sz="4" w:space="0" w:color="auto"/>
              <w:left w:val="single" w:sz="4" w:space="0" w:color="auto"/>
              <w:bottom w:val="single" w:sz="4" w:space="0" w:color="auto"/>
              <w:right w:val="single" w:sz="4" w:space="0" w:color="auto"/>
            </w:tcBorders>
            <w:hideMark/>
          </w:tcPr>
          <w:p w14:paraId="3141B438" w14:textId="77777777" w:rsidR="009D3140" w:rsidRPr="0087216D" w:rsidRDefault="009D3140" w:rsidP="00FB7961">
            <w:pPr>
              <w:rPr>
                <w:rFonts w:cs="Arial"/>
                <w:szCs w:val="20"/>
              </w:rPr>
            </w:pPr>
            <w:r>
              <w:t>Norādījumi</w:t>
            </w:r>
          </w:p>
        </w:tc>
      </w:tr>
      <w:tr w:rsidR="009D3140" w:rsidRPr="0087216D" w14:paraId="08288FFC" w14:textId="77777777" w:rsidTr="00FB7961">
        <w:tc>
          <w:tcPr>
            <w:tcW w:w="1188" w:type="dxa"/>
            <w:tcBorders>
              <w:top w:val="single" w:sz="4" w:space="0" w:color="auto"/>
              <w:left w:val="single" w:sz="4" w:space="0" w:color="auto"/>
              <w:bottom w:val="single" w:sz="4" w:space="0" w:color="auto"/>
              <w:right w:val="single" w:sz="4" w:space="0" w:color="auto"/>
            </w:tcBorders>
          </w:tcPr>
          <w:p w14:paraId="1199AC59" w14:textId="77777777" w:rsidR="009D3140" w:rsidRPr="0087216D" w:rsidRDefault="009D3140" w:rsidP="00FB7961">
            <w:pPr>
              <w:rPr>
                <w:rFonts w:cs="Arial"/>
                <w:szCs w:val="20"/>
              </w:rPr>
            </w:pPr>
            <w:r>
              <w:t>020</w:t>
            </w:r>
          </w:p>
        </w:tc>
        <w:tc>
          <w:tcPr>
            <w:tcW w:w="8843" w:type="dxa"/>
            <w:tcBorders>
              <w:top w:val="single" w:sz="4" w:space="0" w:color="auto"/>
              <w:left w:val="single" w:sz="4" w:space="0" w:color="auto"/>
              <w:bottom w:val="single" w:sz="4" w:space="0" w:color="auto"/>
              <w:right w:val="single" w:sz="4" w:space="0" w:color="auto"/>
            </w:tcBorders>
          </w:tcPr>
          <w:p w14:paraId="4F758309" w14:textId="77777777" w:rsidR="009D3140" w:rsidRPr="0087216D" w:rsidRDefault="009D3140" w:rsidP="00FB7961">
            <w:pPr>
              <w:rPr>
                <w:rFonts w:cs="Arial"/>
                <w:b/>
                <w:szCs w:val="20"/>
                <w:u w:val="single"/>
              </w:rPr>
            </w:pPr>
            <w:r>
              <w:rPr>
                <w:b/>
                <w:u w:val="single"/>
              </w:rPr>
              <w:t>Segments</w:t>
            </w:r>
          </w:p>
          <w:p w14:paraId="6A30CCA7" w14:textId="77777777" w:rsidR="009D3140" w:rsidRPr="0087216D" w:rsidRDefault="009D3140" w:rsidP="00FB7961">
            <w:pPr>
              <w:rPr>
                <w:rFonts w:cs="Arial"/>
                <w:szCs w:val="20"/>
              </w:rPr>
            </w:pPr>
            <w:r>
              <w:t xml:space="preserve">Katru ierosināto izņēmumu attiecina uz vienu no šiem darījuma partneru segmentiem atbilstoši EBI ĪTS sniegtajai definīcijai. </w:t>
            </w:r>
          </w:p>
          <w:p w14:paraId="6D282172" w14:textId="77777777" w:rsidR="009D3140" w:rsidRPr="0087216D" w:rsidRDefault="009D3140" w:rsidP="00FB7961">
            <w:pPr>
              <w:pStyle w:val="ListParagraph"/>
              <w:numPr>
                <w:ilvl w:val="0"/>
                <w:numId w:val="12"/>
              </w:numPr>
              <w:rPr>
                <w:rFonts w:cs="Arial"/>
                <w:szCs w:val="20"/>
              </w:rPr>
            </w:pPr>
            <w:r>
              <w:t xml:space="preserve">Mājsaimniecības – aizdevumi, kuri nodrošināti ar mājokļa nekustamo īpašumu </w:t>
            </w:r>
          </w:p>
          <w:p w14:paraId="3797F924" w14:textId="77777777" w:rsidR="009D3140" w:rsidRPr="0087216D" w:rsidRDefault="009D3140" w:rsidP="00FB7961">
            <w:pPr>
              <w:pStyle w:val="ListParagraph"/>
              <w:numPr>
                <w:ilvl w:val="0"/>
                <w:numId w:val="12"/>
              </w:numPr>
              <w:rPr>
                <w:rFonts w:cs="Arial"/>
                <w:szCs w:val="20"/>
              </w:rPr>
            </w:pPr>
            <w:r>
              <w:t>Mājsaimniecības – patēriņa kredīti</w:t>
            </w:r>
          </w:p>
          <w:p w14:paraId="5C3DB51D" w14:textId="77777777" w:rsidR="009D3140" w:rsidRPr="0087216D" w:rsidRDefault="009D3140" w:rsidP="00FB7961">
            <w:pPr>
              <w:pStyle w:val="ListParagraph"/>
              <w:numPr>
                <w:ilvl w:val="0"/>
                <w:numId w:val="12"/>
              </w:numPr>
              <w:rPr>
                <w:rFonts w:cs="Arial"/>
                <w:szCs w:val="20"/>
              </w:rPr>
            </w:pPr>
            <w:r>
              <w:t>Mājsaimniecības – citi aizdevumi</w:t>
            </w:r>
          </w:p>
          <w:p w14:paraId="465A0DF9" w14:textId="77777777" w:rsidR="009D3140" w:rsidRPr="0087216D" w:rsidRDefault="009D3140" w:rsidP="00FB7961">
            <w:pPr>
              <w:pStyle w:val="ListParagraph"/>
              <w:numPr>
                <w:ilvl w:val="0"/>
                <w:numId w:val="12"/>
              </w:numPr>
              <w:rPr>
                <w:rFonts w:cs="Arial"/>
                <w:szCs w:val="20"/>
              </w:rPr>
            </w:pPr>
            <w:r>
              <w:t xml:space="preserve">Nefinanšu sabiedrības – MVU </w:t>
            </w:r>
          </w:p>
          <w:p w14:paraId="07D6EDA4" w14:textId="77777777" w:rsidR="009D3140" w:rsidRPr="0087216D" w:rsidRDefault="009D3140" w:rsidP="00FB7961">
            <w:pPr>
              <w:pStyle w:val="ListParagraph"/>
              <w:numPr>
                <w:ilvl w:val="0"/>
                <w:numId w:val="12"/>
              </w:numPr>
              <w:rPr>
                <w:rFonts w:cs="Arial"/>
                <w:szCs w:val="20"/>
              </w:rPr>
            </w:pPr>
            <w:r>
              <w:t xml:space="preserve">Nefinanšu sabiedrības – aizdevumi, kas nodrošināti ar komerciālo nekustamo īpašumu </w:t>
            </w:r>
          </w:p>
          <w:p w14:paraId="5B675A6F" w14:textId="77777777" w:rsidR="009D3140" w:rsidRPr="0087216D" w:rsidRDefault="009D3140" w:rsidP="00FB7961">
            <w:pPr>
              <w:pStyle w:val="ListParagraph"/>
              <w:numPr>
                <w:ilvl w:val="0"/>
                <w:numId w:val="12"/>
              </w:numPr>
              <w:rPr>
                <w:rFonts w:cs="Arial"/>
                <w:szCs w:val="20"/>
              </w:rPr>
            </w:pPr>
            <w:r>
              <w:t>Nefinanšu sabiedrības – citi</w:t>
            </w:r>
          </w:p>
          <w:p w14:paraId="27053476" w14:textId="77777777" w:rsidR="009D3140" w:rsidRPr="0087216D" w:rsidRDefault="009D3140" w:rsidP="00FB7961">
            <w:pPr>
              <w:pStyle w:val="ListParagraph"/>
              <w:numPr>
                <w:ilvl w:val="0"/>
                <w:numId w:val="12"/>
              </w:numPr>
              <w:rPr>
                <w:rFonts w:cs="Arial"/>
                <w:szCs w:val="20"/>
              </w:rPr>
            </w:pPr>
            <w:r>
              <w:t>Citas finanšu sabiedrības</w:t>
            </w:r>
          </w:p>
          <w:p w14:paraId="0DBA4812" w14:textId="77777777" w:rsidR="009D3140" w:rsidRPr="0087216D" w:rsidRDefault="009D3140" w:rsidP="00FB7961">
            <w:pPr>
              <w:pStyle w:val="ListParagraph"/>
              <w:numPr>
                <w:ilvl w:val="0"/>
                <w:numId w:val="12"/>
              </w:numPr>
              <w:rPr>
                <w:rFonts w:cs="Arial"/>
                <w:szCs w:val="20"/>
              </w:rPr>
            </w:pPr>
            <w:r>
              <w:t>Kredītiestādes</w:t>
            </w:r>
          </w:p>
          <w:p w14:paraId="3E6B8CAB" w14:textId="77777777" w:rsidR="009D3140" w:rsidRPr="0087216D" w:rsidRDefault="009D3140" w:rsidP="00FB7961">
            <w:pPr>
              <w:pStyle w:val="ListParagraph"/>
              <w:numPr>
                <w:ilvl w:val="0"/>
                <w:numId w:val="12"/>
              </w:numPr>
              <w:rPr>
                <w:rFonts w:cs="Arial"/>
                <w:szCs w:val="20"/>
              </w:rPr>
            </w:pPr>
            <w:r>
              <w:t>Vispārējās valdības</w:t>
            </w:r>
          </w:p>
          <w:p w14:paraId="3F004374" w14:textId="77777777" w:rsidR="009D3140" w:rsidRPr="0087216D" w:rsidRDefault="009D3140" w:rsidP="00FB7961">
            <w:pPr>
              <w:rPr>
                <w:rFonts w:cs="Arial"/>
                <w:szCs w:val="20"/>
              </w:rPr>
            </w:pPr>
          </w:p>
        </w:tc>
      </w:tr>
      <w:tr w:rsidR="009D3140" w:rsidRPr="0087216D" w14:paraId="145E4CBB" w14:textId="77777777" w:rsidTr="00FB7961">
        <w:tc>
          <w:tcPr>
            <w:tcW w:w="1188" w:type="dxa"/>
            <w:tcBorders>
              <w:top w:val="single" w:sz="4" w:space="0" w:color="auto"/>
              <w:left w:val="single" w:sz="4" w:space="0" w:color="auto"/>
              <w:bottom w:val="single" w:sz="4" w:space="0" w:color="auto"/>
              <w:right w:val="single" w:sz="4" w:space="0" w:color="auto"/>
            </w:tcBorders>
          </w:tcPr>
          <w:p w14:paraId="17287E08" w14:textId="77777777" w:rsidR="009D3140" w:rsidRPr="0087216D" w:rsidRDefault="009D3140" w:rsidP="00FB7961">
            <w:pPr>
              <w:rPr>
                <w:rFonts w:cs="Arial"/>
                <w:szCs w:val="20"/>
              </w:rPr>
            </w:pPr>
            <w:r>
              <w:t>030</w:t>
            </w:r>
          </w:p>
        </w:tc>
        <w:tc>
          <w:tcPr>
            <w:tcW w:w="8843" w:type="dxa"/>
            <w:tcBorders>
              <w:top w:val="single" w:sz="4" w:space="0" w:color="auto"/>
              <w:left w:val="single" w:sz="4" w:space="0" w:color="auto"/>
              <w:bottom w:val="single" w:sz="4" w:space="0" w:color="auto"/>
              <w:right w:val="single" w:sz="4" w:space="0" w:color="auto"/>
            </w:tcBorders>
          </w:tcPr>
          <w:p w14:paraId="0777B753" w14:textId="77777777" w:rsidR="009D3140" w:rsidRPr="0087216D" w:rsidRDefault="009D3140" w:rsidP="00FB7961">
            <w:pPr>
              <w:rPr>
                <w:rFonts w:cs="Arial"/>
                <w:b/>
                <w:szCs w:val="20"/>
                <w:u w:val="single"/>
              </w:rPr>
            </w:pPr>
            <w:r>
              <w:rPr>
                <w:b/>
                <w:u w:val="single"/>
              </w:rPr>
              <w:t>Maz ticams maksājums (jā/nē)</w:t>
            </w:r>
          </w:p>
          <w:p w14:paraId="16C0AA65" w14:textId="77777777" w:rsidR="009D3140" w:rsidRPr="0087216D" w:rsidRDefault="009D3140" w:rsidP="00FB7961">
            <w:pPr>
              <w:rPr>
                <w:rFonts w:cs="Arial"/>
                <w:szCs w:val="20"/>
              </w:rPr>
            </w:pPr>
            <w:r>
              <w:t>Lūdzam norādīt, vai tiek uzskatīts, ka saskaņā ar CRR 178. panta 1. un 3. punktu un EBI pamatnostādņu par Regulas (ES) No. 575/2013 178. pantā ietvertās saistību neizpildes definīcijas piemērošanu 5. iedaļu ierosinātais izņēmums saistīts ar maz ticamu maksājumu (MTM) (iespējamu parādnieka nespēju samaksāt parādu)</w:t>
            </w:r>
            <w:r w:rsidRPr="0087216D">
              <w:rPr>
                <w:rStyle w:val="FootnoteReference"/>
                <w:rFonts w:cs="Arial"/>
                <w:szCs w:val="20"/>
              </w:rPr>
              <w:footnoteReference w:id="15"/>
            </w:r>
            <w:r>
              <w:t xml:space="preserve">. </w:t>
            </w:r>
          </w:p>
          <w:p w14:paraId="7855A3DA" w14:textId="77777777" w:rsidR="009D3140" w:rsidRPr="0087216D" w:rsidRDefault="009D3140" w:rsidP="00FB7961">
            <w:pPr>
              <w:rPr>
                <w:rFonts w:cs="Arial"/>
                <w:b/>
                <w:szCs w:val="20"/>
                <w:u w:val="single"/>
              </w:rPr>
            </w:pPr>
          </w:p>
          <w:p w14:paraId="087BE71F" w14:textId="77777777" w:rsidR="009D3140" w:rsidRPr="0087216D" w:rsidRDefault="009D3140" w:rsidP="00FB7961">
            <w:pPr>
              <w:rPr>
                <w:rFonts w:cs="Arial"/>
                <w:b/>
                <w:szCs w:val="20"/>
                <w:u w:val="single"/>
              </w:rPr>
            </w:pPr>
          </w:p>
        </w:tc>
      </w:tr>
      <w:tr w:rsidR="009D3140" w:rsidRPr="0087216D" w14:paraId="6B7C9FF6" w14:textId="77777777" w:rsidTr="00FB7961">
        <w:tc>
          <w:tcPr>
            <w:tcW w:w="1188" w:type="dxa"/>
            <w:tcBorders>
              <w:top w:val="single" w:sz="4" w:space="0" w:color="auto"/>
              <w:left w:val="single" w:sz="4" w:space="0" w:color="auto"/>
              <w:bottom w:val="single" w:sz="4" w:space="0" w:color="auto"/>
              <w:right w:val="single" w:sz="4" w:space="0" w:color="auto"/>
            </w:tcBorders>
          </w:tcPr>
          <w:p w14:paraId="00B26BD1" w14:textId="77777777" w:rsidR="009D3140" w:rsidRPr="0087216D" w:rsidRDefault="009D3140" w:rsidP="00FB7961">
            <w:pPr>
              <w:rPr>
                <w:rFonts w:cs="Arial"/>
                <w:szCs w:val="20"/>
              </w:rPr>
            </w:pPr>
            <w:r>
              <w:t>040</w:t>
            </w:r>
          </w:p>
        </w:tc>
        <w:tc>
          <w:tcPr>
            <w:tcW w:w="8843" w:type="dxa"/>
            <w:tcBorders>
              <w:top w:val="single" w:sz="4" w:space="0" w:color="auto"/>
              <w:left w:val="single" w:sz="4" w:space="0" w:color="auto"/>
              <w:bottom w:val="single" w:sz="4" w:space="0" w:color="auto"/>
              <w:right w:val="single" w:sz="4" w:space="0" w:color="auto"/>
            </w:tcBorders>
          </w:tcPr>
          <w:p w14:paraId="57DEE826" w14:textId="77777777" w:rsidR="009D3140" w:rsidRPr="0087216D" w:rsidRDefault="009D3140" w:rsidP="00FB7961">
            <w:pPr>
              <w:rPr>
                <w:rFonts w:cs="Arial"/>
                <w:b/>
                <w:szCs w:val="20"/>
                <w:u w:val="single"/>
              </w:rPr>
            </w:pPr>
            <w:r>
              <w:rPr>
                <w:b/>
                <w:u w:val="single"/>
              </w:rPr>
              <w:t>Pārskatīšana (jā/nē)</w:t>
            </w:r>
          </w:p>
          <w:p w14:paraId="1D7CCEA1" w14:textId="77777777" w:rsidR="009D3140" w:rsidRPr="0087216D" w:rsidRDefault="009D3140" w:rsidP="00FB7961">
            <w:pPr>
              <w:rPr>
                <w:rFonts w:cs="Arial"/>
                <w:szCs w:val="20"/>
              </w:rPr>
            </w:pPr>
            <w:r>
              <w:t>Lūdzam norādīt, vai saistībā ar ierosināto izņēmumu piemēroti pārskatīšanas pasākumi saskaņā ar CRR 47.b pantu.</w:t>
            </w:r>
          </w:p>
          <w:p w14:paraId="580FA6BE" w14:textId="77777777" w:rsidR="009D3140" w:rsidRPr="0087216D" w:rsidRDefault="009D3140" w:rsidP="00FB7961">
            <w:pPr>
              <w:rPr>
                <w:rFonts w:cs="Arial"/>
                <w:b/>
                <w:szCs w:val="20"/>
                <w:u w:val="single"/>
              </w:rPr>
            </w:pPr>
          </w:p>
        </w:tc>
      </w:tr>
      <w:tr w:rsidR="009D3140" w:rsidRPr="0087216D" w14:paraId="7AE2AB21" w14:textId="77777777" w:rsidTr="00FB7961">
        <w:tc>
          <w:tcPr>
            <w:tcW w:w="1188" w:type="dxa"/>
            <w:tcBorders>
              <w:top w:val="single" w:sz="4" w:space="0" w:color="auto"/>
              <w:left w:val="single" w:sz="4" w:space="0" w:color="auto"/>
              <w:bottom w:val="single" w:sz="4" w:space="0" w:color="auto"/>
              <w:right w:val="single" w:sz="4" w:space="0" w:color="auto"/>
            </w:tcBorders>
          </w:tcPr>
          <w:p w14:paraId="27119183" w14:textId="77777777" w:rsidR="009D3140" w:rsidRPr="0087216D" w:rsidRDefault="009D3140" w:rsidP="00FB7961">
            <w:pPr>
              <w:rPr>
                <w:rFonts w:cs="Arial"/>
                <w:szCs w:val="20"/>
              </w:rPr>
            </w:pPr>
            <w:r>
              <w:t>050</w:t>
            </w:r>
          </w:p>
        </w:tc>
        <w:tc>
          <w:tcPr>
            <w:tcW w:w="8843" w:type="dxa"/>
            <w:tcBorders>
              <w:top w:val="single" w:sz="4" w:space="0" w:color="auto"/>
              <w:left w:val="single" w:sz="4" w:space="0" w:color="auto"/>
              <w:bottom w:val="single" w:sz="4" w:space="0" w:color="auto"/>
              <w:right w:val="single" w:sz="4" w:space="0" w:color="auto"/>
            </w:tcBorders>
          </w:tcPr>
          <w:p w14:paraId="68080CDA" w14:textId="77777777" w:rsidR="009D3140" w:rsidRPr="0087216D" w:rsidRDefault="009D3140" w:rsidP="00FB7961">
            <w:pPr>
              <w:rPr>
                <w:rFonts w:cs="Arial"/>
                <w:b/>
                <w:szCs w:val="20"/>
                <w:u w:val="single"/>
              </w:rPr>
            </w:pPr>
            <w:r>
              <w:rPr>
                <w:b/>
                <w:u w:val="single"/>
              </w:rPr>
              <w:t>Parādu savstarpējās ietekmes efekts (jā/nē)</w:t>
            </w:r>
          </w:p>
          <w:p w14:paraId="6F0530A6" w14:textId="3C1F0D8C" w:rsidR="009D3140" w:rsidRDefault="009D3140" w:rsidP="00FB7961">
            <w:pPr>
              <w:rPr>
                <w:rFonts w:cs="Arial"/>
                <w:szCs w:val="20"/>
              </w:rPr>
            </w:pPr>
            <w:r>
              <w:t xml:space="preserve">Lūdzu, norādiet, vai šā ierosinātā izņēmuma aptvertie riska darījumi klasificēti kā ienākumus nenesoši "parādu savstarpējās ietekmes efekta" dēļ. Parādu savstarpējās ietekmes efekts </w:t>
            </w:r>
            <w:r>
              <w:lastRenderedPageBreak/>
              <w:t xml:space="preserve">attiecas uz gadījumu, kad iestādei ir bilancē iekļauti riska darījumi ar parādnieku, kuri kavēti par vairāk nekā 90 dienām un kuri veido vairāk nekā 20 % no visiem bilancē iekļautajiem riska darījumiem ar minēto parādnieku. Šajā gadījumā visus bilancē iekļautos un ārpusbilances riska darījumus ar minēto parādnieku uzskata par ienākumus nenesošiem (CRR 47.a panta 3. punkts un ĪTS regulas (Regula 2021/451) V pielikuma 227. punkts). Jāiekļauj arī riska darījumi, kuri klasificēti kā ienākumus nenesoši riska darījumi ar debitora pieeju saistītās domino ietekmes dēļ (t. i., situācijas, kurās konkrēta riska darījuma klasificēšana par ienākumus nenesošu riska darījumu novestu pie tā, ka visi riska darījumi ar šo parādnieku tiek klasificēti kā INRD). </w:t>
            </w:r>
          </w:p>
          <w:p w14:paraId="54EF497A" w14:textId="513EDBB1" w:rsidR="0098799B" w:rsidRPr="0087216D" w:rsidRDefault="0098799B" w:rsidP="00FB7961">
            <w:pPr>
              <w:rPr>
                <w:rFonts w:cs="Arial"/>
                <w:b/>
                <w:szCs w:val="20"/>
                <w:u w:val="single"/>
              </w:rPr>
            </w:pPr>
          </w:p>
        </w:tc>
      </w:tr>
      <w:tr w:rsidR="009D3140" w:rsidRPr="0087216D" w14:paraId="20BFD4AA" w14:textId="77777777" w:rsidTr="00FB7961">
        <w:tc>
          <w:tcPr>
            <w:tcW w:w="1188" w:type="dxa"/>
            <w:tcBorders>
              <w:top w:val="single" w:sz="4" w:space="0" w:color="auto"/>
              <w:left w:val="single" w:sz="4" w:space="0" w:color="auto"/>
              <w:bottom w:val="single" w:sz="4" w:space="0" w:color="auto"/>
              <w:right w:val="single" w:sz="4" w:space="0" w:color="auto"/>
            </w:tcBorders>
          </w:tcPr>
          <w:p w14:paraId="64CBFAB6" w14:textId="77777777" w:rsidR="009D3140" w:rsidRPr="0087216D" w:rsidRDefault="009D3140" w:rsidP="00FB7961">
            <w:pPr>
              <w:rPr>
                <w:rFonts w:cs="Arial"/>
                <w:szCs w:val="20"/>
              </w:rPr>
            </w:pPr>
            <w:r>
              <w:lastRenderedPageBreak/>
              <w:t>060</w:t>
            </w:r>
          </w:p>
        </w:tc>
        <w:tc>
          <w:tcPr>
            <w:tcW w:w="8843" w:type="dxa"/>
            <w:tcBorders>
              <w:top w:val="single" w:sz="4" w:space="0" w:color="auto"/>
              <w:left w:val="single" w:sz="4" w:space="0" w:color="auto"/>
              <w:bottom w:val="single" w:sz="4" w:space="0" w:color="auto"/>
              <w:right w:val="single" w:sz="4" w:space="0" w:color="auto"/>
            </w:tcBorders>
          </w:tcPr>
          <w:p w14:paraId="005DFD59" w14:textId="77777777" w:rsidR="009D3140" w:rsidRPr="0087216D" w:rsidRDefault="009D3140" w:rsidP="00FB7961">
            <w:pPr>
              <w:rPr>
                <w:rFonts w:cs="Arial"/>
                <w:b/>
                <w:szCs w:val="20"/>
                <w:u w:val="single"/>
              </w:rPr>
            </w:pPr>
            <w:r>
              <w:rPr>
                <w:b/>
                <w:u w:val="single"/>
              </w:rPr>
              <w:t>Apvienojumā ar 1. pīlāra kredītriska prasībām riska darījuma segums pārsniedz 100 %</w:t>
            </w:r>
          </w:p>
          <w:p w14:paraId="30CD0205" w14:textId="77777777" w:rsidR="009D3140" w:rsidRPr="0087216D" w:rsidRDefault="009D3140" w:rsidP="00FB7961">
            <w:pPr>
              <w:rPr>
                <w:rFonts w:cs="Arial"/>
                <w:szCs w:val="20"/>
              </w:rPr>
            </w:pPr>
            <w:r>
              <w:t>Lūdzam norādīt, vai, piemērojot uzraudzības gaidas, INRD segums apvienojumā ar 1. pīlāra kredītriska prasībām pārsniegtu 100 %.</w:t>
            </w:r>
          </w:p>
          <w:p w14:paraId="43D3469F" w14:textId="77777777" w:rsidR="009D3140" w:rsidRPr="0087216D" w:rsidRDefault="009D3140" w:rsidP="00FB7961">
            <w:pPr>
              <w:rPr>
                <w:rFonts w:cs="Arial"/>
                <w:szCs w:val="20"/>
              </w:rPr>
            </w:pPr>
            <w:r>
              <w:t>Šajā kohortā jāuzrāda tikai tādi riska darījumi, attiecībā uz kuriem nav izpildīti citi izņēmuma kritēriji (piemēram, tehniska garantija).</w:t>
            </w:r>
          </w:p>
          <w:p w14:paraId="1B490A98" w14:textId="77777777" w:rsidR="009D3140" w:rsidRPr="0087216D" w:rsidRDefault="009D3140" w:rsidP="00FB7961">
            <w:pPr>
              <w:rPr>
                <w:rFonts w:cs="Arial"/>
                <w:szCs w:val="20"/>
              </w:rPr>
            </w:pPr>
            <w:r>
              <w:t>Rindās, kurās norādīts "jā", lūdzam sniegt informāciju saistībā ar 1. pīlāra kredītriska kapitāla prasībām 200. ailē, kā arī 010.–110. ailē.</w:t>
            </w:r>
          </w:p>
          <w:p w14:paraId="5C2831F9" w14:textId="77777777" w:rsidR="009D3140" w:rsidRPr="0087216D" w:rsidRDefault="009D3140" w:rsidP="00FB7961">
            <w:pPr>
              <w:rPr>
                <w:rFonts w:cs="Arial"/>
                <w:szCs w:val="20"/>
              </w:rPr>
            </w:pPr>
            <w:r>
              <w:t>Citas ailes, izņemot iepriekš minētās, nav jāaizpilda.</w:t>
            </w:r>
          </w:p>
          <w:p w14:paraId="076DF795" w14:textId="77777777" w:rsidR="009D3140" w:rsidRPr="0087216D" w:rsidRDefault="009D3140" w:rsidP="00FB7961">
            <w:pPr>
              <w:rPr>
                <w:rFonts w:cs="Arial"/>
                <w:b/>
                <w:szCs w:val="20"/>
                <w:u w:val="single"/>
              </w:rPr>
            </w:pPr>
          </w:p>
        </w:tc>
      </w:tr>
      <w:tr w:rsidR="009D3140" w:rsidRPr="0087216D" w14:paraId="6A7F0BE8" w14:textId="77777777" w:rsidTr="00FB7961">
        <w:tc>
          <w:tcPr>
            <w:tcW w:w="1188" w:type="dxa"/>
            <w:tcBorders>
              <w:top w:val="single" w:sz="4" w:space="0" w:color="auto"/>
              <w:left w:val="single" w:sz="4" w:space="0" w:color="auto"/>
              <w:bottom w:val="single" w:sz="4" w:space="0" w:color="auto"/>
              <w:right w:val="single" w:sz="4" w:space="0" w:color="auto"/>
            </w:tcBorders>
          </w:tcPr>
          <w:p w14:paraId="7A4E46CF" w14:textId="77777777" w:rsidR="009D3140" w:rsidRPr="0087216D" w:rsidRDefault="009D3140" w:rsidP="00FB7961">
            <w:pPr>
              <w:rPr>
                <w:rFonts w:cs="Arial"/>
                <w:szCs w:val="20"/>
              </w:rPr>
            </w:pPr>
            <w:r>
              <w:t>061</w:t>
            </w:r>
          </w:p>
        </w:tc>
        <w:tc>
          <w:tcPr>
            <w:tcW w:w="8843" w:type="dxa"/>
            <w:tcBorders>
              <w:top w:val="single" w:sz="4" w:space="0" w:color="auto"/>
              <w:left w:val="single" w:sz="4" w:space="0" w:color="auto"/>
              <w:bottom w:val="single" w:sz="4" w:space="0" w:color="auto"/>
              <w:right w:val="single" w:sz="4" w:space="0" w:color="auto"/>
            </w:tcBorders>
          </w:tcPr>
          <w:p w14:paraId="27FF773A" w14:textId="77777777" w:rsidR="009D3140" w:rsidRPr="0087216D" w:rsidRDefault="009D3140" w:rsidP="00FB7961">
            <w:pPr>
              <w:rPr>
                <w:rFonts w:cs="Arial"/>
                <w:b/>
                <w:szCs w:val="20"/>
                <w:u w:val="single"/>
              </w:rPr>
            </w:pPr>
            <w:r>
              <w:rPr>
                <w:b/>
                <w:u w:val="single"/>
              </w:rPr>
              <w:t>Tehniskās garantijas</w:t>
            </w:r>
          </w:p>
          <w:p w14:paraId="30C8667C" w14:textId="68420982" w:rsidR="009D3140" w:rsidRDefault="009D3140" w:rsidP="00FB7961">
            <w:pPr>
              <w:rPr>
                <w:rFonts w:cs="Arial"/>
                <w:bCs/>
                <w:szCs w:val="20"/>
              </w:rPr>
            </w:pPr>
            <w:r>
              <w:t xml:space="preserve">Lūdzam norādīt, vai ierosināto izņēmumu veido tehniska garantija saskaņā ar sadaļā "Kritēriji informācijas sniegšanai par izņēmumiem" sniegto definīciju. Par tehniskajām garantijām lūdzam sniegt </w:t>
            </w:r>
            <w:r>
              <w:rPr>
                <w:b/>
              </w:rPr>
              <w:t>tikai</w:t>
            </w:r>
            <w:r>
              <w:t xml:space="preserve"> datus, kas attiecas uz mainīgajiem lielumiem "Riska darījuma vērtība" (070. aile), "Kopējie uzkrājumi un korekcijas vai atskaitījumi (ar ierobežojumu)" (090. aile), "Kopējās minimālā seguma gaidas" (100. aile) un "Iekļauto riska darījumu skaits" (190. aile).</w:t>
            </w:r>
          </w:p>
          <w:p w14:paraId="0E8DA1A6" w14:textId="1D1F421B" w:rsidR="0098799B" w:rsidRPr="0087216D" w:rsidRDefault="0098799B" w:rsidP="00FB7961">
            <w:pPr>
              <w:rPr>
                <w:rFonts w:cs="Arial"/>
                <w:bCs/>
                <w:szCs w:val="20"/>
              </w:rPr>
            </w:pPr>
          </w:p>
        </w:tc>
      </w:tr>
      <w:tr w:rsidR="009D3140" w:rsidRPr="0087216D" w14:paraId="30537F03" w14:textId="77777777" w:rsidTr="00FB7961">
        <w:tc>
          <w:tcPr>
            <w:tcW w:w="10031" w:type="dxa"/>
            <w:gridSpan w:val="2"/>
            <w:tcBorders>
              <w:top w:val="single" w:sz="4" w:space="0" w:color="auto"/>
              <w:left w:val="single" w:sz="4" w:space="0" w:color="auto"/>
              <w:bottom w:val="single" w:sz="4" w:space="0" w:color="auto"/>
              <w:right w:val="single" w:sz="4" w:space="0" w:color="auto"/>
            </w:tcBorders>
          </w:tcPr>
          <w:p w14:paraId="26F8C2BC" w14:textId="77777777" w:rsidR="009D3140" w:rsidRPr="0087216D" w:rsidRDefault="009D3140" w:rsidP="00FB7961">
            <w:pPr>
              <w:jc w:val="center"/>
              <w:rPr>
                <w:rFonts w:cs="Arial"/>
                <w:b/>
                <w:szCs w:val="20"/>
                <w:u w:val="single"/>
              </w:rPr>
            </w:pPr>
            <w:r>
              <w:rPr>
                <w:b/>
                <w:u w:val="single"/>
              </w:rPr>
              <w:t>Katrai iepriekš minēto elementu kombinācijai (atspoguļo 020.–061. ailē) jāsniedz šādu mainīgo lielumu kopējā vērtība:</w:t>
            </w:r>
          </w:p>
        </w:tc>
      </w:tr>
      <w:tr w:rsidR="009D3140" w:rsidRPr="0087216D" w14:paraId="5BE95B6E" w14:textId="77777777" w:rsidTr="00FB7961">
        <w:tc>
          <w:tcPr>
            <w:tcW w:w="1188" w:type="dxa"/>
            <w:tcBorders>
              <w:top w:val="single" w:sz="4" w:space="0" w:color="auto"/>
              <w:left w:val="single" w:sz="4" w:space="0" w:color="auto"/>
              <w:bottom w:val="single" w:sz="4" w:space="0" w:color="auto"/>
              <w:right w:val="single" w:sz="4" w:space="0" w:color="auto"/>
            </w:tcBorders>
          </w:tcPr>
          <w:p w14:paraId="0E3C7254" w14:textId="77777777" w:rsidR="009D3140" w:rsidRPr="0087216D" w:rsidRDefault="009D3140" w:rsidP="00FB7961">
            <w:pPr>
              <w:rPr>
                <w:rFonts w:cs="Arial"/>
                <w:szCs w:val="20"/>
              </w:rPr>
            </w:pPr>
            <w:r>
              <w:t>070</w:t>
            </w:r>
          </w:p>
        </w:tc>
        <w:tc>
          <w:tcPr>
            <w:tcW w:w="8843" w:type="dxa"/>
            <w:tcBorders>
              <w:top w:val="single" w:sz="4" w:space="0" w:color="auto"/>
              <w:left w:val="single" w:sz="4" w:space="0" w:color="auto"/>
              <w:bottom w:val="single" w:sz="4" w:space="0" w:color="auto"/>
              <w:right w:val="single" w:sz="4" w:space="0" w:color="auto"/>
            </w:tcBorders>
          </w:tcPr>
          <w:p w14:paraId="3FFACAFF" w14:textId="77777777" w:rsidR="009D3140" w:rsidRPr="0087216D" w:rsidRDefault="009D3140" w:rsidP="00FB7961">
            <w:pPr>
              <w:rPr>
                <w:rFonts w:cs="Arial"/>
                <w:b/>
                <w:szCs w:val="20"/>
                <w:u w:val="single"/>
              </w:rPr>
            </w:pPr>
            <w:r>
              <w:rPr>
                <w:b/>
                <w:u w:val="single"/>
              </w:rPr>
              <w:t>Riska darījuma vērtība</w:t>
            </w:r>
          </w:p>
          <w:p w14:paraId="134A613F" w14:textId="77777777" w:rsidR="009D3140" w:rsidRPr="0087216D" w:rsidRDefault="009D3140" w:rsidP="00FB7961">
            <w:pPr>
              <w:rPr>
                <w:rFonts w:cs="Arial"/>
                <w:szCs w:val="20"/>
              </w:rPr>
            </w:pPr>
            <w:r>
              <w:t>Riska darījuma vērtība ir tā uzskaites vērtība, kas aprēķināta, neņemot vērā nevienu no CRR 47.a panta 2. punktā minētajām specifiskajām korekcijām.</w:t>
            </w:r>
          </w:p>
          <w:p w14:paraId="7C0EB958" w14:textId="3D9A34D2" w:rsidR="009D3140" w:rsidRPr="0087216D" w:rsidRDefault="009D3140" w:rsidP="00FB7961">
            <w:pPr>
              <w:rPr>
                <w:rFonts w:cs="Arial"/>
                <w:b/>
                <w:szCs w:val="20"/>
                <w:u w:val="single"/>
              </w:rPr>
            </w:pPr>
            <w:r>
              <w:t>Vērtību norāda euro.</w:t>
            </w:r>
          </w:p>
        </w:tc>
      </w:tr>
      <w:tr w:rsidR="009D3140" w:rsidRPr="0087216D" w14:paraId="696CFE2A" w14:textId="77777777" w:rsidTr="00FB7961">
        <w:tc>
          <w:tcPr>
            <w:tcW w:w="1188" w:type="dxa"/>
            <w:tcBorders>
              <w:top w:val="single" w:sz="4" w:space="0" w:color="auto"/>
              <w:left w:val="single" w:sz="4" w:space="0" w:color="auto"/>
              <w:bottom w:val="single" w:sz="4" w:space="0" w:color="auto"/>
              <w:right w:val="single" w:sz="4" w:space="0" w:color="auto"/>
            </w:tcBorders>
          </w:tcPr>
          <w:p w14:paraId="22656B8C" w14:textId="77777777" w:rsidR="009D3140" w:rsidRPr="0087216D" w:rsidRDefault="009D3140" w:rsidP="00FB7961">
            <w:pPr>
              <w:rPr>
                <w:rFonts w:cs="Arial"/>
                <w:szCs w:val="20"/>
              </w:rPr>
            </w:pPr>
            <w:r>
              <w:t>080</w:t>
            </w:r>
          </w:p>
        </w:tc>
        <w:tc>
          <w:tcPr>
            <w:tcW w:w="8843" w:type="dxa"/>
            <w:tcBorders>
              <w:top w:val="single" w:sz="4" w:space="0" w:color="auto"/>
              <w:left w:val="single" w:sz="4" w:space="0" w:color="auto"/>
              <w:bottom w:val="single" w:sz="4" w:space="0" w:color="auto"/>
              <w:right w:val="single" w:sz="4" w:space="0" w:color="auto"/>
            </w:tcBorders>
          </w:tcPr>
          <w:p w14:paraId="27DB9282" w14:textId="77777777" w:rsidR="009D3140" w:rsidRPr="0087216D" w:rsidRDefault="009D3140" w:rsidP="00FB7961">
            <w:pPr>
              <w:rPr>
                <w:rFonts w:cs="Arial"/>
                <w:b/>
                <w:szCs w:val="20"/>
                <w:u w:val="single"/>
              </w:rPr>
            </w:pPr>
            <w:r>
              <w:rPr>
                <w:b/>
                <w:u w:val="single"/>
              </w:rPr>
              <w:t>Specifiskās kredītriska korekcijas</w:t>
            </w:r>
          </w:p>
          <w:p w14:paraId="2D9044FE" w14:textId="252D70E1" w:rsidR="009D3140" w:rsidRPr="00054605" w:rsidRDefault="009D3140" w:rsidP="00FB7961">
            <w:pPr>
              <w:rPr>
                <w:rFonts w:cs="Arial"/>
                <w:szCs w:val="20"/>
              </w:rPr>
            </w:pPr>
            <w:r>
              <w:lastRenderedPageBreak/>
              <w:t>Lūdzam norādīt specifisko kredītriska korekciju kopējo vērtību (saskaņā ar CRR 47.c panta 1. punkta b) apakšpunkta i) punktu), kas saistītas ar ierosinātā izņēmuma riska darījumiem. Vērtību norāda euro un uzrāda un ar pozitīvu zīmi.</w:t>
            </w:r>
          </w:p>
          <w:p w14:paraId="2F8A585F" w14:textId="77777777" w:rsidR="009D3140" w:rsidRPr="0087216D" w:rsidRDefault="009D3140" w:rsidP="00113062">
            <w:pPr>
              <w:rPr>
                <w:rFonts w:cs="Arial"/>
                <w:b/>
                <w:szCs w:val="20"/>
                <w:u w:val="single"/>
              </w:rPr>
            </w:pPr>
          </w:p>
        </w:tc>
      </w:tr>
      <w:tr w:rsidR="009D3140" w:rsidRPr="0087216D" w14:paraId="1B46C742" w14:textId="77777777" w:rsidTr="00FB7961">
        <w:tc>
          <w:tcPr>
            <w:tcW w:w="1188" w:type="dxa"/>
            <w:tcBorders>
              <w:top w:val="single" w:sz="4" w:space="0" w:color="auto"/>
              <w:left w:val="single" w:sz="4" w:space="0" w:color="auto"/>
              <w:bottom w:val="single" w:sz="4" w:space="0" w:color="auto"/>
              <w:right w:val="single" w:sz="4" w:space="0" w:color="auto"/>
            </w:tcBorders>
          </w:tcPr>
          <w:p w14:paraId="155F804E" w14:textId="77777777" w:rsidR="009D3140" w:rsidRPr="0087216D" w:rsidRDefault="009D3140" w:rsidP="00FB7961">
            <w:pPr>
              <w:rPr>
                <w:rFonts w:cs="Arial"/>
                <w:szCs w:val="20"/>
              </w:rPr>
            </w:pPr>
            <w:r>
              <w:lastRenderedPageBreak/>
              <w:t>090</w:t>
            </w:r>
          </w:p>
        </w:tc>
        <w:tc>
          <w:tcPr>
            <w:tcW w:w="8843" w:type="dxa"/>
            <w:tcBorders>
              <w:top w:val="single" w:sz="4" w:space="0" w:color="auto"/>
              <w:left w:val="single" w:sz="4" w:space="0" w:color="auto"/>
              <w:bottom w:val="single" w:sz="4" w:space="0" w:color="auto"/>
              <w:right w:val="single" w:sz="4" w:space="0" w:color="auto"/>
            </w:tcBorders>
          </w:tcPr>
          <w:p w14:paraId="0BC9EB28" w14:textId="77777777" w:rsidR="009D3140" w:rsidRPr="0087216D" w:rsidRDefault="009D3140" w:rsidP="00FB7961">
            <w:pPr>
              <w:rPr>
                <w:rFonts w:cs="Arial"/>
                <w:b/>
                <w:szCs w:val="20"/>
                <w:u w:val="single"/>
              </w:rPr>
            </w:pPr>
            <w:r>
              <w:rPr>
                <w:b/>
                <w:u w:val="single"/>
              </w:rPr>
              <w:t>Kopējie uzkrājumi un korekcijas vai atskaitījumi (ar ierobežojumu)</w:t>
            </w:r>
          </w:p>
          <w:p w14:paraId="5C4F278F" w14:textId="10BC701B" w:rsidR="009D3140" w:rsidRPr="0087216D" w:rsidRDefault="009D3140" w:rsidP="00FB7961">
            <w:pPr>
              <w:rPr>
                <w:rFonts w:cs="Arial"/>
                <w:szCs w:val="20"/>
              </w:rPr>
            </w:pPr>
            <w:r>
              <w:t xml:space="preserve">Vispirms uzraudzītās iestādes aprēķina kopējos uzkrājumus un korekcijas vai atskaitījumus </w:t>
            </w:r>
            <w:r>
              <w:rPr>
                <w:i/>
                <w:iCs/>
              </w:rPr>
              <w:t>(bez ierobežojuma)</w:t>
            </w:r>
            <w:r>
              <w:t>, kas atbilst atsevišķiem riska darījumiem</w:t>
            </w:r>
            <w:r w:rsidRPr="0087216D">
              <w:rPr>
                <w:rStyle w:val="FootnoteReference"/>
                <w:rFonts w:cs="Arial"/>
                <w:szCs w:val="20"/>
              </w:rPr>
              <w:footnoteReference w:id="16"/>
            </w:r>
            <w:r>
              <w:t xml:space="preserve">, summējot CRR 47.c panta 1. punkta b) apakšpunktā norādītos posteņus. </w:t>
            </w:r>
          </w:p>
          <w:p w14:paraId="63AD8478" w14:textId="51A6BE09" w:rsidR="009D3140" w:rsidRPr="0087216D" w:rsidRDefault="009D3140" w:rsidP="00FB7961">
            <w:pPr>
              <w:rPr>
                <w:rFonts w:cs="Arial"/>
                <w:szCs w:val="20"/>
              </w:rPr>
            </w:pPr>
            <w:r>
              <w:t xml:space="preserve">Lai iegūtu ierobežotās vērtības, uzraudzītās iestādes aprēķina kopējos uzkrājumus un korekcijas vai atskaitījumus, kas nepārsniedz minimālā seguma gaidas (ar ierobežojumu). Aprēķinus veic riska darījumu līmenī. </w:t>
            </w:r>
          </w:p>
          <w:p w14:paraId="12BFE289" w14:textId="77777777" w:rsidR="009D3140" w:rsidRPr="0087216D" w:rsidRDefault="009D3140" w:rsidP="00FB7961">
            <w:pPr>
              <w:rPr>
                <w:rFonts w:cs="Arial"/>
                <w:szCs w:val="20"/>
              </w:rPr>
            </w:pPr>
          </w:p>
          <w:bookmarkStart w:id="5" w:name="_Hlk213829165"/>
          <w:p w14:paraId="66626DAB" w14:textId="2212BB98" w:rsidR="009D3140" w:rsidRPr="0087216D" w:rsidRDefault="00802E0B" w:rsidP="00FB7961">
            <w:pPr>
              <w:pStyle w:val="ECBBodyText"/>
              <w:spacing w:line="240" w:lineRule="auto"/>
              <w:jc w:val="center"/>
              <w:rPr>
                <w:rFonts w:cs="Arial"/>
                <w:szCs w:val="20"/>
              </w:rPr>
            </w:pPr>
            <m:oMathPara>
              <m:oMathParaPr>
                <m:jc m:val="center"/>
              </m:oMathParaPr>
              <m:oMath>
                <m:sSubSup>
                  <m:sSubSupPr>
                    <m:ctrlPr>
                      <w:rPr>
                        <w:rFonts w:ascii="Cambria Math" w:hAnsi="Cambria Math" w:cs="Arial"/>
                        <w:i/>
                        <w:szCs w:val="20"/>
                      </w:rPr>
                    </m:ctrlPr>
                  </m:sSubSupPr>
                  <m:e>
                    <m:r>
                      <w:rPr>
                        <w:rFonts w:ascii="Cambria Math" w:hAnsi="Cambria Math" w:cs="Arial"/>
                        <w:szCs w:val="20"/>
                      </w:rPr>
                      <m:t>CC</m:t>
                    </m:r>
                  </m:e>
                  <m:sub>
                    <m:r>
                      <w:rPr>
                        <w:rFonts w:ascii="Cambria Math" w:hAnsi="Cambria Math" w:cs="Arial"/>
                        <w:szCs w:val="20"/>
                      </w:rPr>
                      <m:t>i</m:t>
                    </m:r>
                  </m:sub>
                  <m:sup>
                    <m:r>
                      <w:rPr>
                        <w:rFonts w:ascii="Cambria Math" w:hAnsi="Cambria Math" w:cs="Arial"/>
                        <w:szCs w:val="20"/>
                      </w:rPr>
                      <m:t>Nodrošināti</m:t>
                    </m:r>
                  </m:sup>
                </m:sSubSup>
                <m:r>
                  <m:rPr>
                    <m:sty m:val="p"/>
                  </m:rPr>
                  <w:rPr>
                    <w:rFonts w:ascii="Cambria Math" w:hAnsi="Cambria Math" w:cs="Arial"/>
                    <w:szCs w:val="20"/>
                  </w:rPr>
                  <m:t>=min⁡</m:t>
                </m:r>
                <m:d>
                  <m:dPr>
                    <m:ctrlPr>
                      <w:rPr>
                        <w:rFonts w:ascii="Cambria Math" w:hAnsi="Cambria Math" w:cs="Arial"/>
                        <w:i/>
                        <w:szCs w:val="20"/>
                      </w:rPr>
                    </m:ctrlPr>
                  </m:dPr>
                  <m:e>
                    <m:sSubSup>
                      <m:sSubSupPr>
                        <m:ctrlPr>
                          <w:rPr>
                            <w:rFonts w:ascii="Cambria Math" w:hAnsi="Cambria Math" w:cs="Arial"/>
                            <w:i/>
                            <w:szCs w:val="20"/>
                          </w:rPr>
                        </m:ctrlPr>
                      </m:sSubSupPr>
                      <m:e>
                        <m:r>
                          <w:rPr>
                            <w:rFonts w:ascii="Cambria Math" w:hAnsi="Cambria Math" w:cs="Arial"/>
                            <w:szCs w:val="20"/>
                          </w:rPr>
                          <m:t>C</m:t>
                        </m:r>
                      </m:e>
                      <m:sub>
                        <m:r>
                          <w:rPr>
                            <w:rFonts w:ascii="Cambria Math" w:hAnsi="Cambria Math" w:cs="Arial"/>
                            <w:szCs w:val="20"/>
                          </w:rPr>
                          <m:t>i</m:t>
                        </m:r>
                      </m:sub>
                      <m:sup>
                        <m:r>
                          <w:rPr>
                            <w:rFonts w:ascii="Cambria Math" w:hAnsi="Cambria Math" w:cs="Arial"/>
                            <w:szCs w:val="20"/>
                          </w:rPr>
                          <m:t>Nodrošināti</m:t>
                        </m:r>
                      </m:sup>
                    </m:sSubSup>
                    <m:r>
                      <w:rPr>
                        <w:rFonts w:ascii="Cambria Math" w:hAnsi="Cambria Math" w:cs="Arial"/>
                        <w:szCs w:val="20"/>
                      </w:rPr>
                      <m:t>,</m:t>
                    </m:r>
                    <m:sSubSup>
                      <m:sSubSupPr>
                        <m:ctrlPr>
                          <w:rPr>
                            <w:rFonts w:ascii="Cambria Math" w:hAnsi="Cambria Math" w:cs="Arial"/>
                            <w:i/>
                            <w:szCs w:val="20"/>
                          </w:rPr>
                        </m:ctrlPr>
                      </m:sSubSupPr>
                      <m:e>
                        <m:r>
                          <w:rPr>
                            <w:rFonts w:ascii="Cambria Math" w:hAnsi="Cambria Math" w:cs="Arial"/>
                            <w:szCs w:val="20"/>
                          </w:rPr>
                          <m:t>MCE</m:t>
                        </m:r>
                      </m:e>
                      <m:sub>
                        <m:r>
                          <w:rPr>
                            <w:rFonts w:ascii="Cambria Math" w:hAnsi="Cambria Math" w:cs="Arial"/>
                            <w:szCs w:val="20"/>
                          </w:rPr>
                          <m:t>i</m:t>
                        </m:r>
                      </m:sub>
                      <m:sup>
                        <m:r>
                          <w:rPr>
                            <w:rFonts w:ascii="Cambria Math" w:hAnsi="Cambria Math" w:cs="Arial"/>
                            <w:szCs w:val="20"/>
                          </w:rPr>
                          <m:t>Nodrošināti</m:t>
                        </m:r>
                      </m:sup>
                    </m:sSubSup>
                  </m:e>
                </m:d>
              </m:oMath>
            </m:oMathPara>
          </w:p>
          <w:bookmarkEnd w:id="5"/>
          <w:p w14:paraId="69163965" w14:textId="77777777" w:rsidR="009D3140" w:rsidRPr="0087216D" w:rsidRDefault="009D3140" w:rsidP="00FB7961">
            <w:pPr>
              <w:pStyle w:val="ECBBodyText"/>
              <w:spacing w:line="240" w:lineRule="auto"/>
              <w:jc w:val="center"/>
              <w:rPr>
                <w:rFonts w:cs="Arial"/>
                <w:szCs w:val="20"/>
              </w:rPr>
            </w:pPr>
          </w:p>
          <w:bookmarkStart w:id="6" w:name="_Hlk213829173"/>
          <w:p w14:paraId="14A4D6B3" w14:textId="7FB48917" w:rsidR="009D3140" w:rsidRPr="0087216D" w:rsidRDefault="00802E0B" w:rsidP="00FB7961">
            <w:pPr>
              <w:pStyle w:val="ECBBodyText"/>
              <w:spacing w:line="240" w:lineRule="auto"/>
              <w:jc w:val="center"/>
              <w:rPr>
                <w:rFonts w:cs="Arial"/>
                <w:szCs w:val="20"/>
              </w:rPr>
            </w:pPr>
            <m:oMathPara>
              <m:oMathParaPr>
                <m:jc m:val="center"/>
              </m:oMathParaPr>
              <m:oMath>
                <m:func>
                  <m:funcPr>
                    <m:ctrlPr>
                      <w:rPr>
                        <w:rFonts w:ascii="Cambria Math" w:hAnsi="Cambria Math" w:cs="Arial"/>
                        <w:szCs w:val="20"/>
                      </w:rPr>
                    </m:ctrlPr>
                  </m:funcPr>
                  <m:fName>
                    <m:sSubSup>
                      <m:sSubSupPr>
                        <m:ctrlPr>
                          <w:rPr>
                            <w:rFonts w:ascii="Cambria Math" w:hAnsi="Cambria Math" w:cs="Arial"/>
                            <w:i/>
                            <w:szCs w:val="20"/>
                          </w:rPr>
                        </m:ctrlPr>
                      </m:sSubSupPr>
                      <m:e>
                        <m:r>
                          <w:rPr>
                            <w:rFonts w:ascii="Cambria Math" w:hAnsi="Cambria Math" w:cs="Arial"/>
                            <w:szCs w:val="20"/>
                          </w:rPr>
                          <m:t>CC</m:t>
                        </m:r>
                      </m:e>
                      <m:sub>
                        <m:r>
                          <w:rPr>
                            <w:rFonts w:ascii="Cambria Math" w:hAnsi="Cambria Math" w:cs="Arial"/>
                            <w:szCs w:val="20"/>
                          </w:rPr>
                          <m:t>i</m:t>
                        </m:r>
                      </m:sub>
                      <m:sup>
                        <m:r>
                          <w:rPr>
                            <w:rFonts w:ascii="Cambria Math" w:hAnsi="Cambria Math" w:cs="Arial"/>
                            <w:szCs w:val="20"/>
                          </w:rPr>
                          <m:t>Nenodrošināti</m:t>
                        </m:r>
                      </m:sup>
                    </m:sSubSup>
                    <m:r>
                      <m:rPr>
                        <m:sty m:val="p"/>
                      </m:rPr>
                      <w:rPr>
                        <w:rFonts w:ascii="Cambria Math" w:hAnsi="Cambria Math" w:cs="Arial"/>
                        <w:szCs w:val="20"/>
                      </w:rPr>
                      <m:t>=min</m:t>
                    </m:r>
                    <m:ctrlPr>
                      <w:rPr>
                        <w:rFonts w:ascii="Cambria Math" w:hAnsi="Cambria Math" w:cs="Arial"/>
                        <w:i/>
                        <w:szCs w:val="20"/>
                      </w:rPr>
                    </m:ctrlPr>
                  </m:fName>
                  <m:e>
                    <m:d>
                      <m:dPr>
                        <m:ctrlPr>
                          <w:rPr>
                            <w:rFonts w:ascii="Cambria Math" w:hAnsi="Cambria Math" w:cs="Arial"/>
                            <w:i/>
                            <w:szCs w:val="20"/>
                          </w:rPr>
                        </m:ctrlPr>
                      </m:dPr>
                      <m:e>
                        <m:sSubSup>
                          <m:sSubSupPr>
                            <m:ctrlPr>
                              <w:rPr>
                                <w:rFonts w:ascii="Cambria Math" w:hAnsi="Cambria Math" w:cs="Arial"/>
                                <w:i/>
                                <w:szCs w:val="20"/>
                              </w:rPr>
                            </m:ctrlPr>
                          </m:sSubSupPr>
                          <m:e>
                            <m:r>
                              <w:rPr>
                                <w:rFonts w:ascii="Cambria Math" w:hAnsi="Cambria Math" w:cs="Arial"/>
                                <w:szCs w:val="20"/>
                              </w:rPr>
                              <m:t>C</m:t>
                            </m:r>
                          </m:e>
                          <m:sub>
                            <m:r>
                              <w:rPr>
                                <w:rFonts w:ascii="Cambria Math" w:hAnsi="Cambria Math" w:cs="Arial"/>
                                <w:szCs w:val="20"/>
                              </w:rPr>
                              <m:t>i</m:t>
                            </m:r>
                          </m:sub>
                          <m:sup>
                            <m:r>
                              <w:rPr>
                                <w:rFonts w:ascii="Cambria Math" w:hAnsi="Cambria Math" w:cs="Arial"/>
                                <w:szCs w:val="20"/>
                              </w:rPr>
                              <m:t>Nenodrošināti</m:t>
                            </m:r>
                          </m:sup>
                        </m:sSubSup>
                        <m:r>
                          <w:rPr>
                            <w:rFonts w:ascii="Cambria Math" w:hAnsi="Cambria Math" w:cs="Arial"/>
                            <w:szCs w:val="20"/>
                          </w:rPr>
                          <m:t>,</m:t>
                        </m:r>
                        <m:sSubSup>
                          <m:sSubSupPr>
                            <m:ctrlPr>
                              <w:rPr>
                                <w:rFonts w:ascii="Cambria Math" w:hAnsi="Cambria Math" w:cs="Arial"/>
                                <w:i/>
                                <w:szCs w:val="20"/>
                              </w:rPr>
                            </m:ctrlPr>
                          </m:sSubSupPr>
                          <m:e>
                            <m:r>
                              <w:rPr>
                                <w:rFonts w:ascii="Cambria Math" w:hAnsi="Cambria Math" w:cs="Arial"/>
                                <w:szCs w:val="20"/>
                              </w:rPr>
                              <m:t>MCE</m:t>
                            </m:r>
                          </m:e>
                          <m:sub>
                            <m:r>
                              <w:rPr>
                                <w:rFonts w:ascii="Cambria Math" w:hAnsi="Cambria Math" w:cs="Arial"/>
                                <w:szCs w:val="20"/>
                              </w:rPr>
                              <m:t>i</m:t>
                            </m:r>
                          </m:sub>
                          <m:sup>
                            <m:r>
                              <w:rPr>
                                <w:rFonts w:ascii="Cambria Math" w:hAnsi="Cambria Math" w:cs="Arial"/>
                                <w:szCs w:val="20"/>
                              </w:rPr>
                              <m:t>Nenodrošināti</m:t>
                            </m:r>
                          </m:sup>
                        </m:sSubSup>
                      </m:e>
                    </m:d>
                  </m:e>
                </m:func>
              </m:oMath>
            </m:oMathPara>
          </w:p>
          <w:bookmarkEnd w:id="6"/>
          <w:p w14:paraId="12CD3FEF" w14:textId="77777777" w:rsidR="009D3140" w:rsidRPr="0087216D" w:rsidRDefault="009D3140" w:rsidP="00FB7961">
            <w:pPr>
              <w:rPr>
                <w:rFonts w:cs="Arial"/>
                <w:szCs w:val="20"/>
              </w:rPr>
            </w:pPr>
          </w:p>
          <w:p w14:paraId="671A826C" w14:textId="77777777" w:rsidR="009D3140" w:rsidRPr="0087216D" w:rsidRDefault="009D3140" w:rsidP="00FB7961">
            <w:pPr>
              <w:rPr>
                <w:rFonts w:cs="Arial"/>
                <w:szCs w:val="20"/>
              </w:rPr>
            </w:pPr>
            <w:r>
              <w:t>Tas nepieciešams, lai varētu summēt seguma iztrūkumus, neņemot vērā dažu riska darījumu iespējamo seguma pārpalikumu. Sk. arī šā dokumenta 2. iedaļu.</w:t>
            </w:r>
          </w:p>
          <w:p w14:paraId="7F0A57D3" w14:textId="77777777" w:rsidR="009D3140" w:rsidRPr="0087216D" w:rsidRDefault="009D3140" w:rsidP="00FB7961">
            <w:pPr>
              <w:rPr>
                <w:rFonts w:cs="Arial"/>
                <w:szCs w:val="20"/>
              </w:rPr>
            </w:pPr>
          </w:p>
          <w:p w14:paraId="46FAB6E2" w14:textId="03A02407" w:rsidR="009D3140" w:rsidRPr="0087216D" w:rsidRDefault="009D3140" w:rsidP="00676D80">
            <w:pPr>
              <w:rPr>
                <w:rFonts w:cs="Arial"/>
                <w:b/>
                <w:szCs w:val="20"/>
                <w:u w:val="single"/>
              </w:rPr>
            </w:pPr>
            <w:r>
              <w:t>Vērtību norāda euro un uzrāda un ar pozitīvu zīmi.</w:t>
            </w:r>
          </w:p>
        </w:tc>
      </w:tr>
      <w:tr w:rsidR="009D3140" w:rsidRPr="0087216D" w14:paraId="42C3B89E" w14:textId="77777777" w:rsidTr="00FB7961">
        <w:tc>
          <w:tcPr>
            <w:tcW w:w="1188" w:type="dxa"/>
            <w:tcBorders>
              <w:top w:val="single" w:sz="4" w:space="0" w:color="auto"/>
              <w:left w:val="single" w:sz="4" w:space="0" w:color="auto"/>
              <w:bottom w:val="single" w:sz="4" w:space="0" w:color="auto"/>
              <w:right w:val="single" w:sz="4" w:space="0" w:color="auto"/>
            </w:tcBorders>
          </w:tcPr>
          <w:p w14:paraId="0556E993" w14:textId="77777777" w:rsidR="009D3140" w:rsidRPr="0087216D" w:rsidRDefault="009D3140" w:rsidP="00FB7961">
            <w:pPr>
              <w:rPr>
                <w:rFonts w:cs="Arial"/>
                <w:szCs w:val="20"/>
              </w:rPr>
            </w:pPr>
            <w:r>
              <w:t>100</w:t>
            </w:r>
          </w:p>
        </w:tc>
        <w:tc>
          <w:tcPr>
            <w:tcW w:w="8843" w:type="dxa"/>
            <w:tcBorders>
              <w:top w:val="single" w:sz="4" w:space="0" w:color="auto"/>
              <w:left w:val="single" w:sz="4" w:space="0" w:color="auto"/>
              <w:bottom w:val="single" w:sz="4" w:space="0" w:color="auto"/>
              <w:right w:val="single" w:sz="4" w:space="0" w:color="auto"/>
            </w:tcBorders>
          </w:tcPr>
          <w:p w14:paraId="724B6186" w14:textId="77777777" w:rsidR="009D3140" w:rsidRPr="0087216D" w:rsidRDefault="009D3140" w:rsidP="00FB7961">
            <w:pPr>
              <w:rPr>
                <w:rFonts w:cs="Arial"/>
                <w:b/>
                <w:szCs w:val="20"/>
                <w:u w:val="single"/>
              </w:rPr>
            </w:pPr>
            <w:r>
              <w:rPr>
                <w:b/>
                <w:u w:val="single"/>
              </w:rPr>
              <w:t>Kopējās minimālā seguma gaidas</w:t>
            </w:r>
          </w:p>
          <w:p w14:paraId="20B80B21" w14:textId="7A194C2E" w:rsidR="009D3140" w:rsidRPr="0087216D" w:rsidRDefault="00347407" w:rsidP="00FB7961">
            <w:pPr>
              <w:rPr>
                <w:rFonts w:cs="Arial"/>
                <w:szCs w:val="20"/>
              </w:rPr>
            </w:pPr>
            <w:r>
              <w:t>Uzraudzītās iestādes piemēro seguma gaidas saskaņā ar ECB pamatnostādni par nacionālo kompetento iestāžu uzraudzības pieeju attiecībā uz mazāk nozīmīgu uzraudzīto iestāžu turēto ienākumus nenesošo riska darījumu segumu.</w:t>
            </w:r>
          </w:p>
          <w:p w14:paraId="0C44B440" w14:textId="6B5AF195" w:rsidR="009D3140" w:rsidRPr="0087216D" w:rsidRDefault="009D3140" w:rsidP="00676D80">
            <w:pPr>
              <w:rPr>
                <w:rFonts w:cs="Arial"/>
                <w:b/>
                <w:szCs w:val="20"/>
                <w:u w:val="single"/>
              </w:rPr>
            </w:pPr>
            <w:r>
              <w:t>Vērtību norāda euro. Summas norāda ar pozitīvu zīmi.</w:t>
            </w:r>
          </w:p>
        </w:tc>
      </w:tr>
      <w:tr w:rsidR="009D3140" w:rsidRPr="0087216D" w14:paraId="31FBCEED" w14:textId="77777777" w:rsidTr="00FB7961">
        <w:tc>
          <w:tcPr>
            <w:tcW w:w="1188" w:type="dxa"/>
            <w:tcBorders>
              <w:top w:val="single" w:sz="4" w:space="0" w:color="auto"/>
              <w:left w:val="single" w:sz="4" w:space="0" w:color="auto"/>
              <w:bottom w:val="single" w:sz="4" w:space="0" w:color="auto"/>
              <w:right w:val="single" w:sz="4" w:space="0" w:color="auto"/>
            </w:tcBorders>
          </w:tcPr>
          <w:p w14:paraId="698E562B" w14:textId="77777777" w:rsidR="009D3140" w:rsidRPr="0087216D" w:rsidRDefault="009D3140" w:rsidP="00FB7961">
            <w:pPr>
              <w:rPr>
                <w:rFonts w:cs="Arial"/>
                <w:szCs w:val="20"/>
              </w:rPr>
            </w:pPr>
            <w:r>
              <w:t>110</w:t>
            </w:r>
          </w:p>
        </w:tc>
        <w:tc>
          <w:tcPr>
            <w:tcW w:w="8843" w:type="dxa"/>
            <w:tcBorders>
              <w:top w:val="single" w:sz="4" w:space="0" w:color="auto"/>
              <w:left w:val="single" w:sz="4" w:space="0" w:color="auto"/>
              <w:bottom w:val="single" w:sz="4" w:space="0" w:color="auto"/>
              <w:right w:val="single" w:sz="4" w:space="0" w:color="auto"/>
            </w:tcBorders>
          </w:tcPr>
          <w:p w14:paraId="148CA87C" w14:textId="77777777" w:rsidR="009D3140" w:rsidRPr="0087216D" w:rsidRDefault="009D3140" w:rsidP="00FB7961">
            <w:pPr>
              <w:rPr>
                <w:rFonts w:cs="Arial"/>
                <w:b/>
                <w:szCs w:val="20"/>
                <w:u w:val="single"/>
              </w:rPr>
            </w:pPr>
            <w:r>
              <w:rPr>
                <w:b/>
                <w:u w:val="single"/>
              </w:rPr>
              <w:t>Vidējais svērtais turēšanas ilgums</w:t>
            </w:r>
          </w:p>
          <w:p w14:paraId="73284FFF" w14:textId="45E7F517" w:rsidR="009D3140" w:rsidRPr="0087216D" w:rsidRDefault="009D3140" w:rsidP="00FB7961">
            <w:pPr>
              <w:rPr>
                <w:rFonts w:cs="Arial"/>
                <w:szCs w:val="20"/>
              </w:rPr>
            </w:pPr>
            <w:r>
              <w:t xml:space="preserve">Turēšanas ilgums ir periods (mēnešos), kas pagājis kopš riska darījums ticis klasificēts kā ienākumus nenesošs. Šajā ailē jāietver riska darījumu vidējais svērtais (svērts ar riska darījumu vērtību) turēšanas ilgums. </w:t>
            </w:r>
          </w:p>
          <w:p w14:paraId="6C91D741" w14:textId="77777777" w:rsidR="009D3140" w:rsidRPr="0087216D" w:rsidRDefault="009D3140" w:rsidP="00FB7961">
            <w:pPr>
              <w:rPr>
                <w:rFonts w:cs="Arial"/>
                <w:b/>
                <w:szCs w:val="20"/>
                <w:u w:val="single"/>
              </w:rPr>
            </w:pPr>
          </w:p>
        </w:tc>
      </w:tr>
      <w:tr w:rsidR="009D3140" w:rsidRPr="0087216D" w14:paraId="37B19099" w14:textId="77777777" w:rsidTr="00FB7961">
        <w:tc>
          <w:tcPr>
            <w:tcW w:w="1188" w:type="dxa"/>
            <w:tcBorders>
              <w:top w:val="single" w:sz="4" w:space="0" w:color="auto"/>
              <w:left w:val="single" w:sz="4" w:space="0" w:color="auto"/>
              <w:bottom w:val="single" w:sz="4" w:space="0" w:color="auto"/>
              <w:right w:val="single" w:sz="4" w:space="0" w:color="auto"/>
            </w:tcBorders>
          </w:tcPr>
          <w:p w14:paraId="243E2CBF" w14:textId="77777777" w:rsidR="009D3140" w:rsidRPr="0087216D" w:rsidRDefault="009D3140" w:rsidP="00FB7961">
            <w:pPr>
              <w:rPr>
                <w:rFonts w:cs="Arial"/>
                <w:szCs w:val="20"/>
              </w:rPr>
            </w:pPr>
            <w:r>
              <w:lastRenderedPageBreak/>
              <w:t>120</w:t>
            </w:r>
          </w:p>
        </w:tc>
        <w:tc>
          <w:tcPr>
            <w:tcW w:w="8843" w:type="dxa"/>
            <w:tcBorders>
              <w:top w:val="single" w:sz="4" w:space="0" w:color="auto"/>
              <w:left w:val="single" w:sz="4" w:space="0" w:color="auto"/>
              <w:bottom w:val="single" w:sz="4" w:space="0" w:color="auto"/>
              <w:right w:val="single" w:sz="4" w:space="0" w:color="auto"/>
            </w:tcBorders>
          </w:tcPr>
          <w:p w14:paraId="00475C47" w14:textId="77777777" w:rsidR="009D3140" w:rsidRPr="0087216D" w:rsidRDefault="009D3140" w:rsidP="00FB7961">
            <w:pPr>
              <w:rPr>
                <w:rFonts w:cs="Arial"/>
                <w:b/>
                <w:szCs w:val="20"/>
                <w:u w:val="single"/>
              </w:rPr>
            </w:pPr>
            <w:r>
              <w:rPr>
                <w:b/>
                <w:u w:val="single"/>
              </w:rPr>
              <w:t>Piešķirto pārskatīšanas pasākumu skaits (vidējais svērtais lielums)</w:t>
            </w:r>
          </w:p>
          <w:p w14:paraId="7629ABD2" w14:textId="1AF2C250" w:rsidR="009D3140" w:rsidRPr="0087216D" w:rsidRDefault="009D3140" w:rsidP="00676D80">
            <w:pPr>
              <w:rPr>
                <w:rFonts w:cs="Arial"/>
                <w:b/>
                <w:szCs w:val="20"/>
                <w:u w:val="single"/>
              </w:rPr>
            </w:pPr>
            <w:r>
              <w:t>Šajā ailē jāietver kopš rašanās piešķirto pārskatīšanas pasākumu vidējais svērtais (svērts ar riska darījumu vērtību) skaits.</w:t>
            </w:r>
          </w:p>
        </w:tc>
      </w:tr>
      <w:tr w:rsidR="009D3140" w:rsidRPr="0087216D" w14:paraId="4F8A88A1" w14:textId="77777777" w:rsidTr="00FB7961">
        <w:tc>
          <w:tcPr>
            <w:tcW w:w="1188" w:type="dxa"/>
            <w:tcBorders>
              <w:top w:val="single" w:sz="4" w:space="0" w:color="auto"/>
              <w:left w:val="single" w:sz="4" w:space="0" w:color="auto"/>
              <w:bottom w:val="single" w:sz="4" w:space="0" w:color="auto"/>
              <w:right w:val="single" w:sz="4" w:space="0" w:color="auto"/>
            </w:tcBorders>
          </w:tcPr>
          <w:p w14:paraId="32051A6B" w14:textId="77777777" w:rsidR="009D3140" w:rsidRPr="0087216D" w:rsidRDefault="009D3140" w:rsidP="00FB7961">
            <w:pPr>
              <w:rPr>
                <w:rFonts w:cs="Arial"/>
                <w:szCs w:val="20"/>
              </w:rPr>
            </w:pPr>
            <w:r>
              <w:t xml:space="preserve">130 </w:t>
            </w:r>
          </w:p>
        </w:tc>
        <w:tc>
          <w:tcPr>
            <w:tcW w:w="8843" w:type="dxa"/>
            <w:tcBorders>
              <w:top w:val="single" w:sz="4" w:space="0" w:color="auto"/>
              <w:left w:val="single" w:sz="4" w:space="0" w:color="auto"/>
              <w:bottom w:val="single" w:sz="4" w:space="0" w:color="auto"/>
              <w:right w:val="single" w:sz="4" w:space="0" w:color="auto"/>
            </w:tcBorders>
          </w:tcPr>
          <w:p w14:paraId="08D356BD" w14:textId="77777777" w:rsidR="009D3140" w:rsidRPr="0087216D" w:rsidRDefault="009D3140" w:rsidP="00FB7961">
            <w:pPr>
              <w:rPr>
                <w:rFonts w:cs="Arial"/>
                <w:b/>
                <w:szCs w:val="20"/>
                <w:u w:val="single"/>
              </w:rPr>
            </w:pPr>
            <w:r>
              <w:rPr>
                <w:b/>
                <w:u w:val="single"/>
              </w:rPr>
              <w:t>Laiks kopš pēdējā pārskatīšanas pasākuma īstenošanas (svērtais vidējais lielums)</w:t>
            </w:r>
          </w:p>
          <w:p w14:paraId="2C8398D2" w14:textId="6E15412A" w:rsidR="009D3140" w:rsidRPr="0087216D" w:rsidRDefault="009D3140" w:rsidP="00676D80">
            <w:pPr>
              <w:rPr>
                <w:rFonts w:cs="Arial"/>
                <w:b/>
                <w:szCs w:val="20"/>
                <w:u w:val="single"/>
              </w:rPr>
            </w:pPr>
            <w:r>
              <w:t>Šajā ailē jāietver vidējais svērtais (svērts ar riska darījumu vērtību) laiks mēnešos, kas pagājis kopš pēdējo pārskatīšanas pasākumu piešķiršanas.</w:t>
            </w:r>
          </w:p>
        </w:tc>
      </w:tr>
      <w:tr w:rsidR="009D3140" w:rsidRPr="0087216D" w14:paraId="36118743" w14:textId="77777777" w:rsidTr="00FB7961">
        <w:tc>
          <w:tcPr>
            <w:tcW w:w="1188" w:type="dxa"/>
            <w:tcBorders>
              <w:top w:val="single" w:sz="4" w:space="0" w:color="auto"/>
              <w:left w:val="single" w:sz="4" w:space="0" w:color="auto"/>
              <w:bottom w:val="single" w:sz="4" w:space="0" w:color="auto"/>
              <w:right w:val="single" w:sz="4" w:space="0" w:color="auto"/>
            </w:tcBorders>
          </w:tcPr>
          <w:p w14:paraId="10A86840" w14:textId="77777777" w:rsidR="009D3140" w:rsidRPr="0087216D" w:rsidRDefault="009D3140" w:rsidP="00FB7961">
            <w:pPr>
              <w:rPr>
                <w:rFonts w:cs="Arial"/>
                <w:szCs w:val="20"/>
              </w:rPr>
            </w:pPr>
            <w:r>
              <w:t>140</w:t>
            </w:r>
          </w:p>
        </w:tc>
        <w:tc>
          <w:tcPr>
            <w:tcW w:w="8843" w:type="dxa"/>
            <w:tcBorders>
              <w:top w:val="single" w:sz="4" w:space="0" w:color="auto"/>
              <w:left w:val="single" w:sz="4" w:space="0" w:color="auto"/>
              <w:bottom w:val="single" w:sz="4" w:space="0" w:color="auto"/>
              <w:right w:val="single" w:sz="4" w:space="0" w:color="auto"/>
            </w:tcBorders>
          </w:tcPr>
          <w:p w14:paraId="27B417F9" w14:textId="39AF21E3" w:rsidR="009D3140" w:rsidRPr="0087216D" w:rsidRDefault="009D3140" w:rsidP="00FB7961">
            <w:pPr>
              <w:rPr>
                <w:rFonts w:cs="Arial"/>
                <w:b/>
                <w:szCs w:val="20"/>
                <w:u w:val="single"/>
              </w:rPr>
            </w:pPr>
            <w:r>
              <w:rPr>
                <w:b/>
                <w:u w:val="single"/>
              </w:rPr>
              <w:t>Gada laikā atmaksājamās nenomaksātās pamatsummas procentuālā daļa (svērtais vidējais lielums)</w:t>
            </w:r>
          </w:p>
          <w:p w14:paraId="43087231" w14:textId="0EB3E1C0" w:rsidR="009D3140" w:rsidRPr="0087216D" w:rsidRDefault="00202C0E" w:rsidP="00FB7961">
            <w:pPr>
              <w:rPr>
                <w:rFonts w:cs="Arial"/>
                <w:b/>
                <w:szCs w:val="20"/>
                <w:u w:val="single"/>
              </w:rPr>
            </w:pPr>
            <w:r>
              <w:t>Šajā ailē jāietver līgumā noteikto viena gada laikā atmaksājamo pamatsummas maksājumu vidējā svērtā (svērta ar riska darījumu vērtību) procentuālā daļa no kopējās parāda summas. Konkrētāk, gadā pēc atsauces datuma (t+ 1 gads) tā atspoguļo attiecību starp līgumā paredzēto pamatsummas atmaksu un neatmaksāto riska darījumu vērtību atsauces datumā (kā uzrādīts 070. ailē). Šim aprēķinam jābalstās vienīgi uz līgumā noteiktajām naudas plūsmām, un tas jānorāda procentu punktos.</w:t>
            </w:r>
          </w:p>
        </w:tc>
      </w:tr>
      <w:tr w:rsidR="009D3140" w:rsidRPr="0087216D" w14:paraId="5AC66548" w14:textId="77777777" w:rsidTr="00FB7961">
        <w:tc>
          <w:tcPr>
            <w:tcW w:w="1188" w:type="dxa"/>
            <w:tcBorders>
              <w:top w:val="single" w:sz="4" w:space="0" w:color="auto"/>
              <w:left w:val="single" w:sz="4" w:space="0" w:color="auto"/>
              <w:bottom w:val="single" w:sz="4" w:space="0" w:color="auto"/>
              <w:right w:val="single" w:sz="4" w:space="0" w:color="auto"/>
            </w:tcBorders>
          </w:tcPr>
          <w:p w14:paraId="597ED76D" w14:textId="77777777" w:rsidR="009D3140" w:rsidRPr="0087216D" w:rsidRDefault="009D3140" w:rsidP="00FB7961">
            <w:pPr>
              <w:rPr>
                <w:rFonts w:cs="Arial"/>
                <w:szCs w:val="20"/>
              </w:rPr>
            </w:pPr>
            <w:r>
              <w:t>150</w:t>
            </w:r>
          </w:p>
        </w:tc>
        <w:tc>
          <w:tcPr>
            <w:tcW w:w="8843" w:type="dxa"/>
            <w:tcBorders>
              <w:top w:val="single" w:sz="4" w:space="0" w:color="auto"/>
              <w:left w:val="single" w:sz="4" w:space="0" w:color="auto"/>
              <w:bottom w:val="single" w:sz="4" w:space="0" w:color="auto"/>
              <w:right w:val="single" w:sz="4" w:space="0" w:color="auto"/>
            </w:tcBorders>
          </w:tcPr>
          <w:p w14:paraId="74456B5A" w14:textId="77777777" w:rsidR="00202C0E" w:rsidRPr="0089742C" w:rsidRDefault="00202C0E" w:rsidP="00202C0E">
            <w:pPr>
              <w:rPr>
                <w:rFonts w:cs="Arial"/>
                <w:b/>
                <w:szCs w:val="20"/>
                <w:u w:val="single"/>
              </w:rPr>
            </w:pPr>
            <w:r>
              <w:rPr>
                <w:b/>
                <w:u w:val="single"/>
              </w:rPr>
              <w:t>Gada laikā atmaksājamo nenomaksāto procentu maksājumu procentuālā daļa (svērtais vidējais lielums)</w:t>
            </w:r>
          </w:p>
          <w:p w14:paraId="75EE8738" w14:textId="4071DAC0" w:rsidR="009D3140" w:rsidRPr="0087216D" w:rsidRDefault="00202C0E" w:rsidP="00676D80">
            <w:pPr>
              <w:rPr>
                <w:rFonts w:cs="Arial"/>
                <w:b/>
                <w:szCs w:val="20"/>
                <w:u w:val="single"/>
              </w:rPr>
            </w:pPr>
            <w:r>
              <w:t>Šajā ailē jāietver līgumā noteikto viena gada laikā atmaksājamo procentu maksājumu vidējā svērtā (svērta ar riska darījumu vērtību) procentuālā daļa no kopējās maksājama procentu summas. Konkrētāk, gadā pēc atsauces datuma (t+ 1 gads) tā atspoguļo attiecību starp līgumā paredzēto procentu atmaksu un kopējo maksājamo procentu summu. Šim aprēķinam jābalstās vienīgi uz līgumā noteiktajām naudas plūsmām, un tas jānorāda procentu punktos.</w:t>
            </w:r>
          </w:p>
        </w:tc>
      </w:tr>
      <w:tr w:rsidR="009D3140" w:rsidRPr="0087216D" w14:paraId="7A435D91" w14:textId="77777777" w:rsidTr="00FB7961">
        <w:tc>
          <w:tcPr>
            <w:tcW w:w="1188" w:type="dxa"/>
            <w:tcBorders>
              <w:top w:val="single" w:sz="4" w:space="0" w:color="auto"/>
              <w:left w:val="single" w:sz="4" w:space="0" w:color="auto"/>
              <w:bottom w:val="single" w:sz="4" w:space="0" w:color="auto"/>
              <w:right w:val="single" w:sz="4" w:space="0" w:color="auto"/>
            </w:tcBorders>
          </w:tcPr>
          <w:p w14:paraId="08285167" w14:textId="77777777" w:rsidR="009D3140" w:rsidRPr="0087216D" w:rsidRDefault="009D3140" w:rsidP="00FB7961">
            <w:pPr>
              <w:rPr>
                <w:rFonts w:cs="Arial"/>
                <w:szCs w:val="20"/>
              </w:rPr>
            </w:pPr>
            <w:r>
              <w:t>160</w:t>
            </w:r>
          </w:p>
        </w:tc>
        <w:tc>
          <w:tcPr>
            <w:tcW w:w="8843" w:type="dxa"/>
            <w:tcBorders>
              <w:top w:val="single" w:sz="4" w:space="0" w:color="auto"/>
              <w:left w:val="single" w:sz="4" w:space="0" w:color="auto"/>
              <w:bottom w:val="single" w:sz="4" w:space="0" w:color="auto"/>
              <w:right w:val="single" w:sz="4" w:space="0" w:color="auto"/>
            </w:tcBorders>
          </w:tcPr>
          <w:p w14:paraId="0DC79285" w14:textId="3641EF6A" w:rsidR="009D3140" w:rsidRPr="0087216D" w:rsidRDefault="00B470CD" w:rsidP="00FB7961">
            <w:pPr>
              <w:rPr>
                <w:rFonts w:cs="Arial"/>
                <w:b/>
                <w:szCs w:val="20"/>
                <w:u w:val="single"/>
              </w:rPr>
            </w:pPr>
            <w:r w:rsidRPr="00B470CD">
              <w:rPr>
                <w:b/>
                <w:u w:val="single"/>
              </w:rPr>
              <w:t>Periods, kura laikā</w:t>
            </w:r>
            <w:r w:rsidR="009D3140">
              <w:rPr>
                <w:b/>
                <w:u w:val="single"/>
              </w:rPr>
              <w:t xml:space="preserve"> veikti pastāvīgie līguma maksājumi (saskaņā ar pēcpārskatīšanas nosacījumiem, ja tādi ir) (svērtais vidējais lielums)</w:t>
            </w:r>
          </w:p>
          <w:p w14:paraId="4CABEA2B" w14:textId="6AE1C034" w:rsidR="009D3140" w:rsidRPr="0087216D" w:rsidRDefault="009D3140" w:rsidP="00676D80">
            <w:pPr>
              <w:rPr>
                <w:rFonts w:cs="Arial"/>
                <w:b/>
                <w:szCs w:val="20"/>
                <w:u w:val="single"/>
              </w:rPr>
            </w:pPr>
            <w:r>
              <w:t xml:space="preserve">Šajā ailē jāietver vidējais svērtais (svērts ar riska darījumu vērtību) periods mēnešos, kura laikā pastāvīgi bez jebkāda pārtraukuma veikti līgumā noteiktie maksājumi, 1) nepārskatītu riska darījumu gadījumā – kopš tie pēdējo reizi klasificēti kā INRD un 2) pārskatītu riska darījumu gadījumā – kopš apstiprināts pēdējais pārskatīšanas pasākums. </w:t>
            </w:r>
          </w:p>
        </w:tc>
      </w:tr>
      <w:tr w:rsidR="009D3140" w:rsidRPr="0087216D" w14:paraId="0836B939" w14:textId="77777777" w:rsidTr="00FB7961">
        <w:tc>
          <w:tcPr>
            <w:tcW w:w="1188" w:type="dxa"/>
            <w:tcBorders>
              <w:top w:val="single" w:sz="4" w:space="0" w:color="auto"/>
              <w:left w:val="single" w:sz="4" w:space="0" w:color="auto"/>
              <w:bottom w:val="single" w:sz="4" w:space="0" w:color="auto"/>
              <w:right w:val="single" w:sz="4" w:space="0" w:color="auto"/>
            </w:tcBorders>
          </w:tcPr>
          <w:p w14:paraId="05697DBD" w14:textId="77777777" w:rsidR="009D3140" w:rsidRPr="0087216D" w:rsidRDefault="009D3140" w:rsidP="00FB7961">
            <w:pPr>
              <w:rPr>
                <w:rFonts w:cs="Arial"/>
                <w:szCs w:val="20"/>
              </w:rPr>
            </w:pPr>
            <w:r>
              <w:t>170</w:t>
            </w:r>
          </w:p>
        </w:tc>
        <w:tc>
          <w:tcPr>
            <w:tcW w:w="8843" w:type="dxa"/>
            <w:tcBorders>
              <w:top w:val="single" w:sz="4" w:space="0" w:color="auto"/>
              <w:left w:val="single" w:sz="4" w:space="0" w:color="auto"/>
              <w:bottom w:val="single" w:sz="4" w:space="0" w:color="auto"/>
              <w:right w:val="single" w:sz="4" w:space="0" w:color="auto"/>
            </w:tcBorders>
          </w:tcPr>
          <w:p w14:paraId="3B096B17" w14:textId="77777777" w:rsidR="009D3140" w:rsidRPr="0087216D" w:rsidRDefault="009D3140" w:rsidP="00FB7961">
            <w:pPr>
              <w:rPr>
                <w:rFonts w:cs="Arial"/>
                <w:b/>
                <w:szCs w:val="20"/>
                <w:u w:val="single"/>
              </w:rPr>
            </w:pPr>
            <w:r>
              <w:rPr>
                <w:b/>
                <w:u w:val="single"/>
              </w:rPr>
              <w:t>Atlikušais termiņš (vidējais svērtais lielums)</w:t>
            </w:r>
          </w:p>
          <w:p w14:paraId="735E2A5E" w14:textId="77777777" w:rsidR="009D3140" w:rsidRPr="0087216D" w:rsidRDefault="009D3140" w:rsidP="00FB7961">
            <w:pPr>
              <w:rPr>
                <w:rFonts w:cs="Arial"/>
                <w:szCs w:val="20"/>
              </w:rPr>
            </w:pPr>
            <w:r>
              <w:t>Šajā ailē jāietver vidējais svērtais (svērts ar riska darījumu vērtību) atlikušais termiņš mēnešos.</w:t>
            </w:r>
          </w:p>
          <w:p w14:paraId="7E8C5041" w14:textId="1A96C62D" w:rsidR="009D3140" w:rsidRPr="0087216D" w:rsidRDefault="009D3140" w:rsidP="00FB7961">
            <w:pPr>
              <w:rPr>
                <w:rFonts w:cs="Arial"/>
                <w:szCs w:val="20"/>
              </w:rPr>
            </w:pPr>
            <w:r>
              <w:t>Riska darījumus, kuriem nav līgumā noteikta termiņa, vai ārpusbilances riska darījumus neietver atlikušā termiņa aprēķinā. Šādos gadījumos, lūdzam teksta laukā atsevišķi norādīt aprēķinā neietverto riska darījumu skaitu un summu.</w:t>
            </w:r>
          </w:p>
          <w:p w14:paraId="76B4914A" w14:textId="71977D87" w:rsidR="009D3140" w:rsidRPr="0087216D" w:rsidRDefault="009D3140" w:rsidP="00676D80">
            <w:pPr>
              <w:rPr>
                <w:rFonts w:cs="Arial"/>
                <w:szCs w:val="20"/>
              </w:rPr>
            </w:pPr>
            <w:r>
              <w:lastRenderedPageBreak/>
              <w:t xml:space="preserve">Riska darījumiem, kuru līguma termiņš ir pagājis un kavējuma dienu skaits nepārsniedz 30, jāapsver iespēja norādīt atlikušo termiņu 0. </w:t>
            </w:r>
          </w:p>
        </w:tc>
      </w:tr>
      <w:tr w:rsidR="009D3140" w:rsidRPr="0087216D" w14:paraId="28410793" w14:textId="77777777" w:rsidTr="00FB7961">
        <w:tc>
          <w:tcPr>
            <w:tcW w:w="1188" w:type="dxa"/>
            <w:tcBorders>
              <w:top w:val="single" w:sz="4" w:space="0" w:color="auto"/>
              <w:left w:val="single" w:sz="4" w:space="0" w:color="auto"/>
              <w:bottom w:val="single" w:sz="4" w:space="0" w:color="auto"/>
              <w:right w:val="single" w:sz="4" w:space="0" w:color="auto"/>
            </w:tcBorders>
          </w:tcPr>
          <w:p w14:paraId="366C8491" w14:textId="77777777" w:rsidR="009D3140" w:rsidRPr="0087216D" w:rsidRDefault="009D3140" w:rsidP="00FB7961">
            <w:pPr>
              <w:rPr>
                <w:rFonts w:cs="Arial"/>
                <w:szCs w:val="20"/>
              </w:rPr>
            </w:pPr>
            <w:r>
              <w:lastRenderedPageBreak/>
              <w:t>180</w:t>
            </w:r>
          </w:p>
        </w:tc>
        <w:tc>
          <w:tcPr>
            <w:tcW w:w="8843" w:type="dxa"/>
            <w:tcBorders>
              <w:top w:val="single" w:sz="4" w:space="0" w:color="auto"/>
              <w:left w:val="single" w:sz="4" w:space="0" w:color="auto"/>
              <w:bottom w:val="single" w:sz="4" w:space="0" w:color="auto"/>
              <w:right w:val="single" w:sz="4" w:space="0" w:color="auto"/>
            </w:tcBorders>
          </w:tcPr>
          <w:p w14:paraId="7C2685BD" w14:textId="77777777" w:rsidR="009D3140" w:rsidRPr="0087216D" w:rsidRDefault="009D3140" w:rsidP="00FB7961">
            <w:pPr>
              <w:rPr>
                <w:rFonts w:cs="Arial"/>
                <w:b/>
                <w:szCs w:val="20"/>
                <w:u w:val="single"/>
              </w:rPr>
            </w:pPr>
            <w:r>
              <w:rPr>
                <w:b/>
                <w:u w:val="single"/>
              </w:rPr>
              <w:t>Kavējuma dienas (vidējais svērtais lielums)</w:t>
            </w:r>
          </w:p>
          <w:p w14:paraId="185C4EA0" w14:textId="5BB7A0F2" w:rsidR="009D3140" w:rsidRPr="0087216D" w:rsidRDefault="009D3140" w:rsidP="00676D80">
            <w:pPr>
              <w:rPr>
                <w:rFonts w:cs="Arial"/>
                <w:b/>
                <w:szCs w:val="20"/>
                <w:u w:val="single"/>
              </w:rPr>
            </w:pPr>
            <w:r>
              <w:t>Šajā ailē jāietver vidējais svērtais (svērts ar riska darījumu vērtību) kavējuma dienu skaits (kas nedrīkst pārsniegt 30 dienas).</w:t>
            </w:r>
          </w:p>
        </w:tc>
      </w:tr>
      <w:tr w:rsidR="009D3140" w:rsidRPr="0087216D" w14:paraId="6A0C1C7C" w14:textId="77777777" w:rsidTr="00FB7961">
        <w:tc>
          <w:tcPr>
            <w:tcW w:w="1188" w:type="dxa"/>
            <w:tcBorders>
              <w:top w:val="single" w:sz="4" w:space="0" w:color="auto"/>
              <w:left w:val="single" w:sz="4" w:space="0" w:color="auto"/>
              <w:bottom w:val="single" w:sz="4" w:space="0" w:color="auto"/>
              <w:right w:val="single" w:sz="4" w:space="0" w:color="auto"/>
            </w:tcBorders>
          </w:tcPr>
          <w:p w14:paraId="61CC55C3" w14:textId="77777777" w:rsidR="009D3140" w:rsidRPr="0087216D" w:rsidRDefault="009D3140" w:rsidP="00FB7961">
            <w:pPr>
              <w:rPr>
                <w:rFonts w:cs="Arial"/>
                <w:szCs w:val="20"/>
              </w:rPr>
            </w:pPr>
            <w:r>
              <w:t>190</w:t>
            </w:r>
          </w:p>
        </w:tc>
        <w:tc>
          <w:tcPr>
            <w:tcW w:w="8843" w:type="dxa"/>
            <w:tcBorders>
              <w:top w:val="single" w:sz="4" w:space="0" w:color="auto"/>
              <w:left w:val="single" w:sz="4" w:space="0" w:color="auto"/>
              <w:bottom w:val="single" w:sz="4" w:space="0" w:color="auto"/>
              <w:right w:val="single" w:sz="4" w:space="0" w:color="auto"/>
            </w:tcBorders>
          </w:tcPr>
          <w:p w14:paraId="7702FEFD" w14:textId="77777777" w:rsidR="009D3140" w:rsidRPr="0087216D" w:rsidRDefault="009D3140" w:rsidP="00FB7961">
            <w:pPr>
              <w:rPr>
                <w:rFonts w:cs="Arial"/>
                <w:b/>
                <w:szCs w:val="20"/>
                <w:u w:val="single"/>
              </w:rPr>
            </w:pPr>
            <w:r>
              <w:rPr>
                <w:b/>
                <w:u w:val="single"/>
              </w:rPr>
              <w:t>Iekļauto riska darījumu skaits</w:t>
            </w:r>
          </w:p>
          <w:p w14:paraId="3567CC0F" w14:textId="2EA65C53" w:rsidR="009D3140" w:rsidRPr="0087216D" w:rsidRDefault="009D3140" w:rsidP="00676D80">
            <w:pPr>
              <w:rPr>
                <w:rFonts w:cs="Arial"/>
                <w:b/>
                <w:szCs w:val="20"/>
                <w:u w:val="single"/>
              </w:rPr>
            </w:pPr>
            <w:r>
              <w:t>Šajā ailē jānorāda rindā norādīto riska darījumu skaits.</w:t>
            </w:r>
          </w:p>
        </w:tc>
      </w:tr>
      <w:tr w:rsidR="009D3140" w:rsidRPr="0087216D" w14:paraId="446BF443" w14:textId="77777777" w:rsidTr="00FB7961">
        <w:tc>
          <w:tcPr>
            <w:tcW w:w="1188" w:type="dxa"/>
            <w:tcBorders>
              <w:top w:val="single" w:sz="4" w:space="0" w:color="auto"/>
              <w:left w:val="single" w:sz="4" w:space="0" w:color="auto"/>
              <w:bottom w:val="single" w:sz="4" w:space="0" w:color="auto"/>
              <w:right w:val="single" w:sz="4" w:space="0" w:color="auto"/>
            </w:tcBorders>
          </w:tcPr>
          <w:p w14:paraId="6DADB45C" w14:textId="77777777" w:rsidR="009D3140" w:rsidRPr="0087216D" w:rsidRDefault="009D3140" w:rsidP="00FB7961">
            <w:pPr>
              <w:rPr>
                <w:rFonts w:cs="Arial"/>
                <w:szCs w:val="20"/>
              </w:rPr>
            </w:pPr>
            <w:r>
              <w:t>200</w:t>
            </w:r>
          </w:p>
        </w:tc>
        <w:tc>
          <w:tcPr>
            <w:tcW w:w="8843" w:type="dxa"/>
            <w:tcBorders>
              <w:top w:val="single" w:sz="4" w:space="0" w:color="auto"/>
              <w:left w:val="single" w:sz="4" w:space="0" w:color="auto"/>
              <w:bottom w:val="single" w:sz="4" w:space="0" w:color="auto"/>
              <w:right w:val="single" w:sz="4" w:space="0" w:color="auto"/>
            </w:tcBorders>
          </w:tcPr>
          <w:p w14:paraId="3BED1C2B" w14:textId="77777777" w:rsidR="009D3140" w:rsidRPr="0087216D" w:rsidRDefault="009D3140" w:rsidP="00FB7961">
            <w:pPr>
              <w:rPr>
                <w:rFonts w:cs="Arial"/>
                <w:b/>
                <w:szCs w:val="20"/>
                <w:u w:val="single"/>
              </w:rPr>
            </w:pPr>
            <w:r>
              <w:rPr>
                <w:b/>
                <w:u w:val="single"/>
              </w:rPr>
              <w:t>IRB portfeļa 1. pīlāra kredītriska kapitāla prasības (EAD*RW*8 %) (tikai, ja 060. ailē norādīts "jā")</w:t>
            </w:r>
          </w:p>
          <w:p w14:paraId="4A0BDEB7" w14:textId="3F30B205" w:rsidR="009D3140" w:rsidRPr="0087216D" w:rsidRDefault="009D3140" w:rsidP="00676D80">
            <w:pPr>
              <w:rPr>
                <w:rFonts w:cs="Arial"/>
                <w:b/>
                <w:szCs w:val="20"/>
                <w:u w:val="single"/>
              </w:rPr>
            </w:pPr>
            <w:r>
              <w:t>Lai aprēķinātu 100 % seguma pārsniegumu, šajā ailē jāuzrāda 1. pīlāra kredītriska kapitāla prasību (ko aprēķina kā EAD*RW*8 %) summa. Šī informācija jāsniedz tikai par IRB portfeļiem, kuru gadījumā uzraudzības seguma gaidu piemērošana apvienojumā ar 1. pīlāra kredītriska kapitāla prasībām novestu pie tā, ka riska darījuma segums pārsniedz 100 %.</w:t>
            </w:r>
          </w:p>
        </w:tc>
      </w:tr>
      <w:tr w:rsidR="009D3140" w:rsidRPr="0087216D" w14:paraId="0A6148A2" w14:textId="77777777" w:rsidTr="00FB7961">
        <w:tc>
          <w:tcPr>
            <w:tcW w:w="1188" w:type="dxa"/>
            <w:tcBorders>
              <w:top w:val="single" w:sz="4" w:space="0" w:color="auto"/>
              <w:left w:val="single" w:sz="4" w:space="0" w:color="auto"/>
              <w:bottom w:val="single" w:sz="4" w:space="0" w:color="auto"/>
              <w:right w:val="single" w:sz="4" w:space="0" w:color="auto"/>
            </w:tcBorders>
          </w:tcPr>
          <w:p w14:paraId="7C8689C0" w14:textId="77777777" w:rsidR="009D3140" w:rsidRPr="0087216D" w:rsidRDefault="009D3140" w:rsidP="00FB7961">
            <w:pPr>
              <w:rPr>
                <w:rFonts w:cs="Arial"/>
                <w:szCs w:val="20"/>
              </w:rPr>
            </w:pPr>
            <w:r>
              <w:t>210</w:t>
            </w:r>
          </w:p>
        </w:tc>
        <w:tc>
          <w:tcPr>
            <w:tcW w:w="8843" w:type="dxa"/>
            <w:tcBorders>
              <w:top w:val="single" w:sz="4" w:space="0" w:color="auto"/>
              <w:left w:val="single" w:sz="4" w:space="0" w:color="auto"/>
              <w:bottom w:val="single" w:sz="4" w:space="0" w:color="auto"/>
              <w:right w:val="single" w:sz="4" w:space="0" w:color="auto"/>
            </w:tcBorders>
          </w:tcPr>
          <w:p w14:paraId="505F7BAB" w14:textId="77777777" w:rsidR="009D3140" w:rsidRPr="0087216D" w:rsidRDefault="009D3140" w:rsidP="00FB7961">
            <w:pPr>
              <w:rPr>
                <w:rFonts w:cs="Arial"/>
                <w:b/>
                <w:szCs w:val="20"/>
                <w:u w:val="single"/>
              </w:rPr>
            </w:pPr>
            <w:r>
              <w:rPr>
                <w:b/>
                <w:u w:val="single"/>
              </w:rPr>
              <w:t>Būtiska papildu informācija (lūdzam sniegt īsu aprakstu)</w:t>
            </w:r>
          </w:p>
          <w:p w14:paraId="3539C6B4" w14:textId="2851257C" w:rsidR="00202C0E" w:rsidRDefault="009D3140" w:rsidP="00202C0E">
            <w:pPr>
              <w:rPr>
                <w:rFonts w:cs="Arial"/>
                <w:szCs w:val="20"/>
              </w:rPr>
            </w:pPr>
            <w:r>
              <w:t>Lūdzam sniegt īsu aprakstu par informāciju, kas varētu būt būtiska ierosinātā izņēmuma novērtēšanai. Sniedzam dažus būtiskas informācijas piemērus.</w:t>
            </w:r>
          </w:p>
          <w:p w14:paraId="0488BD30" w14:textId="2A6D24FA" w:rsidR="00202C0E" w:rsidRPr="00F568FE" w:rsidRDefault="00202C0E" w:rsidP="00202C0E">
            <w:pPr>
              <w:pStyle w:val="ListParagraph"/>
              <w:numPr>
                <w:ilvl w:val="0"/>
                <w:numId w:val="43"/>
              </w:numPr>
              <w:rPr>
                <w:rFonts w:cs="Arial"/>
                <w:szCs w:val="20"/>
              </w:rPr>
            </w:pPr>
            <w:r>
              <w:t>Informācija par atlikušo termiņu riska darījumiem, kuriem nav līgumā noteikta termiņa, vai ārpusbilances riska darījumiem, jo tie netiek ietverti šā lauka aprēķinā. Kā "būtiska papildu informācija" jānorāda aprēķinā neietverto riska darījumu skaits un summa.</w:t>
            </w:r>
          </w:p>
          <w:p w14:paraId="0CCE8D18" w14:textId="3830646F" w:rsidR="00202C0E" w:rsidRPr="00F568FE" w:rsidRDefault="00202C0E" w:rsidP="00202C0E">
            <w:pPr>
              <w:pStyle w:val="ListParagraph"/>
              <w:numPr>
                <w:ilvl w:val="0"/>
                <w:numId w:val="43"/>
              </w:numPr>
              <w:rPr>
                <w:rFonts w:cs="Arial"/>
                <w:szCs w:val="20"/>
              </w:rPr>
            </w:pPr>
            <w:r>
              <w:t>Informācija par ārpusbilances riska darījuma aktivizēšanu/prasību (ja tāda ir) gadījumā, ja attiecībā uz parādu savstarpējās ietekmes efektu atzīmēts "jā".</w:t>
            </w:r>
          </w:p>
          <w:p w14:paraId="7A181EC4" w14:textId="683E7CF1" w:rsidR="009D3140" w:rsidRPr="0087216D" w:rsidRDefault="00202C0E" w:rsidP="00676D80">
            <w:pPr>
              <w:pStyle w:val="ListParagraph"/>
              <w:numPr>
                <w:ilvl w:val="0"/>
                <w:numId w:val="43"/>
              </w:numPr>
              <w:rPr>
                <w:rFonts w:cs="Arial"/>
                <w:bCs/>
                <w:szCs w:val="20"/>
              </w:rPr>
            </w:pPr>
            <w:r>
              <w:t xml:space="preserve">Būtiskas portfeļa iezīmes, kas varētu palīdzēt veikt izņēmuma novērtējumu. </w:t>
            </w:r>
          </w:p>
        </w:tc>
      </w:tr>
    </w:tbl>
    <w:p w14:paraId="01479DE1" w14:textId="77777777" w:rsidR="009D3140" w:rsidRPr="0087216D" w:rsidRDefault="009D3140" w:rsidP="009D3140">
      <w:pPr>
        <w:spacing w:before="0" w:after="0" w:line="240" w:lineRule="auto"/>
        <w:rPr>
          <w:rFonts w:cs="Arial"/>
          <w:bCs/>
          <w:kern w:val="28"/>
          <w:szCs w:val="20"/>
        </w:rPr>
      </w:pPr>
    </w:p>
    <w:tbl>
      <w:tblPr>
        <w:tblStyle w:val="TableGrid"/>
        <w:tblW w:w="10060" w:type="dxa"/>
        <w:tblLook w:val="04A0" w:firstRow="1" w:lastRow="0" w:firstColumn="1" w:lastColumn="0" w:noHBand="0" w:noVBand="1"/>
      </w:tblPr>
      <w:tblGrid>
        <w:gridCol w:w="1129"/>
        <w:gridCol w:w="8931"/>
      </w:tblGrid>
      <w:tr w:rsidR="00D37CBA" w14:paraId="66848FB7" w14:textId="77777777" w:rsidTr="004077A5">
        <w:tc>
          <w:tcPr>
            <w:tcW w:w="10060" w:type="dxa"/>
            <w:gridSpan w:val="2"/>
          </w:tcPr>
          <w:p w14:paraId="1BE620C9" w14:textId="19D6BA14" w:rsidR="00D37CBA" w:rsidRPr="00676D80" w:rsidRDefault="00D37CBA" w:rsidP="00676D80">
            <w:pPr>
              <w:rPr>
                <w:b/>
                <w:bCs/>
              </w:rPr>
            </w:pPr>
            <w:r>
              <w:rPr>
                <w:b/>
              </w:rPr>
              <w:t>AUTOMĀTISKĀS PĀRBAUDES UN APRĒĶINI</w:t>
            </w:r>
          </w:p>
        </w:tc>
      </w:tr>
      <w:tr w:rsidR="00D37CBA" w14:paraId="2925DF29" w14:textId="77777777" w:rsidTr="001B0CE4">
        <w:tc>
          <w:tcPr>
            <w:tcW w:w="1129" w:type="dxa"/>
          </w:tcPr>
          <w:p w14:paraId="068A5160" w14:textId="70DFFD62" w:rsidR="00D37CBA" w:rsidRDefault="00D37CBA" w:rsidP="009D3140">
            <w:r>
              <w:t>220</w:t>
            </w:r>
          </w:p>
        </w:tc>
        <w:tc>
          <w:tcPr>
            <w:tcW w:w="8931" w:type="dxa"/>
          </w:tcPr>
          <w:p w14:paraId="2897B023" w14:textId="77777777" w:rsidR="00D37CBA" w:rsidRDefault="00D37CBA" w:rsidP="009D3140">
            <w:pPr>
              <w:rPr>
                <w:b/>
                <w:bCs/>
                <w:u w:val="single"/>
              </w:rPr>
            </w:pPr>
            <w:r>
              <w:rPr>
                <w:b/>
                <w:u w:val="single"/>
              </w:rPr>
              <w:t>Minimālā informācijas pilnīguma pārbaudes</w:t>
            </w:r>
          </w:p>
          <w:p w14:paraId="02AE8D6F" w14:textId="77777777" w:rsidR="00E96DF4" w:rsidRPr="00676D80" w:rsidRDefault="00E96DF4" w:rsidP="00E96DF4">
            <w:pPr>
              <w:rPr>
                <w:i/>
                <w:iCs/>
              </w:rPr>
            </w:pPr>
            <w:r>
              <w:rPr>
                <w:i/>
              </w:rPr>
              <w:t>Šā lauka vērtība tiek aprēķināta automātiski.</w:t>
            </w:r>
          </w:p>
          <w:p w14:paraId="036086F4" w14:textId="34C5F237" w:rsidR="004C13DF" w:rsidRPr="00D37CBA" w:rsidRDefault="00CC6575" w:rsidP="00676D80">
            <w:r>
              <w:t xml:space="preserve">Ja 020.–200. lauks aizpildīti nepilnīgi, laukā parādās norāde "Nepilnīga informācija". Tas palīdz uzraudzītajai iestādei nodrošināt, ka tiek iesniegti tikai tādi izņēmumi, par kuriem pieejama visa attiecīgā informācija. Nacionālās kompetentās iestādes neapmierina izņēmuma pieprasījumus, kuros norādīta nepilnīga informācija. </w:t>
            </w:r>
          </w:p>
        </w:tc>
      </w:tr>
      <w:tr w:rsidR="00D37CBA" w14:paraId="7D6122E2" w14:textId="77777777" w:rsidTr="001B0CE4">
        <w:tc>
          <w:tcPr>
            <w:tcW w:w="1129" w:type="dxa"/>
          </w:tcPr>
          <w:p w14:paraId="2CEEFB4B" w14:textId="3D2EF063" w:rsidR="00D37CBA" w:rsidRDefault="00D37CBA" w:rsidP="009D3140">
            <w:r>
              <w:t xml:space="preserve">230 </w:t>
            </w:r>
          </w:p>
        </w:tc>
        <w:tc>
          <w:tcPr>
            <w:tcW w:w="8931" w:type="dxa"/>
          </w:tcPr>
          <w:p w14:paraId="1EE9496C" w14:textId="7094CEC9" w:rsidR="00D37CBA" w:rsidRDefault="00D37CBA" w:rsidP="009D3140">
            <w:pPr>
              <w:rPr>
                <w:b/>
                <w:bCs/>
                <w:u w:val="single"/>
              </w:rPr>
            </w:pPr>
            <w:r>
              <w:rPr>
                <w:b/>
                <w:u w:val="single"/>
              </w:rPr>
              <w:t>Minimālo izņēmuma statusa piemērošanas nosacījumu pārbaude</w:t>
            </w:r>
          </w:p>
          <w:p w14:paraId="24F63A3A" w14:textId="77777777" w:rsidR="00E96DF4" w:rsidRPr="00676D80" w:rsidRDefault="00E96DF4" w:rsidP="00E96DF4">
            <w:pPr>
              <w:rPr>
                <w:i/>
                <w:iCs/>
              </w:rPr>
            </w:pPr>
            <w:r>
              <w:rPr>
                <w:i/>
              </w:rPr>
              <w:t>Šā lauka vērtība tiek aprēķināta automātiski.</w:t>
            </w:r>
          </w:p>
          <w:p w14:paraId="672B2617" w14:textId="0703F35F" w:rsidR="000D6DFC" w:rsidRPr="00040E88" w:rsidRDefault="00735262" w:rsidP="00676D80">
            <w:r>
              <w:lastRenderedPageBreak/>
              <w:t>Ja 140., 160. vai 180. laukā norādītās vērtības nozīmē, ka nav izpildīti šo norādījumu 3.2. iedaļā aprakstītie izņēmuma pamatnosacījumi, laukā parādās norāde "Nav izpildīti minimālie izņēmuma nosacījumi". Tas palīdz uzraudzītajai iestādei nodrošināt, ka tiek pieprasīti tikai šiem pamatnosacījumiem atbilstoši izņēmumi. Nacionālās kompetentās iestādes neapmierina izņēmuma pieprasījumus, kuri neizpilda šos nosacījumus.</w:t>
            </w:r>
          </w:p>
        </w:tc>
      </w:tr>
      <w:tr w:rsidR="00D37CBA" w14:paraId="1359E5D8" w14:textId="77777777" w:rsidTr="0099130A">
        <w:tc>
          <w:tcPr>
            <w:tcW w:w="1129" w:type="dxa"/>
          </w:tcPr>
          <w:p w14:paraId="128432D6" w14:textId="5B144442" w:rsidR="00D37CBA" w:rsidRDefault="00D37CBA" w:rsidP="009D3140">
            <w:r>
              <w:lastRenderedPageBreak/>
              <w:t>240</w:t>
            </w:r>
          </w:p>
        </w:tc>
        <w:tc>
          <w:tcPr>
            <w:tcW w:w="8931" w:type="dxa"/>
          </w:tcPr>
          <w:p w14:paraId="0DA7D128" w14:textId="77777777" w:rsidR="00D37CBA" w:rsidRDefault="00D37CBA" w:rsidP="009D3140">
            <w:pPr>
              <w:rPr>
                <w:b/>
                <w:bCs/>
                <w:u w:val="single"/>
              </w:rPr>
            </w:pPr>
            <w:r>
              <w:rPr>
                <w:b/>
                <w:u w:val="single"/>
              </w:rPr>
              <w:t>Iztrūkuma samazinājums izņēmuma statusa piešķiršanas gadījumā</w:t>
            </w:r>
          </w:p>
          <w:p w14:paraId="70CEEFEE" w14:textId="06CCCD32" w:rsidR="00E96DF4" w:rsidRPr="00676D80" w:rsidRDefault="00E96DF4" w:rsidP="009D3140">
            <w:pPr>
              <w:rPr>
                <w:i/>
                <w:iCs/>
              </w:rPr>
            </w:pPr>
            <w:r>
              <w:rPr>
                <w:i/>
              </w:rPr>
              <w:t>Šā lauka vērtība tiek aprēķināta automātiski.</w:t>
            </w:r>
          </w:p>
          <w:p w14:paraId="749F0398" w14:textId="272037CE" w:rsidR="00040E88" w:rsidRPr="00676D80" w:rsidRDefault="00AE108E" w:rsidP="0098799B">
            <w:pPr>
              <w:rPr>
                <w:b/>
                <w:bCs/>
              </w:rPr>
            </w:pPr>
            <w:r>
              <w:t xml:space="preserve">Šajā laukā parādīts seguma iztrūkuma summas samazinājums izņēmuma statusa piešķiršanas gadījumā.  </w:t>
            </w:r>
          </w:p>
        </w:tc>
      </w:tr>
      <w:tr w:rsidR="00D37CBA" w14:paraId="72C6CBB6" w14:textId="77777777" w:rsidTr="00083F99">
        <w:tc>
          <w:tcPr>
            <w:tcW w:w="1129" w:type="dxa"/>
          </w:tcPr>
          <w:p w14:paraId="7AD33A40" w14:textId="341449ED" w:rsidR="00D37CBA" w:rsidRDefault="00D37CBA" w:rsidP="009D3140">
            <w:r>
              <w:t>250</w:t>
            </w:r>
          </w:p>
        </w:tc>
        <w:tc>
          <w:tcPr>
            <w:tcW w:w="8931" w:type="dxa"/>
          </w:tcPr>
          <w:p w14:paraId="39E86EA0" w14:textId="77777777" w:rsidR="00D37CBA" w:rsidRDefault="00D37CBA" w:rsidP="009D3140">
            <w:pPr>
              <w:rPr>
                <w:b/>
                <w:bCs/>
                <w:u w:val="single"/>
              </w:rPr>
            </w:pPr>
            <w:r>
              <w:rPr>
                <w:b/>
                <w:u w:val="single"/>
              </w:rPr>
              <w:t>Riska darījumu vērtības daļa no kopējās riska darījumu vērtības, uz kuru attiecas uzraudzības seguma gaidas</w:t>
            </w:r>
          </w:p>
          <w:p w14:paraId="39273E44" w14:textId="77777777" w:rsidR="00E96DF4" w:rsidRDefault="00E96DF4" w:rsidP="00E96DF4">
            <w:pPr>
              <w:rPr>
                <w:i/>
                <w:iCs/>
              </w:rPr>
            </w:pPr>
            <w:r>
              <w:rPr>
                <w:i/>
              </w:rPr>
              <w:t>Šā lauka vērtība tiek aprēķināta automātiski.</w:t>
            </w:r>
          </w:p>
          <w:p w14:paraId="146E9E97" w14:textId="63A9C03D" w:rsidR="00E96DF4" w:rsidRPr="00E96DF4" w:rsidRDefault="00AE108E" w:rsidP="009D3140">
            <w:r>
              <w:t>Šajā laukā parādīta riska darījuma summa, uz kuru attiecas izņēmuma pieprasījums, attiecībā pret kopējo riska darījumu summu, uz kuru attiecas uzraudzības seguma gaidas (atbilstoši 1. lapai "Ietvertie INRD").</w:t>
            </w:r>
          </w:p>
        </w:tc>
      </w:tr>
      <w:tr w:rsidR="00D37CBA" w14:paraId="62DEB60B" w14:textId="77777777" w:rsidTr="00083F99">
        <w:tc>
          <w:tcPr>
            <w:tcW w:w="1129" w:type="dxa"/>
          </w:tcPr>
          <w:p w14:paraId="4F82028C" w14:textId="663473F3" w:rsidR="00D37CBA" w:rsidRDefault="00D37CBA" w:rsidP="009D3140">
            <w:r>
              <w:t>260</w:t>
            </w:r>
          </w:p>
        </w:tc>
        <w:tc>
          <w:tcPr>
            <w:tcW w:w="8931" w:type="dxa"/>
          </w:tcPr>
          <w:p w14:paraId="7FF41F9E" w14:textId="5B524229" w:rsidR="00D37CBA" w:rsidRPr="00676D80" w:rsidRDefault="000F0B63" w:rsidP="009D3140">
            <w:pPr>
              <w:rPr>
                <w:b/>
                <w:bCs/>
                <w:u w:val="single"/>
              </w:rPr>
            </w:pPr>
            <w:r w:rsidRPr="000F0B63">
              <w:rPr>
                <w:b/>
                <w:u w:val="single"/>
              </w:rPr>
              <w:t>Seguma iztrūkuma samazinājums kā daļa no riska darījumu, uz kuriem attiecas uzraudzības seguma gaidas, kopējā seguma iztrūkuma</w:t>
            </w:r>
          </w:p>
          <w:p w14:paraId="2D9C364B" w14:textId="77777777" w:rsidR="00E96DF4" w:rsidRPr="00676D80" w:rsidRDefault="00E96DF4" w:rsidP="00E96DF4">
            <w:pPr>
              <w:rPr>
                <w:i/>
                <w:iCs/>
              </w:rPr>
            </w:pPr>
            <w:r>
              <w:rPr>
                <w:i/>
              </w:rPr>
              <w:t>Šā lauka vērtība tiek aprēķināta automātiski.</w:t>
            </w:r>
          </w:p>
          <w:p w14:paraId="49A89165" w14:textId="68ECD8A9" w:rsidR="00D37CBA" w:rsidRPr="0012315F" w:rsidRDefault="00AE108E" w:rsidP="009D3140">
            <w:r>
              <w:t>Šajā laukā parādīta ar attiecīgo riska darījumu saistītā iztrūkuma summa, uz kuru attiecas izņēmuma pieprasījums, attiecībā pret riska darījumu, uz kuriem attiecas uzraudzības seguma gaidas (atbilstoši 1. lapai "Ietvertie INRD"), kopējo seguma iztrūkuma summu.</w:t>
            </w:r>
          </w:p>
        </w:tc>
      </w:tr>
    </w:tbl>
    <w:p w14:paraId="79FD06B0" w14:textId="5A12400D" w:rsidR="00E71240" w:rsidRDefault="00E71240" w:rsidP="009D3140"/>
    <w:tbl>
      <w:tblPr>
        <w:tblStyle w:val="TableGrid"/>
        <w:tblW w:w="10060" w:type="dxa"/>
        <w:tblLook w:val="04A0" w:firstRow="1" w:lastRow="0" w:firstColumn="1" w:lastColumn="0" w:noHBand="0" w:noVBand="1"/>
      </w:tblPr>
      <w:tblGrid>
        <w:gridCol w:w="1129"/>
        <w:gridCol w:w="8931"/>
      </w:tblGrid>
      <w:tr w:rsidR="0012315F" w14:paraId="4B03D64E" w14:textId="77777777" w:rsidTr="00676D80">
        <w:tc>
          <w:tcPr>
            <w:tcW w:w="10060" w:type="dxa"/>
            <w:gridSpan w:val="2"/>
          </w:tcPr>
          <w:p w14:paraId="5F834BE7" w14:textId="52799891" w:rsidR="0012315F" w:rsidRDefault="00676D80" w:rsidP="009D3140">
            <w:r>
              <w:rPr>
                <w:b/>
              </w:rPr>
              <w:t>JĀAIZPILDA NKI</w:t>
            </w:r>
          </w:p>
        </w:tc>
      </w:tr>
      <w:tr w:rsidR="0098799B" w14:paraId="7BA8E175" w14:textId="77777777" w:rsidTr="00676D80">
        <w:trPr>
          <w:trHeight w:val="465"/>
        </w:trPr>
        <w:tc>
          <w:tcPr>
            <w:tcW w:w="1129" w:type="dxa"/>
          </w:tcPr>
          <w:p w14:paraId="752448DD" w14:textId="2DF372F6" w:rsidR="0098799B" w:rsidRDefault="0098799B" w:rsidP="009D3140">
            <w:r>
              <w:t>270</w:t>
            </w:r>
          </w:p>
        </w:tc>
        <w:tc>
          <w:tcPr>
            <w:tcW w:w="8931" w:type="dxa"/>
          </w:tcPr>
          <w:p w14:paraId="28C0C364" w14:textId="52745B82" w:rsidR="0098799B" w:rsidRPr="00676D80" w:rsidRDefault="0098799B" w:rsidP="009D3140">
            <w:pPr>
              <w:rPr>
                <w:b/>
                <w:bCs/>
                <w:u w:val="single"/>
              </w:rPr>
            </w:pPr>
            <w:r>
              <w:rPr>
                <w:b/>
                <w:u w:val="single"/>
              </w:rPr>
              <w:t>NKI novērtējums – izņēmuma statuss piešķirts Jā/Nē</w:t>
            </w:r>
          </w:p>
          <w:p w14:paraId="6D4142B4" w14:textId="185DA921" w:rsidR="0098799B" w:rsidRDefault="0098799B" w:rsidP="0098799B">
            <w:r>
              <w:rPr>
                <w:i/>
              </w:rPr>
              <w:t>Šo lauku aizpilda NKI.</w:t>
            </w:r>
          </w:p>
        </w:tc>
      </w:tr>
      <w:tr w:rsidR="0098799B" w14:paraId="351FE236" w14:textId="77777777" w:rsidTr="00676D80">
        <w:trPr>
          <w:trHeight w:val="465"/>
        </w:trPr>
        <w:tc>
          <w:tcPr>
            <w:tcW w:w="1129" w:type="dxa"/>
          </w:tcPr>
          <w:p w14:paraId="07BC187C" w14:textId="185B5BCD" w:rsidR="0098799B" w:rsidRDefault="0098799B" w:rsidP="009D3140">
            <w:r>
              <w:t>280</w:t>
            </w:r>
          </w:p>
        </w:tc>
        <w:tc>
          <w:tcPr>
            <w:tcW w:w="8931" w:type="dxa"/>
          </w:tcPr>
          <w:p w14:paraId="1E90E205" w14:textId="77777777" w:rsidR="0098799B" w:rsidRPr="00676D80" w:rsidRDefault="0098799B" w:rsidP="009D3140">
            <w:pPr>
              <w:rPr>
                <w:b/>
                <w:bCs/>
                <w:i/>
                <w:iCs/>
              </w:rPr>
            </w:pPr>
            <w:r>
              <w:rPr>
                <w:b/>
                <w:i/>
              </w:rPr>
              <w:t>Iztrūkuma samazinājums, pamatojoties uz NKI novērtējumu</w:t>
            </w:r>
          </w:p>
          <w:p w14:paraId="2C78E618" w14:textId="28501A6D" w:rsidR="0098799B" w:rsidRDefault="0098799B" w:rsidP="00676D80">
            <w:r>
              <w:rPr>
                <w:i/>
              </w:rPr>
              <w:t>Šā lauka vērtība tiek aprēķināta automātiski.</w:t>
            </w:r>
          </w:p>
        </w:tc>
      </w:tr>
      <w:tr w:rsidR="0099130A" w14:paraId="61CCA82B" w14:textId="77777777" w:rsidTr="0098799B">
        <w:trPr>
          <w:trHeight w:val="465"/>
        </w:trPr>
        <w:tc>
          <w:tcPr>
            <w:tcW w:w="1129" w:type="dxa"/>
          </w:tcPr>
          <w:p w14:paraId="331979D8" w14:textId="355C712A" w:rsidR="0099130A" w:rsidRDefault="0099130A" w:rsidP="009D3140">
            <w:r>
              <w:t>290</w:t>
            </w:r>
          </w:p>
        </w:tc>
        <w:tc>
          <w:tcPr>
            <w:tcW w:w="8931" w:type="dxa"/>
          </w:tcPr>
          <w:p w14:paraId="0CEB63D7" w14:textId="77777777" w:rsidR="0099130A" w:rsidRDefault="0099130A" w:rsidP="009D3140">
            <w:pPr>
              <w:rPr>
                <w:b/>
                <w:bCs/>
                <w:i/>
                <w:iCs/>
              </w:rPr>
            </w:pPr>
            <w:r>
              <w:rPr>
                <w:b/>
                <w:i/>
              </w:rPr>
              <w:t>Kopējais iztrūkums pēc samazinājuma, pamatojoties uz NKI novērtējumu</w:t>
            </w:r>
          </w:p>
          <w:p w14:paraId="736416D4" w14:textId="3CA267EF" w:rsidR="0099130A" w:rsidRPr="0099130A" w:rsidRDefault="0099130A" w:rsidP="0099130A">
            <w:pPr>
              <w:rPr>
                <w:b/>
                <w:bCs/>
                <w:i/>
                <w:iCs/>
              </w:rPr>
            </w:pPr>
            <w:r>
              <w:rPr>
                <w:i/>
              </w:rPr>
              <w:t>Šā lauka vērtība tiek aprēķināta automātiski.</w:t>
            </w:r>
          </w:p>
        </w:tc>
      </w:tr>
    </w:tbl>
    <w:p w14:paraId="64253E5C" w14:textId="77777777" w:rsidR="0012315F" w:rsidRPr="009D3140" w:rsidRDefault="0012315F" w:rsidP="009D3140"/>
    <w:sectPr w:rsidR="0012315F" w:rsidRPr="009D3140" w:rsidSect="00A25FA2">
      <w:headerReference w:type="even" r:id="rId14"/>
      <w:headerReference w:type="default" r:id="rId15"/>
      <w:footerReference w:type="even" r:id="rId16"/>
      <w:footerReference w:type="default" r:id="rId17"/>
      <w:headerReference w:type="first" r:id="rId18"/>
      <w:footerReference w:type="first" r:id="rId19"/>
      <w:type w:val="continuous"/>
      <w:pgSz w:w="11907" w:h="16840" w:code="9"/>
      <w:pgMar w:top="2268" w:right="1134" w:bottom="2268" w:left="1418" w:header="709" w:footer="709" w:gutter="0"/>
      <w:cols w:space="720"/>
      <w:formProt w:val="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488AF" w14:textId="77777777" w:rsidR="00802E0B" w:rsidRDefault="00802E0B">
      <w:pPr>
        <w:spacing w:before="0" w:after="0" w:line="240" w:lineRule="auto"/>
      </w:pPr>
      <w:r>
        <w:separator/>
      </w:r>
    </w:p>
  </w:endnote>
  <w:endnote w:type="continuationSeparator" w:id="0">
    <w:p w14:paraId="1DE6F31B" w14:textId="77777777" w:rsidR="00802E0B" w:rsidRDefault="00802E0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ndnya">
    <w:panose1 w:val="00000400000000000000"/>
    <w:charset w:val="01"/>
    <w:family w:val="roman"/>
    <w:notTrueType/>
    <w:pitch w:val="variable"/>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4EAFF" w14:textId="77777777" w:rsidR="003D1538" w:rsidRDefault="003D15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838815045"/>
      <w:docPartObj>
        <w:docPartGallery w:val="Page Numbers (Bottom of Page)"/>
        <w:docPartUnique/>
      </w:docPartObj>
    </w:sdtPr>
    <w:sdtEndPr>
      <w:rPr>
        <w:noProof/>
        <w:sz w:val="22"/>
      </w:rPr>
    </w:sdtEndPr>
    <w:sdtContent>
      <w:p w14:paraId="5803B8E0" w14:textId="2B438420" w:rsidR="00F3577E" w:rsidRPr="00A25FA2" w:rsidRDefault="00F3577E">
        <w:pPr>
          <w:pStyle w:val="Footer"/>
          <w:jc w:val="center"/>
          <w:rPr>
            <w:sz w:val="22"/>
          </w:rPr>
        </w:pPr>
        <w:r w:rsidRPr="00A25FA2">
          <w:rPr>
            <w:sz w:val="22"/>
          </w:rPr>
          <w:fldChar w:fldCharType="begin"/>
        </w:r>
        <w:r w:rsidRPr="00A25FA2">
          <w:rPr>
            <w:sz w:val="22"/>
          </w:rPr>
          <w:instrText xml:space="preserve"> PAGE   \* MERGEFORMAT </w:instrText>
        </w:r>
        <w:r w:rsidRPr="00A25FA2">
          <w:rPr>
            <w:sz w:val="22"/>
          </w:rPr>
          <w:fldChar w:fldCharType="separate"/>
        </w:r>
        <w:r w:rsidR="00714D38">
          <w:rPr>
            <w:sz w:val="22"/>
          </w:rPr>
          <w:t>17</w:t>
        </w:r>
        <w:r w:rsidRPr="00A25FA2">
          <w:rPr>
            <w:sz w:val="22"/>
          </w:rPr>
          <w:fldChar w:fldCharType="end"/>
        </w:r>
      </w:p>
    </w:sdtContent>
  </w:sdt>
  <w:p w14:paraId="21D85FFD" w14:textId="77777777" w:rsidR="00F3577E" w:rsidRDefault="00F3577E" w:rsidP="00FB72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7554E" w14:textId="77777777" w:rsidR="003D1538" w:rsidRDefault="003D15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C8713" w14:textId="77777777" w:rsidR="00802E0B" w:rsidRDefault="00802E0B">
      <w:pPr>
        <w:spacing w:before="0" w:after="0" w:line="240" w:lineRule="auto"/>
      </w:pPr>
      <w:r>
        <w:separator/>
      </w:r>
    </w:p>
  </w:footnote>
  <w:footnote w:type="continuationSeparator" w:id="0">
    <w:p w14:paraId="0C8A0000" w14:textId="77777777" w:rsidR="00802E0B" w:rsidRDefault="00802E0B">
      <w:pPr>
        <w:spacing w:before="0" w:after="0" w:line="240" w:lineRule="auto"/>
      </w:pPr>
      <w:r>
        <w:continuationSeparator/>
      </w:r>
    </w:p>
  </w:footnote>
  <w:footnote w:id="1">
    <w:p w14:paraId="5F1E2934" w14:textId="0D64B5D3" w:rsidR="00F3577E" w:rsidRPr="00347407" w:rsidRDefault="00F3577E" w:rsidP="0089742C">
      <w:pPr>
        <w:pStyle w:val="FootnoteText"/>
        <w:spacing w:before="0" w:after="0" w:line="200" w:lineRule="exact"/>
        <w:rPr>
          <w:rFonts w:cs="Arial"/>
          <w:sz w:val="17"/>
          <w:szCs w:val="17"/>
        </w:rPr>
      </w:pPr>
      <w:r>
        <w:rPr>
          <w:rStyle w:val="FootnoteReference"/>
          <w:rFonts w:cs="Arial"/>
          <w:sz w:val="17"/>
          <w:szCs w:val="17"/>
        </w:rPr>
        <w:footnoteRef/>
      </w:r>
      <w:r>
        <w:rPr>
          <w:sz w:val="17"/>
        </w:rPr>
        <w:t xml:space="preserve"> </w:t>
      </w:r>
      <w:r w:rsidR="008420EF">
        <w:rPr>
          <w:sz w:val="17"/>
        </w:rPr>
        <w:tab/>
      </w:r>
      <w:r>
        <w:rPr>
          <w:sz w:val="17"/>
        </w:rPr>
        <w:t xml:space="preserve">Precizējums – atsevišķi ienākumus nenesoši riska darījumi var būt pilnībā nodrošināti, pilnībā nenodrošināti vai daļēji nodrošināti. Atsevišķs ienākumus nenesošs riska darījums "i", kas ir daļēji nodrošināts (t. i., kuram ir nodrošināta un nenodrošināta daļa), jāsadala nodrošinātajā riska darījumā "i" un nenodrošinātajā riska darījumā "i". </w:t>
      </w:r>
    </w:p>
  </w:footnote>
  <w:footnote w:id="2">
    <w:p w14:paraId="36BABBD9" w14:textId="6BA01274" w:rsidR="002166E6" w:rsidRPr="00676D80" w:rsidRDefault="002166E6" w:rsidP="002166E6">
      <w:pPr>
        <w:pStyle w:val="FootnoteText"/>
        <w:rPr>
          <w:sz w:val="17"/>
          <w:szCs w:val="17"/>
        </w:rPr>
      </w:pPr>
      <w:r>
        <w:rPr>
          <w:rStyle w:val="FootnoteReference"/>
          <w:sz w:val="17"/>
          <w:szCs w:val="17"/>
        </w:rPr>
        <w:footnoteRef/>
      </w:r>
      <w:r>
        <w:t xml:space="preserve"> </w:t>
      </w:r>
      <w:r w:rsidR="008420EF">
        <w:tab/>
      </w:r>
      <w:r>
        <w:t xml:space="preserve">T. i., ko garantējis vai kā atbalsta garantiju sniedzis 201. panta 1. punkta a)–e) apakšpunktā minētais atbilstošais </w:t>
      </w:r>
      <w:proofErr w:type="spellStart"/>
      <w:r>
        <w:t>kredītaizsardzības</w:t>
      </w:r>
      <w:proofErr w:type="spellEnd"/>
      <w:r>
        <w:t xml:space="preserve"> devējs, ar kuru noslēgtiem nenodrošinātiem riska darījumiem būtu piešķirta 0 % riska pakāpe saskaņā ar Trešās daļas II sadaļas 2. nodaļu.</w:t>
      </w:r>
    </w:p>
  </w:footnote>
  <w:footnote w:id="3">
    <w:p w14:paraId="10014DEC" w14:textId="2C4E3AA0" w:rsidR="00F3577E" w:rsidRPr="0089742C" w:rsidRDefault="00F3577E" w:rsidP="0089742C">
      <w:pPr>
        <w:pStyle w:val="FootnoteText"/>
        <w:spacing w:before="0" w:after="0" w:line="200" w:lineRule="exact"/>
        <w:rPr>
          <w:rFonts w:cs="Arial"/>
          <w:sz w:val="17"/>
          <w:szCs w:val="17"/>
        </w:rPr>
      </w:pPr>
      <w:r w:rsidRPr="00676D80">
        <w:rPr>
          <w:rStyle w:val="FootnoteReference"/>
          <w:rFonts w:cs="Arial"/>
          <w:sz w:val="17"/>
          <w:szCs w:val="17"/>
        </w:rPr>
        <w:footnoteRef/>
      </w:r>
      <w:r w:rsidRPr="0089742C">
        <w:rPr>
          <w:rFonts w:cs="Arial"/>
          <w:sz w:val="17"/>
          <w:szCs w:val="17"/>
        </w:rPr>
        <w:t xml:space="preserve"> </w:t>
      </w:r>
      <w:r w:rsidR="004624BA">
        <w:rPr>
          <w:rFonts w:cs="Arial"/>
          <w:sz w:val="17"/>
          <w:szCs w:val="17"/>
        </w:rPr>
        <w:tab/>
      </w:r>
      <w:r w:rsidR="004624BA" w:rsidRPr="004624BA">
        <w:rPr>
          <w:rFonts w:cs="Arial"/>
          <w:sz w:val="17"/>
          <w:szCs w:val="17"/>
        </w:rPr>
        <w:t>Jāņem vērā, ka riska darījumu vērtības aprēķināšanai riska darījumiem, kam piemērota daļēja norakstīšana, vai iegādātiem INRD tiek piemērota īpaša pieeja, kas aprakstīta tālāk šajā iedaļā.</w:t>
      </w:r>
      <w:r w:rsidRPr="0089742C">
        <w:rPr>
          <w:rFonts w:cs="Arial"/>
          <w:sz w:val="17"/>
          <w:szCs w:val="17"/>
        </w:rPr>
        <w:t>.</w:t>
      </w:r>
    </w:p>
  </w:footnote>
  <w:footnote w:id="4">
    <w:p w14:paraId="1D17123B" w14:textId="5DF49BA1" w:rsidR="00F3577E" w:rsidRPr="0089742C" w:rsidRDefault="00F3577E" w:rsidP="0089742C">
      <w:pPr>
        <w:pStyle w:val="FootnoteText"/>
        <w:spacing w:before="0" w:after="0" w:line="200" w:lineRule="exact"/>
        <w:rPr>
          <w:rFonts w:cs="Arial"/>
          <w:sz w:val="17"/>
          <w:szCs w:val="17"/>
        </w:rPr>
      </w:pPr>
      <w:r w:rsidRPr="00676D80">
        <w:rPr>
          <w:rStyle w:val="FootnoteReference"/>
          <w:rFonts w:cs="Arial"/>
          <w:sz w:val="17"/>
          <w:szCs w:val="17"/>
        </w:rPr>
        <w:footnoteRef/>
      </w:r>
      <w:r w:rsidRPr="00676D80">
        <w:rPr>
          <w:rFonts w:cs="Arial"/>
          <w:sz w:val="17"/>
          <w:szCs w:val="17"/>
          <w:vertAlign w:val="superscript"/>
        </w:rPr>
        <w:t xml:space="preserve"> </w:t>
      </w:r>
      <w:r w:rsidR="004624BA">
        <w:rPr>
          <w:rFonts w:cs="Arial"/>
          <w:sz w:val="17"/>
          <w:szCs w:val="17"/>
          <w:vertAlign w:val="superscript"/>
        </w:rPr>
        <w:tab/>
      </w:r>
      <w:r w:rsidR="004624BA" w:rsidRPr="004624BA">
        <w:rPr>
          <w:rFonts w:cs="Arial"/>
          <w:sz w:val="17"/>
          <w:szCs w:val="17"/>
        </w:rPr>
        <w:t>Kā garāko turēšanas ilgumu lūdzam izmantot "&gt; 9 gadi".</w:t>
      </w:r>
    </w:p>
  </w:footnote>
  <w:footnote w:id="5">
    <w:p w14:paraId="732DB192" w14:textId="73C119A7" w:rsidR="00F3577E" w:rsidRPr="0089742C" w:rsidRDefault="00F3577E" w:rsidP="0089742C">
      <w:pPr>
        <w:pStyle w:val="FootnoteText"/>
        <w:spacing w:before="0" w:after="0" w:line="200" w:lineRule="exact"/>
        <w:rPr>
          <w:rFonts w:cs="Arial"/>
          <w:sz w:val="17"/>
          <w:szCs w:val="17"/>
        </w:rPr>
      </w:pPr>
      <w:r>
        <w:rPr>
          <w:rStyle w:val="FootnoteReference"/>
          <w:rFonts w:cs="Arial"/>
          <w:sz w:val="17"/>
          <w:szCs w:val="17"/>
        </w:rPr>
        <w:footnoteRef/>
      </w:r>
      <w:r>
        <w:rPr>
          <w:sz w:val="17"/>
        </w:rPr>
        <w:t xml:space="preserve"> </w:t>
      </w:r>
      <w:r w:rsidR="00AD38EC">
        <w:rPr>
          <w:sz w:val="17"/>
        </w:rPr>
        <w:tab/>
      </w:r>
      <w:r>
        <w:rPr>
          <w:sz w:val="17"/>
        </w:rPr>
        <w:t>Ja atskaitījumu aprēķina nevis riska darījumu, bet portfeļa līmenī (IRB deficīts), aprēķinātais kopējais atskaitījums jāsadala katram riska darījumam, kā norādīts tālāk iedaļā "IRB deficīta sadalījums atsevišķiem riska darījumiem".</w:t>
      </w:r>
    </w:p>
  </w:footnote>
  <w:footnote w:id="6">
    <w:p w14:paraId="48EB91C4" w14:textId="52021474" w:rsidR="00A610BA" w:rsidRPr="0089742C" w:rsidRDefault="00A610BA" w:rsidP="00A610BA">
      <w:pPr>
        <w:pStyle w:val="FootnoteText"/>
        <w:spacing w:before="0" w:after="0" w:line="200" w:lineRule="exact"/>
        <w:rPr>
          <w:rFonts w:cs="Arial"/>
          <w:sz w:val="17"/>
          <w:szCs w:val="17"/>
        </w:rPr>
      </w:pPr>
      <w:r>
        <w:rPr>
          <w:rStyle w:val="FootnoteReference"/>
          <w:rFonts w:cs="Arial"/>
          <w:sz w:val="17"/>
          <w:szCs w:val="17"/>
        </w:rPr>
        <w:footnoteRef/>
      </w:r>
      <w:r>
        <w:t xml:space="preserve"> </w:t>
      </w:r>
      <w:r w:rsidR="00AD38EC">
        <w:tab/>
      </w:r>
      <w:r>
        <w:t xml:space="preserve">T. i., ko garantējis vai kā atbalsta garantiju sniedzis 201. panta 1. punkta a)–e) apakšpunktā minētais atbilstošais </w:t>
      </w:r>
      <w:proofErr w:type="spellStart"/>
      <w:r>
        <w:t>kredītaizsardzības</w:t>
      </w:r>
      <w:proofErr w:type="spellEnd"/>
      <w:r>
        <w:t xml:space="preserve"> devējs, ar kuru noslēgtiem nenodrošinātiem riska darījumiem būtu piešķirta 0 % riska pakāpe saskaņā ar Trešās daļas II sadaļas 2. nodaļu.</w:t>
      </w:r>
    </w:p>
  </w:footnote>
  <w:footnote w:id="7">
    <w:p w14:paraId="1043F76E" w14:textId="34D7787D" w:rsidR="00A610BA" w:rsidRDefault="00A610BA" w:rsidP="00A610BA">
      <w:pPr>
        <w:pStyle w:val="FootnoteText"/>
      </w:pPr>
      <w:r>
        <w:rPr>
          <w:rStyle w:val="FootnoteReference"/>
        </w:rPr>
        <w:footnoteRef/>
      </w:r>
      <w:r>
        <w:t xml:space="preserve"> </w:t>
      </w:r>
      <w:r w:rsidR="00AD38EC">
        <w:tab/>
      </w:r>
      <w:r>
        <w:t xml:space="preserve">Kā norādīts Regulas (ES) Nr. 575/2013 47.c panta 4. punkta b) apakšpunktā, tas attiecas uz gadījumiem, kad atbilstošais </w:t>
      </w:r>
      <w:proofErr w:type="spellStart"/>
      <w:r>
        <w:t>kredītaizsardzības</w:t>
      </w:r>
      <w:proofErr w:type="spellEnd"/>
      <w:r>
        <w:t xml:space="preserve"> devējs nav piekritis pilnībā un saskaņā ar sākotnējo līgumā noteikto maksājumu grafiku pildīt visas parādnieka maksājumu saistības pret iestādi.</w:t>
      </w:r>
    </w:p>
  </w:footnote>
  <w:footnote w:id="8">
    <w:p w14:paraId="1A77F54E" w14:textId="49361ECA" w:rsidR="00A610BA" w:rsidRDefault="00A610BA" w:rsidP="00A610BA">
      <w:pPr>
        <w:pStyle w:val="FootnoteText"/>
      </w:pPr>
      <w:r>
        <w:rPr>
          <w:rStyle w:val="FootnoteReference"/>
        </w:rPr>
        <w:footnoteRef/>
      </w:r>
      <w:r>
        <w:t xml:space="preserve"> </w:t>
      </w:r>
      <w:r w:rsidR="00AD38EC">
        <w:tab/>
      </w:r>
      <w:r>
        <w:t xml:space="preserve">Kā norādīts Regulas (ES) Nr. 575/2013 47.c panta 4. punktā, tas attiecas uz gadījumiem, kad atbilstošais </w:t>
      </w:r>
      <w:proofErr w:type="spellStart"/>
      <w:r>
        <w:t>kredītaizsardzības</w:t>
      </w:r>
      <w:proofErr w:type="spellEnd"/>
      <w:r>
        <w:t xml:space="preserve"> devējs piekritis pilnībā un saskaņā ar sākotnējo līgumā noteikto maksājumu grafiku pildīt visas parādnieka maksājumu saistības pret iestādi.</w:t>
      </w:r>
    </w:p>
  </w:footnote>
  <w:footnote w:id="9">
    <w:p w14:paraId="20A4E7DC" w14:textId="31515349" w:rsidR="00F3577E" w:rsidRPr="0089742C" w:rsidRDefault="00F3577E" w:rsidP="0089742C">
      <w:pPr>
        <w:pStyle w:val="FootnoteText"/>
        <w:spacing w:before="0" w:after="0" w:line="200" w:lineRule="exact"/>
        <w:rPr>
          <w:rFonts w:cs="Arial"/>
          <w:sz w:val="17"/>
          <w:szCs w:val="17"/>
        </w:rPr>
      </w:pPr>
      <w:r>
        <w:rPr>
          <w:rStyle w:val="FootnoteReference"/>
          <w:rFonts w:cs="Arial"/>
          <w:sz w:val="17"/>
          <w:szCs w:val="17"/>
        </w:rPr>
        <w:footnoteRef/>
      </w:r>
      <w:r>
        <w:t xml:space="preserve"> </w:t>
      </w:r>
      <w:r w:rsidR="00EF7131">
        <w:tab/>
      </w:r>
      <w:r>
        <w:t xml:space="preserve">T. i., ko garantējis vai kā atbalsta garantiju sniedzis 201. panta 1. punkta a)–e) apakšpunktā minētais atbilstošais </w:t>
      </w:r>
      <w:proofErr w:type="spellStart"/>
      <w:r>
        <w:t>kredītaizsardzības</w:t>
      </w:r>
      <w:proofErr w:type="spellEnd"/>
      <w:r>
        <w:t xml:space="preserve"> devējs, ar kuru noslēgtiem nenodrošinātiem riska darījumiem būtu piešķirta 0 % riska pakāpe saskaņā ar Trešās daļas II sadaļas 2. nodaļu.</w:t>
      </w:r>
    </w:p>
  </w:footnote>
  <w:footnote w:id="10">
    <w:p w14:paraId="715FA1EF" w14:textId="17F4E5F9" w:rsidR="00F3577E" w:rsidRPr="0089742C" w:rsidRDefault="00F3577E" w:rsidP="0089742C">
      <w:pPr>
        <w:pStyle w:val="FootnoteText"/>
        <w:spacing w:before="0" w:after="0" w:line="200" w:lineRule="exact"/>
        <w:rPr>
          <w:rFonts w:cs="Arial"/>
          <w:sz w:val="17"/>
          <w:szCs w:val="17"/>
        </w:rPr>
      </w:pPr>
      <w:r>
        <w:rPr>
          <w:rStyle w:val="FootnoteReference"/>
          <w:rFonts w:cs="Arial"/>
          <w:sz w:val="17"/>
          <w:szCs w:val="17"/>
        </w:rPr>
        <w:footnoteRef/>
      </w:r>
      <w:r>
        <w:t xml:space="preserve"> </w:t>
      </w:r>
      <w:r w:rsidR="00EF7131">
        <w:tab/>
      </w:r>
      <w:r>
        <w:t xml:space="preserve">T. i., ko garantējis vai kā atbalsta garantiju sniedzis 201. panta 1. punkta a)–e) apakšpunktā minētais atbilstošais </w:t>
      </w:r>
      <w:proofErr w:type="spellStart"/>
      <w:r>
        <w:t>kredītaizsardzības</w:t>
      </w:r>
      <w:proofErr w:type="spellEnd"/>
      <w:r>
        <w:t xml:space="preserve"> devējs, ar kuru noslēgtiem nenodrošinātiem riska darījumiem būtu piešķirta 0 % riska pakāpe saskaņā ar Trešās daļas II sadaļas 2. nodaļu.</w:t>
      </w:r>
    </w:p>
  </w:footnote>
  <w:footnote w:id="11">
    <w:p w14:paraId="4AAF142B" w14:textId="2E737075" w:rsidR="002368D9" w:rsidRPr="0089742C" w:rsidRDefault="002368D9" w:rsidP="002368D9">
      <w:pPr>
        <w:pStyle w:val="FootnoteText"/>
        <w:spacing w:before="0" w:after="0" w:line="200" w:lineRule="exact"/>
        <w:rPr>
          <w:rFonts w:cs="Arial"/>
          <w:sz w:val="17"/>
          <w:szCs w:val="17"/>
        </w:rPr>
      </w:pPr>
      <w:r>
        <w:rPr>
          <w:rStyle w:val="FootnoteReference"/>
          <w:rFonts w:cs="Arial"/>
          <w:sz w:val="17"/>
          <w:szCs w:val="17"/>
        </w:rPr>
        <w:footnoteRef/>
      </w:r>
      <w:r>
        <w:t xml:space="preserve"> </w:t>
      </w:r>
      <w:r w:rsidR="00FA1A5A">
        <w:tab/>
      </w:r>
      <w:r>
        <w:t xml:space="preserve">T. i., ko garantējis vai kā atbalsta garantiju sniedzis 201. panta 1. punkta a)–e) apakšpunktā minētais atbilstošais </w:t>
      </w:r>
      <w:proofErr w:type="spellStart"/>
      <w:r>
        <w:t>kredītaizsardzības</w:t>
      </w:r>
      <w:proofErr w:type="spellEnd"/>
      <w:r>
        <w:t xml:space="preserve"> devējs, ar kuru noslēgtiem nenodrošinātiem riska darījumiem būtu piešķirta 0 % riska pakāpe saskaņā ar Trešās daļas II sadaļas 2. nodaļu.</w:t>
      </w:r>
    </w:p>
  </w:footnote>
  <w:footnote w:id="12">
    <w:p w14:paraId="64081BDB" w14:textId="0083B2CD" w:rsidR="009D3140" w:rsidRPr="0089742C" w:rsidRDefault="009D3140" w:rsidP="009D3140">
      <w:pPr>
        <w:pStyle w:val="FootnoteText"/>
        <w:spacing w:before="0" w:after="0" w:line="200" w:lineRule="exact"/>
        <w:rPr>
          <w:rFonts w:cs="Arial"/>
          <w:sz w:val="17"/>
          <w:szCs w:val="17"/>
        </w:rPr>
      </w:pPr>
      <w:r>
        <w:rPr>
          <w:rStyle w:val="FootnoteReference"/>
          <w:rFonts w:cs="Arial"/>
          <w:sz w:val="17"/>
          <w:szCs w:val="17"/>
        </w:rPr>
        <w:footnoteRef/>
      </w:r>
      <w:r>
        <w:rPr>
          <w:sz w:val="17"/>
        </w:rPr>
        <w:t xml:space="preserve"> </w:t>
      </w:r>
      <w:r w:rsidR="009B1707">
        <w:rPr>
          <w:sz w:val="17"/>
        </w:rPr>
        <w:tab/>
      </w:r>
      <w:r>
        <w:rPr>
          <w:sz w:val="17"/>
        </w:rPr>
        <w:t xml:space="preserve">Pārskatu sniegšanas vajadzībām veidnē jāuzrāda IRB portfeļu 1. pīlāra kredītriska kapitāla prasības. </w:t>
      </w:r>
    </w:p>
  </w:footnote>
  <w:footnote w:id="13">
    <w:p w14:paraId="46052278" w14:textId="4F97BE37" w:rsidR="00595DFA" w:rsidRDefault="00595DFA" w:rsidP="00083F99">
      <w:pPr>
        <w:autoSpaceDE w:val="0"/>
        <w:autoSpaceDN w:val="0"/>
        <w:adjustRightInd w:val="0"/>
        <w:spacing w:before="0" w:after="0" w:line="200" w:lineRule="exact"/>
        <w:ind w:left="284" w:hanging="284"/>
        <w:jc w:val="both"/>
      </w:pPr>
      <w:r>
        <w:rPr>
          <w:rStyle w:val="FootnoteReference"/>
          <w:sz w:val="17"/>
          <w:szCs w:val="17"/>
        </w:rPr>
        <w:footnoteRef/>
      </w:r>
      <w:r>
        <w:t xml:space="preserve"> </w:t>
      </w:r>
      <w:r w:rsidR="00725F66">
        <w:tab/>
      </w:r>
      <w:r w:rsidRPr="00725F66">
        <w:rPr>
          <w:sz w:val="17"/>
          <w:szCs w:val="18"/>
        </w:rPr>
        <w:t>Piemēram, "izpildes garantijas" un citas garantijas, kas uzskaitītas CRR I pielikuma 4. punkta a) apakšpunkta i) punktā, kam nav kredīta aizstājējiem raksturīgo pazīmju. Garantijas ar līgumiskām ekonomiskām saistībām (piemēram, finanšu garantijas) nevar uzskatīt par "tehniskām garantijām</w:t>
      </w:r>
      <w:r>
        <w:rPr>
          <w:sz w:val="17"/>
        </w:rPr>
        <w:t>".</w:t>
      </w:r>
    </w:p>
  </w:footnote>
  <w:footnote w:id="14">
    <w:p w14:paraId="70625A2B" w14:textId="576F0BC2" w:rsidR="009D3140" w:rsidRPr="0089742C" w:rsidRDefault="009D3140" w:rsidP="009D3140">
      <w:pPr>
        <w:pStyle w:val="FootnoteText"/>
        <w:spacing w:before="0" w:after="0" w:line="200" w:lineRule="exact"/>
        <w:rPr>
          <w:rFonts w:cs="Arial"/>
          <w:sz w:val="17"/>
          <w:szCs w:val="17"/>
        </w:rPr>
      </w:pPr>
      <w:r>
        <w:rPr>
          <w:rStyle w:val="FootnoteReference"/>
          <w:rFonts w:cs="Arial"/>
          <w:sz w:val="17"/>
          <w:szCs w:val="17"/>
        </w:rPr>
        <w:footnoteRef/>
      </w:r>
      <w:r>
        <w:rPr>
          <w:sz w:val="17"/>
          <w:vertAlign w:val="superscript"/>
        </w:rPr>
        <w:t xml:space="preserve"> </w:t>
      </w:r>
      <w:r w:rsidR="009B1707">
        <w:rPr>
          <w:sz w:val="17"/>
          <w:vertAlign w:val="superscript"/>
        </w:rPr>
        <w:tab/>
      </w:r>
      <w:r>
        <w:rPr>
          <w:sz w:val="17"/>
        </w:rPr>
        <w:t xml:space="preserve">Riska darījumus, par kuriem ir skaidras norādes, ka var nebūt iespējams panākt pilnīgu atmaksu, nedrīkst uzrādīt kā iespējamus izņēmumus (piemēram, potenciāla norāde šādā gadījumā var būt būtiska neatbilstība starp laiku kopš pēdējā </w:t>
      </w:r>
      <w:proofErr w:type="spellStart"/>
      <w:r>
        <w:rPr>
          <w:sz w:val="17"/>
        </w:rPr>
        <w:t>kredītnosacījumu</w:t>
      </w:r>
      <w:proofErr w:type="spellEnd"/>
      <w:r>
        <w:rPr>
          <w:sz w:val="17"/>
        </w:rPr>
        <w:t xml:space="preserve"> pārskatīšanas pasākuma un periodu, kura laikā veikti līgumā noteiktie maksājumi, vai liels īstenotu pārskatīšanas pasākumu skaits).</w:t>
      </w:r>
    </w:p>
  </w:footnote>
  <w:footnote w:id="15">
    <w:p w14:paraId="082A0AA7" w14:textId="77777777" w:rsidR="009D3140" w:rsidRPr="0089742C" w:rsidRDefault="009D3140" w:rsidP="009D3140">
      <w:pPr>
        <w:pStyle w:val="FootnoteText"/>
        <w:spacing w:before="0" w:after="0" w:line="200" w:lineRule="exact"/>
        <w:rPr>
          <w:rFonts w:cs="Arial"/>
          <w:sz w:val="17"/>
          <w:szCs w:val="17"/>
        </w:rPr>
      </w:pPr>
      <w:r>
        <w:rPr>
          <w:rStyle w:val="FootnoteReference"/>
          <w:rFonts w:cs="Arial"/>
          <w:sz w:val="17"/>
          <w:szCs w:val="17"/>
        </w:rPr>
        <w:footnoteRef/>
      </w:r>
      <w:r>
        <w:rPr>
          <w:sz w:val="17"/>
        </w:rPr>
        <w:t xml:space="preserve"> EBA/GL/2016/07, kas publicētas 2017. gada 18. janvārī.</w:t>
      </w:r>
    </w:p>
  </w:footnote>
  <w:footnote w:id="16">
    <w:p w14:paraId="4FE752DA" w14:textId="3CBD4D33" w:rsidR="009D3140" w:rsidRPr="0089742C" w:rsidRDefault="009D3140" w:rsidP="009D3140">
      <w:pPr>
        <w:pStyle w:val="FootnoteText"/>
        <w:spacing w:before="0" w:after="0" w:line="200" w:lineRule="exact"/>
        <w:rPr>
          <w:rFonts w:cs="Arial"/>
          <w:sz w:val="17"/>
          <w:szCs w:val="17"/>
        </w:rPr>
      </w:pPr>
      <w:r>
        <w:rPr>
          <w:rStyle w:val="FootnoteReference"/>
          <w:rFonts w:cs="Arial"/>
          <w:sz w:val="17"/>
          <w:szCs w:val="17"/>
        </w:rPr>
        <w:footnoteRef/>
      </w:r>
      <w:r>
        <w:rPr>
          <w:sz w:val="17"/>
        </w:rPr>
        <w:t xml:space="preserve"> </w:t>
      </w:r>
      <w:r w:rsidR="00B470CD">
        <w:rPr>
          <w:sz w:val="17"/>
        </w:rPr>
        <w:tab/>
      </w:r>
      <w:r>
        <w:rPr>
          <w:sz w:val="17"/>
        </w:rPr>
        <w:t>Ja atskaitījumu aprēķina nevis riska darījumu, bet portfeļa līmenī (t. i., IRB deficīts), aprēķinātais kopējais atskaitījums jāsadala katram riska darījumam, sverot to ar riska darījuma vērtību.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E290F" w14:textId="4049DD7F" w:rsidR="002166E6" w:rsidRDefault="00C03027">
    <w:pPr>
      <w:pStyle w:val="Header"/>
    </w:pPr>
    <w:r>
      <w:rPr>
        <w:noProof/>
      </w:rPr>
      <mc:AlternateContent>
        <mc:Choice Requires="wps">
          <w:drawing>
            <wp:anchor distT="0" distB="0" distL="0" distR="0" simplePos="0" relativeHeight="251659264" behindDoc="0" locked="0" layoutInCell="1" allowOverlap="1" wp14:anchorId="6CC31791" wp14:editId="6CDC8E89">
              <wp:simplePos x="635" y="635"/>
              <wp:positionH relativeFrom="page">
                <wp:align>right</wp:align>
              </wp:positionH>
              <wp:positionV relativeFrom="page">
                <wp:align>top</wp:align>
              </wp:positionV>
              <wp:extent cx="1489075" cy="444500"/>
              <wp:effectExtent l="0" t="0" r="0" b="12700"/>
              <wp:wrapNone/>
              <wp:docPr id="445413322" name="Text Box 2" descr="ECB-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89075" cy="444500"/>
                      </a:xfrm>
                      <a:prstGeom prst="rect">
                        <a:avLst/>
                      </a:prstGeom>
                      <a:noFill/>
                      <a:ln>
                        <a:noFill/>
                      </a:ln>
                    </wps:spPr>
                    <wps:txbx>
                      <w:txbxContent>
                        <w:p w14:paraId="3314BB8F" w14:textId="3D6C1DD6" w:rsidR="00C03027" w:rsidRPr="00C03027" w:rsidRDefault="00C03027" w:rsidP="00C03027">
                          <w:pPr>
                            <w:spacing w:after="0"/>
                            <w:rPr>
                              <w:rFonts w:eastAsia="Arial" w:cs="Arial"/>
                              <w:noProof/>
                              <w:color w:val="000000"/>
                              <w:szCs w:val="20"/>
                            </w:rPr>
                          </w:pPr>
                          <w:r>
                            <w:rPr>
                              <w:color w:val="000000"/>
                            </w:rPr>
                            <w:t>ECB-CONFIDENTIAL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CC31791" id="_x0000_t202" coordsize="21600,21600" o:spt="202" path="m,l,21600r21600,l21600,xe">
              <v:stroke joinstyle="miter"/>
              <v:path gradientshapeok="t" o:connecttype="rect"/>
            </v:shapetype>
            <v:shape id="Text Box 2" o:spid="_x0000_s1026" type="#_x0000_t202" alt="ECB-CONFIDENTIAL" style="position:absolute;left:0;text-align:left;margin-left:66.05pt;margin-top:0;width:117.25pt;height:3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" filled="f" stroked="f">
              <v:textbox style="mso-fit-shape-to-text:t" inset="0,15pt,20pt,0">
                <w:txbxContent>
                  <w:p w14:paraId="3314BB8F" w14:textId="3D6C1DD6" w:rsidR="00C03027" w:rsidRPr="00C03027" w:rsidRDefault="00C03027" w:rsidP="00C03027">
                    <w:pPr>
                      <w:spacing w:after="0"/>
                      <w:rPr>
                        <w:rFonts w:eastAsia="Arial" w:cs="Arial"/>
                        <w:noProof/>
                        <w:color w:val="000000"/>
                        <w:szCs w:val="20"/>
                      </w:rPr>
                    </w:pPr>
                    <w:r>
                      <w:rPr>
                        <w:color w:val="000000"/>
                      </w:rPr>
                      <w:t>ECB-CONFIDENTIAL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F061D" w14:textId="77777777" w:rsidR="00A604F4" w:rsidRPr="0089742C" w:rsidRDefault="00A604F4" w:rsidP="00A604F4">
    <w:pPr>
      <w:spacing w:line="160" w:lineRule="atLeast"/>
      <w:ind w:left="720"/>
      <w:jc w:val="center"/>
      <w:rPr>
        <w:b/>
        <w:bCs/>
        <w:szCs w:val="20"/>
        <w:lang w:val="en-US"/>
      </w:rPr>
    </w:pPr>
  </w:p>
  <w:p w14:paraId="2339AFC4" w14:textId="77777777" w:rsidR="00F3577E" w:rsidRDefault="00F357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8C413" w14:textId="63737E80" w:rsidR="00F3577E" w:rsidRPr="00A25FA2" w:rsidRDefault="00F3577E" w:rsidP="00A25F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2690D"/>
    <w:multiLevelType w:val="hybridMultilevel"/>
    <w:tmpl w:val="11822A70"/>
    <w:lvl w:ilvl="0" w:tplc="8B12B7D6">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AB5528"/>
    <w:multiLevelType w:val="hybridMultilevel"/>
    <w:tmpl w:val="11822A70"/>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942151"/>
    <w:multiLevelType w:val="hybridMultilevel"/>
    <w:tmpl w:val="7444CC64"/>
    <w:lvl w:ilvl="0" w:tplc="D50E36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E9153E"/>
    <w:multiLevelType w:val="hybridMultilevel"/>
    <w:tmpl w:val="65AA88C0"/>
    <w:lvl w:ilvl="0" w:tplc="BF06DF88">
      <w:start w:val="1"/>
      <w:numFmt w:val="lowerLetter"/>
      <w:lvlText w:val="%1)"/>
      <w:lvlJc w:val="left"/>
      <w:pPr>
        <w:tabs>
          <w:tab w:val="num" w:pos="720"/>
        </w:tabs>
        <w:ind w:left="720" w:hanging="360"/>
      </w:pPr>
    </w:lvl>
    <w:lvl w:ilvl="1" w:tplc="27123EDE" w:tentative="1">
      <w:start w:val="1"/>
      <w:numFmt w:val="lowerLetter"/>
      <w:lvlText w:val="%2)"/>
      <w:lvlJc w:val="left"/>
      <w:pPr>
        <w:tabs>
          <w:tab w:val="num" w:pos="1440"/>
        </w:tabs>
        <w:ind w:left="1440" w:hanging="360"/>
      </w:pPr>
    </w:lvl>
    <w:lvl w:ilvl="2" w:tplc="4FFE3E46" w:tentative="1">
      <w:start w:val="1"/>
      <w:numFmt w:val="lowerLetter"/>
      <w:lvlText w:val="%3)"/>
      <w:lvlJc w:val="left"/>
      <w:pPr>
        <w:tabs>
          <w:tab w:val="num" w:pos="2160"/>
        </w:tabs>
        <w:ind w:left="2160" w:hanging="360"/>
      </w:pPr>
    </w:lvl>
    <w:lvl w:ilvl="3" w:tplc="7FE87B82" w:tentative="1">
      <w:start w:val="1"/>
      <w:numFmt w:val="lowerLetter"/>
      <w:lvlText w:val="%4)"/>
      <w:lvlJc w:val="left"/>
      <w:pPr>
        <w:tabs>
          <w:tab w:val="num" w:pos="2880"/>
        </w:tabs>
        <w:ind w:left="2880" w:hanging="360"/>
      </w:pPr>
    </w:lvl>
    <w:lvl w:ilvl="4" w:tplc="B510C978" w:tentative="1">
      <w:start w:val="1"/>
      <w:numFmt w:val="lowerLetter"/>
      <w:lvlText w:val="%5)"/>
      <w:lvlJc w:val="left"/>
      <w:pPr>
        <w:tabs>
          <w:tab w:val="num" w:pos="3600"/>
        </w:tabs>
        <w:ind w:left="3600" w:hanging="360"/>
      </w:pPr>
    </w:lvl>
    <w:lvl w:ilvl="5" w:tplc="8EF60368" w:tentative="1">
      <w:start w:val="1"/>
      <w:numFmt w:val="lowerLetter"/>
      <w:lvlText w:val="%6)"/>
      <w:lvlJc w:val="left"/>
      <w:pPr>
        <w:tabs>
          <w:tab w:val="num" w:pos="4320"/>
        </w:tabs>
        <w:ind w:left="4320" w:hanging="360"/>
      </w:pPr>
    </w:lvl>
    <w:lvl w:ilvl="6" w:tplc="EFE266B8" w:tentative="1">
      <w:start w:val="1"/>
      <w:numFmt w:val="lowerLetter"/>
      <w:lvlText w:val="%7)"/>
      <w:lvlJc w:val="left"/>
      <w:pPr>
        <w:tabs>
          <w:tab w:val="num" w:pos="5040"/>
        </w:tabs>
        <w:ind w:left="5040" w:hanging="360"/>
      </w:pPr>
    </w:lvl>
    <w:lvl w:ilvl="7" w:tplc="3BAEDDFA" w:tentative="1">
      <w:start w:val="1"/>
      <w:numFmt w:val="lowerLetter"/>
      <w:lvlText w:val="%8)"/>
      <w:lvlJc w:val="left"/>
      <w:pPr>
        <w:tabs>
          <w:tab w:val="num" w:pos="5760"/>
        </w:tabs>
        <w:ind w:left="5760" w:hanging="360"/>
      </w:pPr>
    </w:lvl>
    <w:lvl w:ilvl="8" w:tplc="7E9E00E8" w:tentative="1">
      <w:start w:val="1"/>
      <w:numFmt w:val="lowerLetter"/>
      <w:lvlText w:val="%9)"/>
      <w:lvlJc w:val="left"/>
      <w:pPr>
        <w:tabs>
          <w:tab w:val="num" w:pos="6480"/>
        </w:tabs>
        <w:ind w:left="6480" w:hanging="360"/>
      </w:pPr>
    </w:lvl>
  </w:abstractNum>
  <w:abstractNum w:abstractNumId="4" w15:restartNumberingAfterBreak="0">
    <w:nsid w:val="0BDA63C3"/>
    <w:multiLevelType w:val="hybridMultilevel"/>
    <w:tmpl w:val="B1325ECE"/>
    <w:lvl w:ilvl="0" w:tplc="8FD669B8">
      <w:start w:val="1"/>
      <w:numFmt w:val="upperRoman"/>
      <w:pStyle w:val="Title"/>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961712"/>
    <w:multiLevelType w:val="hybridMultilevel"/>
    <w:tmpl w:val="9F80736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F35DDB"/>
    <w:multiLevelType w:val="hybridMultilevel"/>
    <w:tmpl w:val="4AC25E38"/>
    <w:lvl w:ilvl="0" w:tplc="2A324980">
      <w:start w:val="4"/>
      <w:numFmt w:val="bullet"/>
      <w:lvlText w:val="-"/>
      <w:lvlJc w:val="left"/>
      <w:pPr>
        <w:ind w:left="720" w:hanging="360"/>
      </w:pPr>
      <w:rPr>
        <w:rFonts w:ascii="Calibri" w:eastAsiaTheme="minorEastAsia"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1B6A2D"/>
    <w:multiLevelType w:val="hybridMultilevel"/>
    <w:tmpl w:val="11822A70"/>
    <w:lvl w:ilvl="0" w:tplc="8B12B7D6">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12B5E09"/>
    <w:multiLevelType w:val="hybridMultilevel"/>
    <w:tmpl w:val="B5F6374C"/>
    <w:lvl w:ilvl="0" w:tplc="2DA476AC">
      <w:start w:val="1"/>
      <w:numFmt w:val="lowerLetter"/>
      <w:pStyle w:val="ECBList1"/>
      <w:lvlText w:val="(%1)"/>
      <w:lvlJc w:val="left"/>
      <w:pPr>
        <w:ind w:left="1287" w:hanging="360"/>
      </w:pPr>
      <w:rPr>
        <w:rFonts w:ascii="Arial" w:hAnsi="Arial" w:hint="default"/>
        <w:b/>
        <w:i w:val="0"/>
        <w:caps w:val="0"/>
        <w:strike w:val="0"/>
        <w:dstrike w:val="0"/>
        <w:vanish w:val="0"/>
        <w:color w:val="auto"/>
        <w:sz w:val="20"/>
        <w:vertAlign w:val="baseline"/>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9" w15:restartNumberingAfterBreak="0">
    <w:nsid w:val="126153DF"/>
    <w:multiLevelType w:val="hybridMultilevel"/>
    <w:tmpl w:val="FD5415C6"/>
    <w:lvl w:ilvl="0" w:tplc="CF72E0F0">
      <w:start w:val="4"/>
      <w:numFmt w:val="bullet"/>
      <w:lvlText w:val="-"/>
      <w:lvlJc w:val="left"/>
      <w:pPr>
        <w:ind w:left="720" w:hanging="360"/>
      </w:pPr>
      <w:rPr>
        <w:rFonts w:ascii="Calibri" w:eastAsiaTheme="minorEastAsia"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770C91"/>
    <w:multiLevelType w:val="hybridMultilevel"/>
    <w:tmpl w:val="032C095A"/>
    <w:lvl w:ilvl="0" w:tplc="3A1A5E0A">
      <w:start w:val="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8C2E94"/>
    <w:multiLevelType w:val="hybridMultilevel"/>
    <w:tmpl w:val="41CE0EB4"/>
    <w:lvl w:ilvl="0" w:tplc="C52CB87E">
      <w:start w:val="1"/>
      <w:numFmt w:val="decimal"/>
      <w:pStyle w:val="Annex"/>
      <w:lvlText w:val="Annex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97C5C64"/>
    <w:multiLevelType w:val="hybridMultilevel"/>
    <w:tmpl w:val="6E5C387C"/>
    <w:lvl w:ilvl="0" w:tplc="FA4CDC20">
      <w:start w:val="14"/>
      <w:numFmt w:val="bullet"/>
      <w:lvlText w:val=""/>
      <w:lvlJc w:val="left"/>
      <w:pPr>
        <w:ind w:left="720" w:hanging="360"/>
      </w:pPr>
      <w:rPr>
        <w:rFonts w:ascii="Symbol" w:eastAsia="Times New Roman" w:hAnsi="Symbol" w:cs="Sendny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9DB2405"/>
    <w:multiLevelType w:val="hybridMultilevel"/>
    <w:tmpl w:val="11822A70"/>
    <w:lvl w:ilvl="0" w:tplc="8B12B7D6">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D97D32"/>
    <w:multiLevelType w:val="hybridMultilevel"/>
    <w:tmpl w:val="37A29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F613C0"/>
    <w:multiLevelType w:val="hybridMultilevel"/>
    <w:tmpl w:val="C076022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7CD2AA6"/>
    <w:multiLevelType w:val="hybridMultilevel"/>
    <w:tmpl w:val="B2DE9850"/>
    <w:lvl w:ilvl="0" w:tplc="C5FAA91A">
      <w:start w:val="1"/>
      <w:numFmt w:val="bullet"/>
      <w:lvlText w:val=""/>
      <w:lvlJc w:val="left"/>
      <w:pPr>
        <w:tabs>
          <w:tab w:val="num" w:pos="720"/>
        </w:tabs>
        <w:ind w:left="720" w:hanging="360"/>
      </w:pPr>
      <w:rPr>
        <w:rFonts w:ascii="Wingdings" w:hAnsi="Wingdings" w:hint="default"/>
      </w:rPr>
    </w:lvl>
    <w:lvl w:ilvl="1" w:tplc="FBD6E2FA" w:tentative="1">
      <w:start w:val="1"/>
      <w:numFmt w:val="bullet"/>
      <w:lvlText w:val=""/>
      <w:lvlJc w:val="left"/>
      <w:pPr>
        <w:tabs>
          <w:tab w:val="num" w:pos="1440"/>
        </w:tabs>
        <w:ind w:left="1440" w:hanging="360"/>
      </w:pPr>
      <w:rPr>
        <w:rFonts w:ascii="Wingdings" w:hAnsi="Wingdings" w:hint="default"/>
      </w:rPr>
    </w:lvl>
    <w:lvl w:ilvl="2" w:tplc="304422EC" w:tentative="1">
      <w:start w:val="1"/>
      <w:numFmt w:val="bullet"/>
      <w:lvlText w:val=""/>
      <w:lvlJc w:val="left"/>
      <w:pPr>
        <w:tabs>
          <w:tab w:val="num" w:pos="2160"/>
        </w:tabs>
        <w:ind w:left="2160" w:hanging="360"/>
      </w:pPr>
      <w:rPr>
        <w:rFonts w:ascii="Wingdings" w:hAnsi="Wingdings" w:hint="default"/>
      </w:rPr>
    </w:lvl>
    <w:lvl w:ilvl="3" w:tplc="0726B98E" w:tentative="1">
      <w:start w:val="1"/>
      <w:numFmt w:val="bullet"/>
      <w:lvlText w:val=""/>
      <w:lvlJc w:val="left"/>
      <w:pPr>
        <w:tabs>
          <w:tab w:val="num" w:pos="2880"/>
        </w:tabs>
        <w:ind w:left="2880" w:hanging="360"/>
      </w:pPr>
      <w:rPr>
        <w:rFonts w:ascii="Wingdings" w:hAnsi="Wingdings" w:hint="default"/>
      </w:rPr>
    </w:lvl>
    <w:lvl w:ilvl="4" w:tplc="33163332" w:tentative="1">
      <w:start w:val="1"/>
      <w:numFmt w:val="bullet"/>
      <w:lvlText w:val=""/>
      <w:lvlJc w:val="left"/>
      <w:pPr>
        <w:tabs>
          <w:tab w:val="num" w:pos="3600"/>
        </w:tabs>
        <w:ind w:left="3600" w:hanging="360"/>
      </w:pPr>
      <w:rPr>
        <w:rFonts w:ascii="Wingdings" w:hAnsi="Wingdings" w:hint="default"/>
      </w:rPr>
    </w:lvl>
    <w:lvl w:ilvl="5" w:tplc="660C5E12" w:tentative="1">
      <w:start w:val="1"/>
      <w:numFmt w:val="bullet"/>
      <w:lvlText w:val=""/>
      <w:lvlJc w:val="left"/>
      <w:pPr>
        <w:tabs>
          <w:tab w:val="num" w:pos="4320"/>
        </w:tabs>
        <w:ind w:left="4320" w:hanging="360"/>
      </w:pPr>
      <w:rPr>
        <w:rFonts w:ascii="Wingdings" w:hAnsi="Wingdings" w:hint="default"/>
      </w:rPr>
    </w:lvl>
    <w:lvl w:ilvl="6" w:tplc="43B27D6A" w:tentative="1">
      <w:start w:val="1"/>
      <w:numFmt w:val="bullet"/>
      <w:lvlText w:val=""/>
      <w:lvlJc w:val="left"/>
      <w:pPr>
        <w:tabs>
          <w:tab w:val="num" w:pos="5040"/>
        </w:tabs>
        <w:ind w:left="5040" w:hanging="360"/>
      </w:pPr>
      <w:rPr>
        <w:rFonts w:ascii="Wingdings" w:hAnsi="Wingdings" w:hint="default"/>
      </w:rPr>
    </w:lvl>
    <w:lvl w:ilvl="7" w:tplc="CCEC3804" w:tentative="1">
      <w:start w:val="1"/>
      <w:numFmt w:val="bullet"/>
      <w:lvlText w:val=""/>
      <w:lvlJc w:val="left"/>
      <w:pPr>
        <w:tabs>
          <w:tab w:val="num" w:pos="5760"/>
        </w:tabs>
        <w:ind w:left="5760" w:hanging="360"/>
      </w:pPr>
      <w:rPr>
        <w:rFonts w:ascii="Wingdings" w:hAnsi="Wingdings" w:hint="default"/>
      </w:rPr>
    </w:lvl>
    <w:lvl w:ilvl="8" w:tplc="67303AA4"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82D0557"/>
    <w:multiLevelType w:val="hybridMultilevel"/>
    <w:tmpl w:val="1298B6E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9293298"/>
    <w:multiLevelType w:val="hybridMultilevel"/>
    <w:tmpl w:val="353E031C"/>
    <w:lvl w:ilvl="0" w:tplc="FFFFFFFF">
      <w:start w:val="1"/>
      <w:numFmt w:val="lowerLetter"/>
      <w:lvlText w:val="(%1)"/>
      <w:lvlJc w:val="left"/>
      <w:pPr>
        <w:ind w:left="1287" w:hanging="360"/>
      </w:pPr>
      <w:rPr>
        <w:rFonts w:hint="default"/>
      </w:r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9" w15:restartNumberingAfterBreak="0">
    <w:nsid w:val="29583E2C"/>
    <w:multiLevelType w:val="hybridMultilevel"/>
    <w:tmpl w:val="85C2E5E8"/>
    <w:lvl w:ilvl="0" w:tplc="D50E36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4433BF0"/>
    <w:multiLevelType w:val="hybridMultilevel"/>
    <w:tmpl w:val="43C68784"/>
    <w:lvl w:ilvl="0" w:tplc="4306A9BC">
      <w:start w:val="1"/>
      <w:numFmt w:val="lowerRoman"/>
      <w:pStyle w:val="ECBList2"/>
      <w:lvlText w:val="(%1)"/>
      <w:lvlJc w:val="left"/>
      <w:pPr>
        <w:ind w:left="720" w:hanging="360"/>
      </w:pPr>
      <w:rPr>
        <w:rFonts w:ascii="Arial" w:hAnsi="Arial" w:hint="default"/>
        <w:b/>
        <w:i w:val="0"/>
        <w:caps w:val="0"/>
        <w:strike w:val="0"/>
        <w:dstrike w:val="0"/>
        <w:vanish w:val="0"/>
        <w:color w:val="auto"/>
        <w:sz w:val="2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791D99"/>
    <w:multiLevelType w:val="hybridMultilevel"/>
    <w:tmpl w:val="A0C89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805AE3"/>
    <w:multiLevelType w:val="hybridMultilevel"/>
    <w:tmpl w:val="F724BB2A"/>
    <w:lvl w:ilvl="0" w:tplc="FFFFFFFF">
      <w:start w:val="1"/>
      <w:numFmt w:val="decimal"/>
      <w:lvlText w:val="%1."/>
      <w:lvlJc w:val="left"/>
      <w:pPr>
        <w:ind w:left="720" w:hanging="360"/>
      </w:pPr>
      <w:rPr>
        <w:rFonts w:ascii="Arial" w:hAnsi="Arial" w:cs="Times New Roman" w:hint="default"/>
        <w:sz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2E805FE"/>
    <w:multiLevelType w:val="hybridMultilevel"/>
    <w:tmpl w:val="CAF49B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8174E41"/>
    <w:multiLevelType w:val="hybridMultilevel"/>
    <w:tmpl w:val="11822A70"/>
    <w:lvl w:ilvl="0" w:tplc="8B12B7D6">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8356271"/>
    <w:multiLevelType w:val="hybridMultilevel"/>
    <w:tmpl w:val="D2CA2626"/>
    <w:lvl w:ilvl="0" w:tplc="B7F8447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CF17F6F"/>
    <w:multiLevelType w:val="hybridMultilevel"/>
    <w:tmpl w:val="BFA0D2A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15:restartNumberingAfterBreak="0">
    <w:nsid w:val="50227369"/>
    <w:multiLevelType w:val="hybridMultilevel"/>
    <w:tmpl w:val="C2D88122"/>
    <w:lvl w:ilvl="0" w:tplc="4A2A8390">
      <w:start w:val="1"/>
      <w:numFmt w:val="decimal"/>
      <w:pStyle w:val="numberedparagraph"/>
      <w:lvlText w:val="%1."/>
      <w:lvlJc w:val="left"/>
      <w:pPr>
        <w:tabs>
          <w:tab w:val="num" w:pos="284"/>
        </w:tabs>
        <w:ind w:left="284" w:hanging="284"/>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313AD8"/>
    <w:multiLevelType w:val="hybridMultilevel"/>
    <w:tmpl w:val="41D86036"/>
    <w:lvl w:ilvl="0" w:tplc="D50E36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1E74A26"/>
    <w:multiLevelType w:val="hybridMultilevel"/>
    <w:tmpl w:val="3E56D1D0"/>
    <w:lvl w:ilvl="0" w:tplc="6700D86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2623B81"/>
    <w:multiLevelType w:val="hybridMultilevel"/>
    <w:tmpl w:val="2392D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6500A95"/>
    <w:multiLevelType w:val="hybridMultilevel"/>
    <w:tmpl w:val="11822A70"/>
    <w:lvl w:ilvl="0" w:tplc="8B12B7D6">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9717C21"/>
    <w:multiLevelType w:val="multilevel"/>
    <w:tmpl w:val="7E5E6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BC07CF"/>
    <w:multiLevelType w:val="multilevel"/>
    <w:tmpl w:val="9182C67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F6A3AD3"/>
    <w:multiLevelType w:val="hybridMultilevel"/>
    <w:tmpl w:val="11822A70"/>
    <w:lvl w:ilvl="0" w:tplc="8B12B7D6">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7032FB"/>
    <w:multiLevelType w:val="hybridMultilevel"/>
    <w:tmpl w:val="1FE299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2E4174B"/>
    <w:multiLevelType w:val="hybridMultilevel"/>
    <w:tmpl w:val="90E06956"/>
    <w:lvl w:ilvl="0" w:tplc="08090001">
      <w:start w:val="1"/>
      <w:numFmt w:val="bullet"/>
      <w:lvlText w:val=""/>
      <w:lvlJc w:val="left"/>
      <w:pPr>
        <w:ind w:left="782" w:hanging="360"/>
      </w:pPr>
      <w:rPr>
        <w:rFonts w:ascii="Symbol" w:hAnsi="Symbol"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37" w15:restartNumberingAfterBreak="0">
    <w:nsid w:val="66CA2C8C"/>
    <w:multiLevelType w:val="hybridMultilevel"/>
    <w:tmpl w:val="5BF2CFE0"/>
    <w:lvl w:ilvl="0" w:tplc="4BB6D85C">
      <w:start w:val="1"/>
      <w:numFmt w:val="decimal"/>
      <w:pStyle w:val="Instructionsberschrift2"/>
      <w:lvlText w:val="%1.1"/>
      <w:lvlJc w:val="left"/>
      <w:pPr>
        <w:ind w:left="720" w:hanging="360"/>
      </w:pPr>
      <w:rPr>
        <w:rFonts w:cs="Times New Roman" w:hint="default"/>
      </w:rPr>
    </w:lvl>
    <w:lvl w:ilvl="1" w:tplc="E7565B6A">
      <w:start w:val="1"/>
      <w:numFmt w:val="lowerLetter"/>
      <w:lvlText w:val="%2."/>
      <w:lvlJc w:val="left"/>
      <w:pPr>
        <w:ind w:left="1440" w:hanging="360"/>
      </w:pPr>
      <w:rPr>
        <w:rFonts w:cs="Times New Roman"/>
      </w:rPr>
    </w:lvl>
    <w:lvl w:ilvl="2" w:tplc="67A6A44A" w:tentative="1">
      <w:start w:val="1"/>
      <w:numFmt w:val="lowerRoman"/>
      <w:lvlText w:val="%3."/>
      <w:lvlJc w:val="right"/>
      <w:pPr>
        <w:ind w:left="2160" w:hanging="180"/>
      </w:pPr>
      <w:rPr>
        <w:rFonts w:cs="Times New Roman"/>
      </w:rPr>
    </w:lvl>
    <w:lvl w:ilvl="3" w:tplc="21C6EF3C" w:tentative="1">
      <w:start w:val="1"/>
      <w:numFmt w:val="decimal"/>
      <w:lvlText w:val="%4."/>
      <w:lvlJc w:val="left"/>
      <w:pPr>
        <w:ind w:left="2880" w:hanging="360"/>
      </w:pPr>
      <w:rPr>
        <w:rFonts w:cs="Times New Roman"/>
      </w:rPr>
    </w:lvl>
    <w:lvl w:ilvl="4" w:tplc="6C185750" w:tentative="1">
      <w:start w:val="1"/>
      <w:numFmt w:val="lowerLetter"/>
      <w:lvlText w:val="%5."/>
      <w:lvlJc w:val="left"/>
      <w:pPr>
        <w:ind w:left="3600" w:hanging="360"/>
      </w:pPr>
      <w:rPr>
        <w:rFonts w:cs="Times New Roman"/>
      </w:rPr>
    </w:lvl>
    <w:lvl w:ilvl="5" w:tplc="FA46F0F4" w:tentative="1">
      <w:start w:val="1"/>
      <w:numFmt w:val="lowerRoman"/>
      <w:lvlText w:val="%6."/>
      <w:lvlJc w:val="right"/>
      <w:pPr>
        <w:ind w:left="4320" w:hanging="180"/>
      </w:pPr>
      <w:rPr>
        <w:rFonts w:cs="Times New Roman"/>
      </w:rPr>
    </w:lvl>
    <w:lvl w:ilvl="6" w:tplc="84CCF45A" w:tentative="1">
      <w:start w:val="1"/>
      <w:numFmt w:val="decimal"/>
      <w:lvlText w:val="%7."/>
      <w:lvlJc w:val="left"/>
      <w:pPr>
        <w:ind w:left="5040" w:hanging="360"/>
      </w:pPr>
      <w:rPr>
        <w:rFonts w:cs="Times New Roman"/>
      </w:rPr>
    </w:lvl>
    <w:lvl w:ilvl="7" w:tplc="E2FA2386" w:tentative="1">
      <w:start w:val="1"/>
      <w:numFmt w:val="lowerLetter"/>
      <w:lvlText w:val="%8."/>
      <w:lvlJc w:val="left"/>
      <w:pPr>
        <w:ind w:left="5760" w:hanging="360"/>
      </w:pPr>
      <w:rPr>
        <w:rFonts w:cs="Times New Roman"/>
      </w:rPr>
    </w:lvl>
    <w:lvl w:ilvl="8" w:tplc="1E3AE066" w:tentative="1">
      <w:start w:val="1"/>
      <w:numFmt w:val="lowerRoman"/>
      <w:lvlText w:val="%9."/>
      <w:lvlJc w:val="right"/>
      <w:pPr>
        <w:ind w:left="6480" w:hanging="180"/>
      </w:pPr>
      <w:rPr>
        <w:rFonts w:cs="Times New Roman"/>
      </w:rPr>
    </w:lvl>
  </w:abstractNum>
  <w:abstractNum w:abstractNumId="38" w15:restartNumberingAfterBreak="0">
    <w:nsid w:val="6B4A51EA"/>
    <w:multiLevelType w:val="hybridMultilevel"/>
    <w:tmpl w:val="11822A70"/>
    <w:lvl w:ilvl="0" w:tplc="8B12B7D6">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E063E4D"/>
    <w:multiLevelType w:val="multilevel"/>
    <w:tmpl w:val="006A4E40"/>
    <w:lvl w:ilvl="0">
      <w:start w:val="1"/>
      <w:numFmt w:val="decimal"/>
      <w:lvlText w:val="%1."/>
      <w:lvlJc w:val="left"/>
      <w:pPr>
        <w:ind w:left="720" w:hanging="720"/>
      </w:pPr>
      <w:rPr>
        <w:rFonts w:hint="default"/>
        <w:u w:val="none"/>
      </w:rPr>
    </w:lvl>
    <w:lvl w:ilvl="1">
      <w:start w:val="1"/>
      <w:numFmt w:val="decimal"/>
      <w:lvlText w:val="%1.%2."/>
      <w:lvlJc w:val="left"/>
      <w:pPr>
        <w:ind w:left="720" w:hanging="72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40" w15:restartNumberingAfterBreak="0">
    <w:nsid w:val="6E7D7469"/>
    <w:multiLevelType w:val="multilevel"/>
    <w:tmpl w:val="965A7474"/>
    <w:lvl w:ilvl="0">
      <w:start w:val="1"/>
      <w:numFmt w:val="decimal"/>
      <w:pStyle w:val="Heading1"/>
      <w:lvlText w:val="%1."/>
      <w:lvlJc w:val="left"/>
      <w:pPr>
        <w:tabs>
          <w:tab w:val="num" w:pos="567"/>
        </w:tabs>
        <w:ind w:left="567" w:hanging="567"/>
      </w:pPr>
    </w:lvl>
    <w:lvl w:ilvl="1">
      <w:start w:val="1"/>
      <w:numFmt w:val="decimal"/>
      <w:pStyle w:val="Heading2"/>
      <w:lvlText w:val="%1.%2"/>
      <w:lvlJc w:val="left"/>
      <w:pPr>
        <w:tabs>
          <w:tab w:val="num" w:pos="567"/>
        </w:tabs>
        <w:ind w:left="567" w:hanging="567"/>
      </w:pPr>
    </w:lvl>
    <w:lvl w:ilvl="2">
      <w:start w:val="1"/>
      <w:numFmt w:val="decimal"/>
      <w:pStyle w:val="Heading3"/>
      <w:lvlText w:val="%1.%2.%3"/>
      <w:lvlJc w:val="left"/>
      <w:pPr>
        <w:tabs>
          <w:tab w:val="num" w:pos="567"/>
        </w:tabs>
        <w:ind w:left="567"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15:restartNumberingAfterBreak="0">
    <w:nsid w:val="6EED4917"/>
    <w:multiLevelType w:val="hybridMultilevel"/>
    <w:tmpl w:val="2EC6AE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1FE65A6"/>
    <w:multiLevelType w:val="hybridMultilevel"/>
    <w:tmpl w:val="83AA8204"/>
    <w:lvl w:ilvl="0" w:tplc="438810CE">
      <w:start w:val="1"/>
      <w:numFmt w:val="lowerLetter"/>
      <w:lvlText w:val="%1)"/>
      <w:lvlJc w:val="left"/>
      <w:pPr>
        <w:tabs>
          <w:tab w:val="num" w:pos="720"/>
        </w:tabs>
        <w:ind w:left="720" w:hanging="360"/>
      </w:pPr>
      <w:rPr>
        <w:rFonts w:ascii="Times New Roman" w:eastAsia="Times New Roman" w:hAnsi="Times New Roman" w:cs="Sendnya"/>
      </w:rPr>
    </w:lvl>
    <w:lvl w:ilvl="1" w:tplc="37ECBDA2" w:tentative="1">
      <w:start w:val="1"/>
      <w:numFmt w:val="decimal"/>
      <w:lvlText w:val="%2)"/>
      <w:lvlJc w:val="left"/>
      <w:pPr>
        <w:tabs>
          <w:tab w:val="num" w:pos="1440"/>
        </w:tabs>
        <w:ind w:left="1440" w:hanging="360"/>
      </w:pPr>
    </w:lvl>
    <w:lvl w:ilvl="2" w:tplc="7FB8392A" w:tentative="1">
      <w:start w:val="1"/>
      <w:numFmt w:val="decimal"/>
      <w:lvlText w:val="%3)"/>
      <w:lvlJc w:val="left"/>
      <w:pPr>
        <w:tabs>
          <w:tab w:val="num" w:pos="2160"/>
        </w:tabs>
        <w:ind w:left="2160" w:hanging="360"/>
      </w:pPr>
    </w:lvl>
    <w:lvl w:ilvl="3" w:tplc="58147970" w:tentative="1">
      <w:start w:val="1"/>
      <w:numFmt w:val="decimal"/>
      <w:lvlText w:val="%4)"/>
      <w:lvlJc w:val="left"/>
      <w:pPr>
        <w:tabs>
          <w:tab w:val="num" w:pos="2880"/>
        </w:tabs>
        <w:ind w:left="2880" w:hanging="360"/>
      </w:pPr>
    </w:lvl>
    <w:lvl w:ilvl="4" w:tplc="1A988A0E" w:tentative="1">
      <w:start w:val="1"/>
      <w:numFmt w:val="decimal"/>
      <w:lvlText w:val="%5)"/>
      <w:lvlJc w:val="left"/>
      <w:pPr>
        <w:tabs>
          <w:tab w:val="num" w:pos="3600"/>
        </w:tabs>
        <w:ind w:left="3600" w:hanging="360"/>
      </w:pPr>
    </w:lvl>
    <w:lvl w:ilvl="5" w:tplc="AA285E38" w:tentative="1">
      <w:start w:val="1"/>
      <w:numFmt w:val="decimal"/>
      <w:lvlText w:val="%6)"/>
      <w:lvlJc w:val="left"/>
      <w:pPr>
        <w:tabs>
          <w:tab w:val="num" w:pos="4320"/>
        </w:tabs>
        <w:ind w:left="4320" w:hanging="360"/>
      </w:pPr>
    </w:lvl>
    <w:lvl w:ilvl="6" w:tplc="FFB68638" w:tentative="1">
      <w:start w:val="1"/>
      <w:numFmt w:val="decimal"/>
      <w:lvlText w:val="%7)"/>
      <w:lvlJc w:val="left"/>
      <w:pPr>
        <w:tabs>
          <w:tab w:val="num" w:pos="5040"/>
        </w:tabs>
        <w:ind w:left="5040" w:hanging="360"/>
      </w:pPr>
    </w:lvl>
    <w:lvl w:ilvl="7" w:tplc="B694F404" w:tentative="1">
      <w:start w:val="1"/>
      <w:numFmt w:val="decimal"/>
      <w:lvlText w:val="%8)"/>
      <w:lvlJc w:val="left"/>
      <w:pPr>
        <w:tabs>
          <w:tab w:val="num" w:pos="5760"/>
        </w:tabs>
        <w:ind w:left="5760" w:hanging="360"/>
      </w:pPr>
    </w:lvl>
    <w:lvl w:ilvl="8" w:tplc="F51E4086" w:tentative="1">
      <w:start w:val="1"/>
      <w:numFmt w:val="decimal"/>
      <w:lvlText w:val="%9)"/>
      <w:lvlJc w:val="left"/>
      <w:pPr>
        <w:tabs>
          <w:tab w:val="num" w:pos="6480"/>
        </w:tabs>
        <w:ind w:left="6480" w:hanging="360"/>
      </w:pPr>
    </w:lvl>
  </w:abstractNum>
  <w:abstractNum w:abstractNumId="43" w15:restartNumberingAfterBreak="0">
    <w:nsid w:val="78397CCA"/>
    <w:multiLevelType w:val="hybridMultilevel"/>
    <w:tmpl w:val="3D240CD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685474024">
    <w:abstractNumId w:val="40"/>
  </w:num>
  <w:num w:numId="2" w16cid:durableId="1465347066">
    <w:abstractNumId w:val="11"/>
  </w:num>
  <w:num w:numId="3" w16cid:durableId="1171146059">
    <w:abstractNumId w:val="20"/>
  </w:num>
  <w:num w:numId="4" w16cid:durableId="1451784724">
    <w:abstractNumId w:val="8"/>
  </w:num>
  <w:num w:numId="5" w16cid:durableId="425082925">
    <w:abstractNumId w:val="27"/>
  </w:num>
  <w:num w:numId="6" w16cid:durableId="860515438">
    <w:abstractNumId w:val="37"/>
  </w:num>
  <w:num w:numId="7" w16cid:durableId="2093161644">
    <w:abstractNumId w:val="4"/>
  </w:num>
  <w:num w:numId="8" w16cid:durableId="443889804">
    <w:abstractNumId w:val="39"/>
  </w:num>
  <w:num w:numId="9" w16cid:durableId="2045134472">
    <w:abstractNumId w:val="33"/>
  </w:num>
  <w:num w:numId="10" w16cid:durableId="801114895">
    <w:abstractNumId w:val="43"/>
  </w:num>
  <w:num w:numId="11" w16cid:durableId="1987707984">
    <w:abstractNumId w:val="12"/>
  </w:num>
  <w:num w:numId="12" w16cid:durableId="933901222">
    <w:abstractNumId w:val="29"/>
  </w:num>
  <w:num w:numId="13" w16cid:durableId="866215062">
    <w:abstractNumId w:val="25"/>
  </w:num>
  <w:num w:numId="14" w16cid:durableId="1977641323">
    <w:abstractNumId w:val="35"/>
  </w:num>
  <w:num w:numId="15" w16cid:durableId="9338051">
    <w:abstractNumId w:val="19"/>
  </w:num>
  <w:num w:numId="16" w16cid:durableId="529297557">
    <w:abstractNumId w:val="28"/>
  </w:num>
  <w:num w:numId="17" w16cid:durableId="2089574771">
    <w:abstractNumId w:val="2"/>
  </w:num>
  <w:num w:numId="18" w16cid:durableId="1174959342">
    <w:abstractNumId w:val="5"/>
  </w:num>
  <w:num w:numId="19" w16cid:durableId="241792933">
    <w:abstractNumId w:val="34"/>
  </w:num>
  <w:num w:numId="20" w16cid:durableId="1347561327">
    <w:abstractNumId w:val="24"/>
  </w:num>
  <w:num w:numId="21" w16cid:durableId="1864391832">
    <w:abstractNumId w:val="13"/>
  </w:num>
  <w:num w:numId="22" w16cid:durableId="1937790379">
    <w:abstractNumId w:val="38"/>
  </w:num>
  <w:num w:numId="23" w16cid:durableId="699166905">
    <w:abstractNumId w:val="0"/>
  </w:num>
  <w:num w:numId="24" w16cid:durableId="805122553">
    <w:abstractNumId w:val="31"/>
  </w:num>
  <w:num w:numId="25" w16cid:durableId="155338623">
    <w:abstractNumId w:val="7"/>
  </w:num>
  <w:num w:numId="26" w16cid:durableId="1251309042">
    <w:abstractNumId w:val="26"/>
  </w:num>
  <w:num w:numId="27" w16cid:durableId="177700553">
    <w:abstractNumId w:val="42"/>
  </w:num>
  <w:num w:numId="28" w16cid:durableId="1306200483">
    <w:abstractNumId w:val="3"/>
  </w:num>
  <w:num w:numId="29" w16cid:durableId="1566452267">
    <w:abstractNumId w:val="9"/>
  </w:num>
  <w:num w:numId="30" w16cid:durableId="2050913878">
    <w:abstractNumId w:val="6"/>
  </w:num>
  <w:num w:numId="31" w16cid:durableId="1005323025">
    <w:abstractNumId w:val="15"/>
  </w:num>
  <w:num w:numId="32" w16cid:durableId="1455520464">
    <w:abstractNumId w:val="16"/>
  </w:num>
  <w:num w:numId="33" w16cid:durableId="248929537">
    <w:abstractNumId w:val="21"/>
  </w:num>
  <w:num w:numId="34" w16cid:durableId="1776946100">
    <w:abstractNumId w:val="17"/>
  </w:num>
  <w:num w:numId="35" w16cid:durableId="1221212783">
    <w:abstractNumId w:val="23"/>
  </w:num>
  <w:num w:numId="36" w16cid:durableId="1655721315">
    <w:abstractNumId w:val="27"/>
  </w:num>
  <w:num w:numId="37" w16cid:durableId="2098667521">
    <w:abstractNumId w:val="40"/>
  </w:num>
  <w:num w:numId="38" w16cid:durableId="1477911557">
    <w:abstractNumId w:val="41"/>
  </w:num>
  <w:num w:numId="39" w16cid:durableId="1491019450">
    <w:abstractNumId w:val="36"/>
  </w:num>
  <w:num w:numId="40" w16cid:durableId="680819055">
    <w:abstractNumId w:val="22"/>
  </w:num>
  <w:num w:numId="41" w16cid:durableId="1524438819">
    <w:abstractNumId w:val="18"/>
  </w:num>
  <w:num w:numId="42" w16cid:durableId="644509993">
    <w:abstractNumId w:val="1"/>
  </w:num>
  <w:num w:numId="43" w16cid:durableId="1143422900">
    <w:abstractNumId w:val="10"/>
  </w:num>
  <w:num w:numId="44" w16cid:durableId="1051733032">
    <w:abstractNumId w:val="32"/>
  </w:num>
  <w:num w:numId="45" w16cid:durableId="1885169102">
    <w:abstractNumId w:val="30"/>
  </w:num>
  <w:num w:numId="46" w16cid:durableId="1824158771">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GENERIC SSM"/>
  </w:docVars>
  <w:rsids>
    <w:rsidRoot w:val="00F0074C"/>
    <w:rsid w:val="00010310"/>
    <w:rsid w:val="000104A7"/>
    <w:rsid w:val="00010A4E"/>
    <w:rsid w:val="00014021"/>
    <w:rsid w:val="00023444"/>
    <w:rsid w:val="00026BF9"/>
    <w:rsid w:val="00027E77"/>
    <w:rsid w:val="00031024"/>
    <w:rsid w:val="00031B42"/>
    <w:rsid w:val="000331D8"/>
    <w:rsid w:val="00035683"/>
    <w:rsid w:val="000359DD"/>
    <w:rsid w:val="00037573"/>
    <w:rsid w:val="00040763"/>
    <w:rsid w:val="00040D4E"/>
    <w:rsid w:val="00040E88"/>
    <w:rsid w:val="000411AA"/>
    <w:rsid w:val="000416D4"/>
    <w:rsid w:val="000420A0"/>
    <w:rsid w:val="0004787B"/>
    <w:rsid w:val="00053AE8"/>
    <w:rsid w:val="00054605"/>
    <w:rsid w:val="00055FA7"/>
    <w:rsid w:val="00057ACC"/>
    <w:rsid w:val="00060370"/>
    <w:rsid w:val="00060F0F"/>
    <w:rsid w:val="000626E7"/>
    <w:rsid w:val="00062E2A"/>
    <w:rsid w:val="0006364C"/>
    <w:rsid w:val="00063DBE"/>
    <w:rsid w:val="00063EE6"/>
    <w:rsid w:val="0006583B"/>
    <w:rsid w:val="00065BA9"/>
    <w:rsid w:val="000667C6"/>
    <w:rsid w:val="00071495"/>
    <w:rsid w:val="00083817"/>
    <w:rsid w:val="00083F99"/>
    <w:rsid w:val="0009787B"/>
    <w:rsid w:val="000A16E1"/>
    <w:rsid w:val="000A3182"/>
    <w:rsid w:val="000A5DDC"/>
    <w:rsid w:val="000A74B9"/>
    <w:rsid w:val="000B16EA"/>
    <w:rsid w:val="000B4E2D"/>
    <w:rsid w:val="000B505B"/>
    <w:rsid w:val="000B5DEE"/>
    <w:rsid w:val="000B6148"/>
    <w:rsid w:val="000B634B"/>
    <w:rsid w:val="000B6A2B"/>
    <w:rsid w:val="000B743C"/>
    <w:rsid w:val="000C1E71"/>
    <w:rsid w:val="000C279F"/>
    <w:rsid w:val="000C427B"/>
    <w:rsid w:val="000C60DC"/>
    <w:rsid w:val="000C691D"/>
    <w:rsid w:val="000C7891"/>
    <w:rsid w:val="000D2DDD"/>
    <w:rsid w:val="000D6DFC"/>
    <w:rsid w:val="000D739F"/>
    <w:rsid w:val="000E18B8"/>
    <w:rsid w:val="000E47FB"/>
    <w:rsid w:val="000F0B63"/>
    <w:rsid w:val="000F113D"/>
    <w:rsid w:val="000F29BB"/>
    <w:rsid w:val="000F4309"/>
    <w:rsid w:val="0010082E"/>
    <w:rsid w:val="00100AA6"/>
    <w:rsid w:val="00102401"/>
    <w:rsid w:val="0010480D"/>
    <w:rsid w:val="0011029F"/>
    <w:rsid w:val="00110E6C"/>
    <w:rsid w:val="001126CB"/>
    <w:rsid w:val="00113062"/>
    <w:rsid w:val="001144A3"/>
    <w:rsid w:val="0012041C"/>
    <w:rsid w:val="00120CB3"/>
    <w:rsid w:val="00123150"/>
    <w:rsid w:val="0012315F"/>
    <w:rsid w:val="00123F53"/>
    <w:rsid w:val="00124489"/>
    <w:rsid w:val="00133ACA"/>
    <w:rsid w:val="00135532"/>
    <w:rsid w:val="00136F82"/>
    <w:rsid w:val="00136FFB"/>
    <w:rsid w:val="00141AF5"/>
    <w:rsid w:val="00143A07"/>
    <w:rsid w:val="001501B2"/>
    <w:rsid w:val="00153908"/>
    <w:rsid w:val="00156A86"/>
    <w:rsid w:val="00157581"/>
    <w:rsid w:val="00161CED"/>
    <w:rsid w:val="00162C17"/>
    <w:rsid w:val="001630C2"/>
    <w:rsid w:val="0016451D"/>
    <w:rsid w:val="001649DC"/>
    <w:rsid w:val="00166B2E"/>
    <w:rsid w:val="001719C3"/>
    <w:rsid w:val="001754BB"/>
    <w:rsid w:val="00175A2F"/>
    <w:rsid w:val="001764E5"/>
    <w:rsid w:val="0018251A"/>
    <w:rsid w:val="00184676"/>
    <w:rsid w:val="00184790"/>
    <w:rsid w:val="00185851"/>
    <w:rsid w:val="00187B5B"/>
    <w:rsid w:val="00192D87"/>
    <w:rsid w:val="00194932"/>
    <w:rsid w:val="00197AB0"/>
    <w:rsid w:val="001A29C8"/>
    <w:rsid w:val="001A4197"/>
    <w:rsid w:val="001B0CE4"/>
    <w:rsid w:val="001B3148"/>
    <w:rsid w:val="001B58CD"/>
    <w:rsid w:val="001C2229"/>
    <w:rsid w:val="001C34F6"/>
    <w:rsid w:val="001C365E"/>
    <w:rsid w:val="001C43A1"/>
    <w:rsid w:val="001C4574"/>
    <w:rsid w:val="001C47C6"/>
    <w:rsid w:val="001C4BB4"/>
    <w:rsid w:val="001C54BE"/>
    <w:rsid w:val="001D4E52"/>
    <w:rsid w:val="001D6CF4"/>
    <w:rsid w:val="001E2B75"/>
    <w:rsid w:val="001E4826"/>
    <w:rsid w:val="001E5764"/>
    <w:rsid w:val="001E6285"/>
    <w:rsid w:val="001E7F6A"/>
    <w:rsid w:val="001F286C"/>
    <w:rsid w:val="001F3324"/>
    <w:rsid w:val="001F6E28"/>
    <w:rsid w:val="0020015B"/>
    <w:rsid w:val="00201470"/>
    <w:rsid w:val="002028EB"/>
    <w:rsid w:val="00202C0E"/>
    <w:rsid w:val="002123C0"/>
    <w:rsid w:val="0021336C"/>
    <w:rsid w:val="002160BF"/>
    <w:rsid w:val="002166E6"/>
    <w:rsid w:val="00216781"/>
    <w:rsid w:val="0022209A"/>
    <w:rsid w:val="00223F96"/>
    <w:rsid w:val="00231031"/>
    <w:rsid w:val="00232E93"/>
    <w:rsid w:val="002343A6"/>
    <w:rsid w:val="002368D9"/>
    <w:rsid w:val="0023792D"/>
    <w:rsid w:val="00243434"/>
    <w:rsid w:val="002461FA"/>
    <w:rsid w:val="002475BE"/>
    <w:rsid w:val="00247D05"/>
    <w:rsid w:val="00252E54"/>
    <w:rsid w:val="0025361B"/>
    <w:rsid w:val="002549A1"/>
    <w:rsid w:val="00255667"/>
    <w:rsid w:val="002575E9"/>
    <w:rsid w:val="0026131E"/>
    <w:rsid w:val="00262616"/>
    <w:rsid w:val="002653CA"/>
    <w:rsid w:val="00266FDD"/>
    <w:rsid w:val="00267427"/>
    <w:rsid w:val="00267D53"/>
    <w:rsid w:val="00270390"/>
    <w:rsid w:val="0027450D"/>
    <w:rsid w:val="00275302"/>
    <w:rsid w:val="00275402"/>
    <w:rsid w:val="002819E9"/>
    <w:rsid w:val="002845A5"/>
    <w:rsid w:val="00287C8C"/>
    <w:rsid w:val="002902E0"/>
    <w:rsid w:val="00295693"/>
    <w:rsid w:val="00296D13"/>
    <w:rsid w:val="002A2003"/>
    <w:rsid w:val="002A252C"/>
    <w:rsid w:val="002A460F"/>
    <w:rsid w:val="002A5019"/>
    <w:rsid w:val="002A6324"/>
    <w:rsid w:val="002B0F52"/>
    <w:rsid w:val="002B293F"/>
    <w:rsid w:val="002B45DB"/>
    <w:rsid w:val="002B46D3"/>
    <w:rsid w:val="002B6975"/>
    <w:rsid w:val="002B7144"/>
    <w:rsid w:val="002B76C9"/>
    <w:rsid w:val="002C09D7"/>
    <w:rsid w:val="002C0DC0"/>
    <w:rsid w:val="002C1156"/>
    <w:rsid w:val="002C1FAC"/>
    <w:rsid w:val="002D142C"/>
    <w:rsid w:val="002D231C"/>
    <w:rsid w:val="002D37C3"/>
    <w:rsid w:val="002D3DD1"/>
    <w:rsid w:val="002D4873"/>
    <w:rsid w:val="002E190D"/>
    <w:rsid w:val="002E224B"/>
    <w:rsid w:val="002E347E"/>
    <w:rsid w:val="002E74B9"/>
    <w:rsid w:val="002F05C9"/>
    <w:rsid w:val="002F18BE"/>
    <w:rsid w:val="002F6359"/>
    <w:rsid w:val="002F72D4"/>
    <w:rsid w:val="00300EE4"/>
    <w:rsid w:val="003066ED"/>
    <w:rsid w:val="003079F0"/>
    <w:rsid w:val="003121F4"/>
    <w:rsid w:val="003122FD"/>
    <w:rsid w:val="0031360C"/>
    <w:rsid w:val="00315769"/>
    <w:rsid w:val="003168DD"/>
    <w:rsid w:val="003206FE"/>
    <w:rsid w:val="00321468"/>
    <w:rsid w:val="0032259A"/>
    <w:rsid w:val="00323EEB"/>
    <w:rsid w:val="00324B9E"/>
    <w:rsid w:val="00325BED"/>
    <w:rsid w:val="0032789E"/>
    <w:rsid w:val="00327D10"/>
    <w:rsid w:val="00330965"/>
    <w:rsid w:val="00331F70"/>
    <w:rsid w:val="00333DAB"/>
    <w:rsid w:val="00337127"/>
    <w:rsid w:val="00341673"/>
    <w:rsid w:val="00341941"/>
    <w:rsid w:val="00341B6B"/>
    <w:rsid w:val="00343890"/>
    <w:rsid w:val="00343F94"/>
    <w:rsid w:val="00347407"/>
    <w:rsid w:val="00351180"/>
    <w:rsid w:val="00351FBC"/>
    <w:rsid w:val="00353E99"/>
    <w:rsid w:val="00355A08"/>
    <w:rsid w:val="00355E6A"/>
    <w:rsid w:val="00362BA6"/>
    <w:rsid w:val="003630BB"/>
    <w:rsid w:val="00365D94"/>
    <w:rsid w:val="003667E3"/>
    <w:rsid w:val="00370CE0"/>
    <w:rsid w:val="0037181D"/>
    <w:rsid w:val="00372B42"/>
    <w:rsid w:val="003730DD"/>
    <w:rsid w:val="00373560"/>
    <w:rsid w:val="00373DB7"/>
    <w:rsid w:val="0037402E"/>
    <w:rsid w:val="00377871"/>
    <w:rsid w:val="00381C1B"/>
    <w:rsid w:val="003832F6"/>
    <w:rsid w:val="003834E2"/>
    <w:rsid w:val="0038608B"/>
    <w:rsid w:val="0039200B"/>
    <w:rsid w:val="0039313A"/>
    <w:rsid w:val="00393498"/>
    <w:rsid w:val="00393E1E"/>
    <w:rsid w:val="003946B7"/>
    <w:rsid w:val="00396D15"/>
    <w:rsid w:val="00397ECD"/>
    <w:rsid w:val="003A14CF"/>
    <w:rsid w:val="003A55FE"/>
    <w:rsid w:val="003A7C00"/>
    <w:rsid w:val="003B0B22"/>
    <w:rsid w:val="003B71CF"/>
    <w:rsid w:val="003C01D3"/>
    <w:rsid w:val="003C14C7"/>
    <w:rsid w:val="003C2709"/>
    <w:rsid w:val="003C6D1A"/>
    <w:rsid w:val="003D1538"/>
    <w:rsid w:val="003D1F4C"/>
    <w:rsid w:val="003D3877"/>
    <w:rsid w:val="003D5291"/>
    <w:rsid w:val="003D5AA1"/>
    <w:rsid w:val="003E1614"/>
    <w:rsid w:val="003F0F89"/>
    <w:rsid w:val="003F1141"/>
    <w:rsid w:val="003F169C"/>
    <w:rsid w:val="003F1F7E"/>
    <w:rsid w:val="003F2EF7"/>
    <w:rsid w:val="003F39CA"/>
    <w:rsid w:val="003F5C2C"/>
    <w:rsid w:val="003F5EB7"/>
    <w:rsid w:val="003F60F0"/>
    <w:rsid w:val="004022D8"/>
    <w:rsid w:val="00413954"/>
    <w:rsid w:val="00413B59"/>
    <w:rsid w:val="00414F05"/>
    <w:rsid w:val="0041722D"/>
    <w:rsid w:val="00425155"/>
    <w:rsid w:val="00426864"/>
    <w:rsid w:val="00426DE1"/>
    <w:rsid w:val="004300F9"/>
    <w:rsid w:val="00432D76"/>
    <w:rsid w:val="004342E2"/>
    <w:rsid w:val="00436E6A"/>
    <w:rsid w:val="00437DEF"/>
    <w:rsid w:val="00440EA1"/>
    <w:rsid w:val="004426EC"/>
    <w:rsid w:val="004430D9"/>
    <w:rsid w:val="00443938"/>
    <w:rsid w:val="0044489B"/>
    <w:rsid w:val="0044592B"/>
    <w:rsid w:val="00445ED6"/>
    <w:rsid w:val="00450457"/>
    <w:rsid w:val="00452C30"/>
    <w:rsid w:val="00455311"/>
    <w:rsid w:val="0045749D"/>
    <w:rsid w:val="0046063E"/>
    <w:rsid w:val="0046108E"/>
    <w:rsid w:val="004624BA"/>
    <w:rsid w:val="004648C4"/>
    <w:rsid w:val="00464F96"/>
    <w:rsid w:val="00465A9F"/>
    <w:rsid w:val="00470EA3"/>
    <w:rsid w:val="004712FB"/>
    <w:rsid w:val="004744D6"/>
    <w:rsid w:val="004758FB"/>
    <w:rsid w:val="00475C32"/>
    <w:rsid w:val="0047738B"/>
    <w:rsid w:val="00477BCB"/>
    <w:rsid w:val="00480A16"/>
    <w:rsid w:val="004813FE"/>
    <w:rsid w:val="00481618"/>
    <w:rsid w:val="00481687"/>
    <w:rsid w:val="004816D8"/>
    <w:rsid w:val="0048251A"/>
    <w:rsid w:val="004837A8"/>
    <w:rsid w:val="004867F5"/>
    <w:rsid w:val="00487EEF"/>
    <w:rsid w:val="004961A1"/>
    <w:rsid w:val="004961C4"/>
    <w:rsid w:val="004A06AA"/>
    <w:rsid w:val="004A44B0"/>
    <w:rsid w:val="004A5B7F"/>
    <w:rsid w:val="004A727A"/>
    <w:rsid w:val="004A7696"/>
    <w:rsid w:val="004A7B60"/>
    <w:rsid w:val="004B023B"/>
    <w:rsid w:val="004B429D"/>
    <w:rsid w:val="004B66E0"/>
    <w:rsid w:val="004B690F"/>
    <w:rsid w:val="004B6D3A"/>
    <w:rsid w:val="004B7F4B"/>
    <w:rsid w:val="004C13DF"/>
    <w:rsid w:val="004C2640"/>
    <w:rsid w:val="004C3D62"/>
    <w:rsid w:val="004C472F"/>
    <w:rsid w:val="004C6538"/>
    <w:rsid w:val="004C67CC"/>
    <w:rsid w:val="004D1A81"/>
    <w:rsid w:val="004D2896"/>
    <w:rsid w:val="004E0BA3"/>
    <w:rsid w:val="004E0D30"/>
    <w:rsid w:val="004E2F0E"/>
    <w:rsid w:val="004E34BB"/>
    <w:rsid w:val="004E368F"/>
    <w:rsid w:val="004E441C"/>
    <w:rsid w:val="004E5558"/>
    <w:rsid w:val="004F2065"/>
    <w:rsid w:val="004F4C0E"/>
    <w:rsid w:val="004F528B"/>
    <w:rsid w:val="004F7959"/>
    <w:rsid w:val="00500268"/>
    <w:rsid w:val="00502074"/>
    <w:rsid w:val="00504593"/>
    <w:rsid w:val="005056DF"/>
    <w:rsid w:val="00505E7E"/>
    <w:rsid w:val="00510439"/>
    <w:rsid w:val="005112AB"/>
    <w:rsid w:val="00512ED7"/>
    <w:rsid w:val="005210CA"/>
    <w:rsid w:val="00521431"/>
    <w:rsid w:val="00523C4B"/>
    <w:rsid w:val="0052685E"/>
    <w:rsid w:val="00530818"/>
    <w:rsid w:val="00535C17"/>
    <w:rsid w:val="00535E2E"/>
    <w:rsid w:val="00537C18"/>
    <w:rsid w:val="00540076"/>
    <w:rsid w:val="00545382"/>
    <w:rsid w:val="00547A84"/>
    <w:rsid w:val="00547B1D"/>
    <w:rsid w:val="00551D35"/>
    <w:rsid w:val="00552062"/>
    <w:rsid w:val="00552DEF"/>
    <w:rsid w:val="005554FA"/>
    <w:rsid w:val="0056069D"/>
    <w:rsid w:val="005606E4"/>
    <w:rsid w:val="00560B53"/>
    <w:rsid w:val="00561E33"/>
    <w:rsid w:val="00563C25"/>
    <w:rsid w:val="00567FC3"/>
    <w:rsid w:val="005833EF"/>
    <w:rsid w:val="005838A0"/>
    <w:rsid w:val="0058396D"/>
    <w:rsid w:val="005854CD"/>
    <w:rsid w:val="00587986"/>
    <w:rsid w:val="00595255"/>
    <w:rsid w:val="00595C8F"/>
    <w:rsid w:val="00595DFA"/>
    <w:rsid w:val="00596BBB"/>
    <w:rsid w:val="005A4923"/>
    <w:rsid w:val="005B0E62"/>
    <w:rsid w:val="005B1610"/>
    <w:rsid w:val="005B279E"/>
    <w:rsid w:val="005B65E5"/>
    <w:rsid w:val="005B72B9"/>
    <w:rsid w:val="005C0E55"/>
    <w:rsid w:val="005C72E2"/>
    <w:rsid w:val="005D35A5"/>
    <w:rsid w:val="005D4B0D"/>
    <w:rsid w:val="005D59F6"/>
    <w:rsid w:val="005D5E38"/>
    <w:rsid w:val="005E1454"/>
    <w:rsid w:val="005E3552"/>
    <w:rsid w:val="005E5EE1"/>
    <w:rsid w:val="005E7647"/>
    <w:rsid w:val="005F0599"/>
    <w:rsid w:val="005F0BD3"/>
    <w:rsid w:val="005F156C"/>
    <w:rsid w:val="005F1679"/>
    <w:rsid w:val="005F3E42"/>
    <w:rsid w:val="005F7F31"/>
    <w:rsid w:val="0060078F"/>
    <w:rsid w:val="00601CBA"/>
    <w:rsid w:val="00601D7E"/>
    <w:rsid w:val="00601DBC"/>
    <w:rsid w:val="00602D97"/>
    <w:rsid w:val="00605B28"/>
    <w:rsid w:val="0061119F"/>
    <w:rsid w:val="00617839"/>
    <w:rsid w:val="00624CCB"/>
    <w:rsid w:val="00625065"/>
    <w:rsid w:val="00632215"/>
    <w:rsid w:val="00632F49"/>
    <w:rsid w:val="00634322"/>
    <w:rsid w:val="006374EC"/>
    <w:rsid w:val="00637559"/>
    <w:rsid w:val="00650DE4"/>
    <w:rsid w:val="006534C5"/>
    <w:rsid w:val="00656BB1"/>
    <w:rsid w:val="00656E6E"/>
    <w:rsid w:val="006600AC"/>
    <w:rsid w:val="00662281"/>
    <w:rsid w:val="00662D43"/>
    <w:rsid w:val="00665BB0"/>
    <w:rsid w:val="00666F16"/>
    <w:rsid w:val="0066782B"/>
    <w:rsid w:val="0067130A"/>
    <w:rsid w:val="006747B9"/>
    <w:rsid w:val="00676C1D"/>
    <w:rsid w:val="00676D80"/>
    <w:rsid w:val="00682937"/>
    <w:rsid w:val="0068328C"/>
    <w:rsid w:val="00683E17"/>
    <w:rsid w:val="0068736B"/>
    <w:rsid w:val="00690436"/>
    <w:rsid w:val="00697CB7"/>
    <w:rsid w:val="006A39EF"/>
    <w:rsid w:val="006A50DB"/>
    <w:rsid w:val="006A7FA0"/>
    <w:rsid w:val="006B026A"/>
    <w:rsid w:val="006B1094"/>
    <w:rsid w:val="006B6103"/>
    <w:rsid w:val="006C0D10"/>
    <w:rsid w:val="006C2C33"/>
    <w:rsid w:val="006D0082"/>
    <w:rsid w:val="006D278B"/>
    <w:rsid w:val="006E15A4"/>
    <w:rsid w:val="006E4069"/>
    <w:rsid w:val="006E65C1"/>
    <w:rsid w:val="006E69DC"/>
    <w:rsid w:val="006E7885"/>
    <w:rsid w:val="006E7F8C"/>
    <w:rsid w:val="006F1790"/>
    <w:rsid w:val="006F35A7"/>
    <w:rsid w:val="006F7A62"/>
    <w:rsid w:val="00704C80"/>
    <w:rsid w:val="0070537D"/>
    <w:rsid w:val="0070577F"/>
    <w:rsid w:val="00706EDA"/>
    <w:rsid w:val="00707600"/>
    <w:rsid w:val="0071089F"/>
    <w:rsid w:val="00712DA6"/>
    <w:rsid w:val="00714D38"/>
    <w:rsid w:val="00721C85"/>
    <w:rsid w:val="00724DB5"/>
    <w:rsid w:val="00725F66"/>
    <w:rsid w:val="007311AB"/>
    <w:rsid w:val="007347DE"/>
    <w:rsid w:val="007349B4"/>
    <w:rsid w:val="00735262"/>
    <w:rsid w:val="00736079"/>
    <w:rsid w:val="007409A9"/>
    <w:rsid w:val="00741836"/>
    <w:rsid w:val="007442DF"/>
    <w:rsid w:val="00756A9E"/>
    <w:rsid w:val="00763EBC"/>
    <w:rsid w:val="007649C8"/>
    <w:rsid w:val="00764CA3"/>
    <w:rsid w:val="00781FC0"/>
    <w:rsid w:val="0078389A"/>
    <w:rsid w:val="007839CD"/>
    <w:rsid w:val="00784A37"/>
    <w:rsid w:val="00795C7B"/>
    <w:rsid w:val="007A027A"/>
    <w:rsid w:val="007A046E"/>
    <w:rsid w:val="007A2394"/>
    <w:rsid w:val="007A38AA"/>
    <w:rsid w:val="007A4F93"/>
    <w:rsid w:val="007A5F67"/>
    <w:rsid w:val="007A60EF"/>
    <w:rsid w:val="007A67A1"/>
    <w:rsid w:val="007A7F1A"/>
    <w:rsid w:val="007B10B8"/>
    <w:rsid w:val="007B463B"/>
    <w:rsid w:val="007B65B2"/>
    <w:rsid w:val="007C6AD1"/>
    <w:rsid w:val="007D06BB"/>
    <w:rsid w:val="007D3154"/>
    <w:rsid w:val="007D4115"/>
    <w:rsid w:val="007D7209"/>
    <w:rsid w:val="007E1500"/>
    <w:rsid w:val="007E38A2"/>
    <w:rsid w:val="007F3D6B"/>
    <w:rsid w:val="007F74D7"/>
    <w:rsid w:val="007F775B"/>
    <w:rsid w:val="00802B1E"/>
    <w:rsid w:val="00802E0B"/>
    <w:rsid w:val="0080475E"/>
    <w:rsid w:val="008072A0"/>
    <w:rsid w:val="00807798"/>
    <w:rsid w:val="008149F1"/>
    <w:rsid w:val="00820AB0"/>
    <w:rsid w:val="008239B0"/>
    <w:rsid w:val="0082459E"/>
    <w:rsid w:val="00825A93"/>
    <w:rsid w:val="00825B1A"/>
    <w:rsid w:val="008303C6"/>
    <w:rsid w:val="0083551B"/>
    <w:rsid w:val="008409B7"/>
    <w:rsid w:val="00841020"/>
    <w:rsid w:val="00841467"/>
    <w:rsid w:val="008420EF"/>
    <w:rsid w:val="00843A8B"/>
    <w:rsid w:val="00844091"/>
    <w:rsid w:val="00845158"/>
    <w:rsid w:val="0084605B"/>
    <w:rsid w:val="00847BA6"/>
    <w:rsid w:val="008515A3"/>
    <w:rsid w:val="00855D5E"/>
    <w:rsid w:val="0086023F"/>
    <w:rsid w:val="00863B92"/>
    <w:rsid w:val="008658B0"/>
    <w:rsid w:val="008659CF"/>
    <w:rsid w:val="00870A94"/>
    <w:rsid w:val="0087241B"/>
    <w:rsid w:val="00873819"/>
    <w:rsid w:val="008800FC"/>
    <w:rsid w:val="00881F0B"/>
    <w:rsid w:val="008855D0"/>
    <w:rsid w:val="008874FD"/>
    <w:rsid w:val="00887DC2"/>
    <w:rsid w:val="00890526"/>
    <w:rsid w:val="00892B4E"/>
    <w:rsid w:val="008941C7"/>
    <w:rsid w:val="00897007"/>
    <w:rsid w:val="008972D0"/>
    <w:rsid w:val="0089742C"/>
    <w:rsid w:val="008A07CE"/>
    <w:rsid w:val="008A6393"/>
    <w:rsid w:val="008B357E"/>
    <w:rsid w:val="008B637B"/>
    <w:rsid w:val="008C0FD3"/>
    <w:rsid w:val="008C40B1"/>
    <w:rsid w:val="008C45CB"/>
    <w:rsid w:val="008C5909"/>
    <w:rsid w:val="008C60C7"/>
    <w:rsid w:val="008C6246"/>
    <w:rsid w:val="008C7BF0"/>
    <w:rsid w:val="008C7DDD"/>
    <w:rsid w:val="008D1FF8"/>
    <w:rsid w:val="008D4254"/>
    <w:rsid w:val="008D54B6"/>
    <w:rsid w:val="008E3343"/>
    <w:rsid w:val="008E3DE4"/>
    <w:rsid w:val="008E4F87"/>
    <w:rsid w:val="008E51E8"/>
    <w:rsid w:val="008E56F0"/>
    <w:rsid w:val="008F0BFC"/>
    <w:rsid w:val="008F3436"/>
    <w:rsid w:val="008F3829"/>
    <w:rsid w:val="008F7E21"/>
    <w:rsid w:val="009004A9"/>
    <w:rsid w:val="009015CF"/>
    <w:rsid w:val="009038F2"/>
    <w:rsid w:val="00911ED5"/>
    <w:rsid w:val="00911FAF"/>
    <w:rsid w:val="0091273B"/>
    <w:rsid w:val="009129B6"/>
    <w:rsid w:val="00920EA6"/>
    <w:rsid w:val="00921922"/>
    <w:rsid w:val="00935196"/>
    <w:rsid w:val="00936183"/>
    <w:rsid w:val="00947BF5"/>
    <w:rsid w:val="0095093C"/>
    <w:rsid w:val="0095134E"/>
    <w:rsid w:val="00956863"/>
    <w:rsid w:val="00960B77"/>
    <w:rsid w:val="00962807"/>
    <w:rsid w:val="00963B0B"/>
    <w:rsid w:val="00965131"/>
    <w:rsid w:val="00965EA6"/>
    <w:rsid w:val="009710AD"/>
    <w:rsid w:val="00971274"/>
    <w:rsid w:val="00971A9B"/>
    <w:rsid w:val="00972DFA"/>
    <w:rsid w:val="00973870"/>
    <w:rsid w:val="00981DBF"/>
    <w:rsid w:val="0098449F"/>
    <w:rsid w:val="0098799B"/>
    <w:rsid w:val="00987A44"/>
    <w:rsid w:val="0099130A"/>
    <w:rsid w:val="009A3BA7"/>
    <w:rsid w:val="009A41A9"/>
    <w:rsid w:val="009A486F"/>
    <w:rsid w:val="009A5777"/>
    <w:rsid w:val="009B1707"/>
    <w:rsid w:val="009B4DC8"/>
    <w:rsid w:val="009B56D2"/>
    <w:rsid w:val="009B573B"/>
    <w:rsid w:val="009B72E8"/>
    <w:rsid w:val="009B79EB"/>
    <w:rsid w:val="009C2115"/>
    <w:rsid w:val="009C288A"/>
    <w:rsid w:val="009C4D8A"/>
    <w:rsid w:val="009C5751"/>
    <w:rsid w:val="009D0D2F"/>
    <w:rsid w:val="009D3140"/>
    <w:rsid w:val="009D520F"/>
    <w:rsid w:val="009D7785"/>
    <w:rsid w:val="009E4FBA"/>
    <w:rsid w:val="009E7F95"/>
    <w:rsid w:val="009F0072"/>
    <w:rsid w:val="009F07F1"/>
    <w:rsid w:val="009F0CA4"/>
    <w:rsid w:val="00A00FB1"/>
    <w:rsid w:val="00A01FD0"/>
    <w:rsid w:val="00A02FBE"/>
    <w:rsid w:val="00A040CA"/>
    <w:rsid w:val="00A05F4C"/>
    <w:rsid w:val="00A11B45"/>
    <w:rsid w:val="00A126CE"/>
    <w:rsid w:val="00A12CA3"/>
    <w:rsid w:val="00A1462C"/>
    <w:rsid w:val="00A2162D"/>
    <w:rsid w:val="00A251D0"/>
    <w:rsid w:val="00A25FA2"/>
    <w:rsid w:val="00A31889"/>
    <w:rsid w:val="00A31A83"/>
    <w:rsid w:val="00A32A14"/>
    <w:rsid w:val="00A41BBD"/>
    <w:rsid w:val="00A43695"/>
    <w:rsid w:val="00A51F6C"/>
    <w:rsid w:val="00A5268D"/>
    <w:rsid w:val="00A52696"/>
    <w:rsid w:val="00A604F4"/>
    <w:rsid w:val="00A610BA"/>
    <w:rsid w:val="00A64CEA"/>
    <w:rsid w:val="00A66BA7"/>
    <w:rsid w:val="00A66FB7"/>
    <w:rsid w:val="00A707DB"/>
    <w:rsid w:val="00A75390"/>
    <w:rsid w:val="00A81478"/>
    <w:rsid w:val="00A83B5E"/>
    <w:rsid w:val="00A85B7B"/>
    <w:rsid w:val="00A908A0"/>
    <w:rsid w:val="00A9478B"/>
    <w:rsid w:val="00A9543F"/>
    <w:rsid w:val="00A972A5"/>
    <w:rsid w:val="00AA1300"/>
    <w:rsid w:val="00AA374A"/>
    <w:rsid w:val="00AA4B91"/>
    <w:rsid w:val="00AA6B0C"/>
    <w:rsid w:val="00AB09A8"/>
    <w:rsid w:val="00AB11C6"/>
    <w:rsid w:val="00AB77DB"/>
    <w:rsid w:val="00AC4F75"/>
    <w:rsid w:val="00AC667D"/>
    <w:rsid w:val="00AC6D82"/>
    <w:rsid w:val="00AC7EB5"/>
    <w:rsid w:val="00AD0BA5"/>
    <w:rsid w:val="00AD134F"/>
    <w:rsid w:val="00AD13D4"/>
    <w:rsid w:val="00AD38EC"/>
    <w:rsid w:val="00AD594A"/>
    <w:rsid w:val="00AE108E"/>
    <w:rsid w:val="00AE1EE1"/>
    <w:rsid w:val="00AE57D0"/>
    <w:rsid w:val="00AF01B7"/>
    <w:rsid w:val="00AF12AE"/>
    <w:rsid w:val="00AF14DA"/>
    <w:rsid w:val="00AF20F1"/>
    <w:rsid w:val="00AF2C17"/>
    <w:rsid w:val="00AF3375"/>
    <w:rsid w:val="00AF3C8D"/>
    <w:rsid w:val="00AF7FAC"/>
    <w:rsid w:val="00B075B6"/>
    <w:rsid w:val="00B07B32"/>
    <w:rsid w:val="00B10F76"/>
    <w:rsid w:val="00B113CA"/>
    <w:rsid w:val="00B17D57"/>
    <w:rsid w:val="00B17F78"/>
    <w:rsid w:val="00B2004B"/>
    <w:rsid w:val="00B20943"/>
    <w:rsid w:val="00B2225E"/>
    <w:rsid w:val="00B2277C"/>
    <w:rsid w:val="00B24C3A"/>
    <w:rsid w:val="00B27429"/>
    <w:rsid w:val="00B31323"/>
    <w:rsid w:val="00B3294B"/>
    <w:rsid w:val="00B44BDF"/>
    <w:rsid w:val="00B466CB"/>
    <w:rsid w:val="00B470CD"/>
    <w:rsid w:val="00B5091B"/>
    <w:rsid w:val="00B513A1"/>
    <w:rsid w:val="00B5181D"/>
    <w:rsid w:val="00B5290F"/>
    <w:rsid w:val="00B613B1"/>
    <w:rsid w:val="00B61E1A"/>
    <w:rsid w:val="00B6435B"/>
    <w:rsid w:val="00B66977"/>
    <w:rsid w:val="00B669A1"/>
    <w:rsid w:val="00B702BD"/>
    <w:rsid w:val="00B76508"/>
    <w:rsid w:val="00B7728C"/>
    <w:rsid w:val="00B7736F"/>
    <w:rsid w:val="00B87F8E"/>
    <w:rsid w:val="00B90813"/>
    <w:rsid w:val="00B92D15"/>
    <w:rsid w:val="00B945E4"/>
    <w:rsid w:val="00B94F1A"/>
    <w:rsid w:val="00B957EC"/>
    <w:rsid w:val="00B95CC2"/>
    <w:rsid w:val="00BA12E1"/>
    <w:rsid w:val="00BA2F9F"/>
    <w:rsid w:val="00BA6CC7"/>
    <w:rsid w:val="00BB0B39"/>
    <w:rsid w:val="00BB0E7D"/>
    <w:rsid w:val="00BC07EB"/>
    <w:rsid w:val="00BC0A16"/>
    <w:rsid w:val="00BC3C3D"/>
    <w:rsid w:val="00BC6AA7"/>
    <w:rsid w:val="00BC71DD"/>
    <w:rsid w:val="00BD303F"/>
    <w:rsid w:val="00BD3909"/>
    <w:rsid w:val="00BE2114"/>
    <w:rsid w:val="00BE53AC"/>
    <w:rsid w:val="00BF0DD3"/>
    <w:rsid w:val="00BF3B0D"/>
    <w:rsid w:val="00BF43D7"/>
    <w:rsid w:val="00BF4A86"/>
    <w:rsid w:val="00BF4D01"/>
    <w:rsid w:val="00BF4EF3"/>
    <w:rsid w:val="00C02514"/>
    <w:rsid w:val="00C03027"/>
    <w:rsid w:val="00C03D6A"/>
    <w:rsid w:val="00C1356C"/>
    <w:rsid w:val="00C1373A"/>
    <w:rsid w:val="00C140BB"/>
    <w:rsid w:val="00C175AC"/>
    <w:rsid w:val="00C20D7A"/>
    <w:rsid w:val="00C21570"/>
    <w:rsid w:val="00C26DE5"/>
    <w:rsid w:val="00C2726F"/>
    <w:rsid w:val="00C34F0E"/>
    <w:rsid w:val="00C36581"/>
    <w:rsid w:val="00C3778E"/>
    <w:rsid w:val="00C40DC8"/>
    <w:rsid w:val="00C5338A"/>
    <w:rsid w:val="00C53B86"/>
    <w:rsid w:val="00C545C5"/>
    <w:rsid w:val="00C5551A"/>
    <w:rsid w:val="00C57D67"/>
    <w:rsid w:val="00C62ADE"/>
    <w:rsid w:val="00C63072"/>
    <w:rsid w:val="00C70440"/>
    <w:rsid w:val="00C7324F"/>
    <w:rsid w:val="00C74A6B"/>
    <w:rsid w:val="00C75A36"/>
    <w:rsid w:val="00C75CA3"/>
    <w:rsid w:val="00C83B5F"/>
    <w:rsid w:val="00C90EE0"/>
    <w:rsid w:val="00C91E51"/>
    <w:rsid w:val="00C9780F"/>
    <w:rsid w:val="00CA12E2"/>
    <w:rsid w:val="00CA1A3B"/>
    <w:rsid w:val="00CA301F"/>
    <w:rsid w:val="00CA6301"/>
    <w:rsid w:val="00CB05EF"/>
    <w:rsid w:val="00CB25D2"/>
    <w:rsid w:val="00CB4D28"/>
    <w:rsid w:val="00CB6D7B"/>
    <w:rsid w:val="00CB7F25"/>
    <w:rsid w:val="00CC0735"/>
    <w:rsid w:val="00CC6575"/>
    <w:rsid w:val="00CC70CE"/>
    <w:rsid w:val="00CC7FEC"/>
    <w:rsid w:val="00CD0D11"/>
    <w:rsid w:val="00CD3018"/>
    <w:rsid w:val="00CD5621"/>
    <w:rsid w:val="00CD6CA0"/>
    <w:rsid w:val="00CE072E"/>
    <w:rsid w:val="00CE1A15"/>
    <w:rsid w:val="00CE494B"/>
    <w:rsid w:val="00CE70F5"/>
    <w:rsid w:val="00CF06FB"/>
    <w:rsid w:val="00CF3C32"/>
    <w:rsid w:val="00CF447F"/>
    <w:rsid w:val="00CF57CD"/>
    <w:rsid w:val="00CF60E8"/>
    <w:rsid w:val="00CF6EB8"/>
    <w:rsid w:val="00CF76E9"/>
    <w:rsid w:val="00D13E82"/>
    <w:rsid w:val="00D15439"/>
    <w:rsid w:val="00D17B42"/>
    <w:rsid w:val="00D20142"/>
    <w:rsid w:val="00D201EC"/>
    <w:rsid w:val="00D24EEE"/>
    <w:rsid w:val="00D2531F"/>
    <w:rsid w:val="00D264F8"/>
    <w:rsid w:val="00D27667"/>
    <w:rsid w:val="00D27FBC"/>
    <w:rsid w:val="00D34EAB"/>
    <w:rsid w:val="00D3501C"/>
    <w:rsid w:val="00D37CBA"/>
    <w:rsid w:val="00D43334"/>
    <w:rsid w:val="00D43654"/>
    <w:rsid w:val="00D445EB"/>
    <w:rsid w:val="00D4472B"/>
    <w:rsid w:val="00D447DB"/>
    <w:rsid w:val="00D44882"/>
    <w:rsid w:val="00D44B3A"/>
    <w:rsid w:val="00D52DD6"/>
    <w:rsid w:val="00D53FBE"/>
    <w:rsid w:val="00D54FA5"/>
    <w:rsid w:val="00D55477"/>
    <w:rsid w:val="00D57460"/>
    <w:rsid w:val="00D57EA4"/>
    <w:rsid w:val="00D60900"/>
    <w:rsid w:val="00D61BDE"/>
    <w:rsid w:val="00D70D6C"/>
    <w:rsid w:val="00D745E5"/>
    <w:rsid w:val="00D7524E"/>
    <w:rsid w:val="00D753EB"/>
    <w:rsid w:val="00D80E0D"/>
    <w:rsid w:val="00D83366"/>
    <w:rsid w:val="00D850F8"/>
    <w:rsid w:val="00D877F0"/>
    <w:rsid w:val="00D87D5E"/>
    <w:rsid w:val="00D949FE"/>
    <w:rsid w:val="00DA6511"/>
    <w:rsid w:val="00DA6924"/>
    <w:rsid w:val="00DA6F57"/>
    <w:rsid w:val="00DB0389"/>
    <w:rsid w:val="00DB0B4F"/>
    <w:rsid w:val="00DB0F6C"/>
    <w:rsid w:val="00DB7905"/>
    <w:rsid w:val="00DB7CE2"/>
    <w:rsid w:val="00DC36D8"/>
    <w:rsid w:val="00DC55A4"/>
    <w:rsid w:val="00DD16CD"/>
    <w:rsid w:val="00DD1EDA"/>
    <w:rsid w:val="00DD3C73"/>
    <w:rsid w:val="00DD5341"/>
    <w:rsid w:val="00DD56FB"/>
    <w:rsid w:val="00DD6539"/>
    <w:rsid w:val="00DD6C2C"/>
    <w:rsid w:val="00DD7805"/>
    <w:rsid w:val="00DE10C7"/>
    <w:rsid w:val="00DE11AB"/>
    <w:rsid w:val="00DE407D"/>
    <w:rsid w:val="00DE441A"/>
    <w:rsid w:val="00DE4919"/>
    <w:rsid w:val="00DE5434"/>
    <w:rsid w:val="00DE5C71"/>
    <w:rsid w:val="00DE6378"/>
    <w:rsid w:val="00DF4BC2"/>
    <w:rsid w:val="00DF5796"/>
    <w:rsid w:val="00DF6514"/>
    <w:rsid w:val="00DF70F7"/>
    <w:rsid w:val="00DF7FEA"/>
    <w:rsid w:val="00E00B94"/>
    <w:rsid w:val="00E027E0"/>
    <w:rsid w:val="00E02A17"/>
    <w:rsid w:val="00E04944"/>
    <w:rsid w:val="00E04BDD"/>
    <w:rsid w:val="00E224C3"/>
    <w:rsid w:val="00E23068"/>
    <w:rsid w:val="00E234AA"/>
    <w:rsid w:val="00E25FD3"/>
    <w:rsid w:val="00E2727D"/>
    <w:rsid w:val="00E27BC5"/>
    <w:rsid w:val="00E31FC8"/>
    <w:rsid w:val="00E32143"/>
    <w:rsid w:val="00E3367C"/>
    <w:rsid w:val="00E3435A"/>
    <w:rsid w:val="00E420F7"/>
    <w:rsid w:val="00E4254F"/>
    <w:rsid w:val="00E441BD"/>
    <w:rsid w:val="00E446FB"/>
    <w:rsid w:val="00E46E94"/>
    <w:rsid w:val="00E52282"/>
    <w:rsid w:val="00E539EA"/>
    <w:rsid w:val="00E54D6D"/>
    <w:rsid w:val="00E55D21"/>
    <w:rsid w:val="00E56249"/>
    <w:rsid w:val="00E57222"/>
    <w:rsid w:val="00E6106B"/>
    <w:rsid w:val="00E6168C"/>
    <w:rsid w:val="00E62ED1"/>
    <w:rsid w:val="00E66930"/>
    <w:rsid w:val="00E67544"/>
    <w:rsid w:val="00E70B04"/>
    <w:rsid w:val="00E71240"/>
    <w:rsid w:val="00E86DA9"/>
    <w:rsid w:val="00E90342"/>
    <w:rsid w:val="00E90E67"/>
    <w:rsid w:val="00E92CA3"/>
    <w:rsid w:val="00E936E2"/>
    <w:rsid w:val="00E96D6A"/>
    <w:rsid w:val="00E96DF4"/>
    <w:rsid w:val="00EA7336"/>
    <w:rsid w:val="00EB34F4"/>
    <w:rsid w:val="00EB3795"/>
    <w:rsid w:val="00EB4FB7"/>
    <w:rsid w:val="00EB5980"/>
    <w:rsid w:val="00EB68D5"/>
    <w:rsid w:val="00EC6461"/>
    <w:rsid w:val="00EC6489"/>
    <w:rsid w:val="00EC712E"/>
    <w:rsid w:val="00ED2ADC"/>
    <w:rsid w:val="00EE391E"/>
    <w:rsid w:val="00EE3D8B"/>
    <w:rsid w:val="00EE6BBA"/>
    <w:rsid w:val="00EF4E41"/>
    <w:rsid w:val="00EF6DD6"/>
    <w:rsid w:val="00EF7131"/>
    <w:rsid w:val="00F0074C"/>
    <w:rsid w:val="00F0106A"/>
    <w:rsid w:val="00F0192A"/>
    <w:rsid w:val="00F01A3F"/>
    <w:rsid w:val="00F02B7E"/>
    <w:rsid w:val="00F06DAC"/>
    <w:rsid w:val="00F075BD"/>
    <w:rsid w:val="00F14F4B"/>
    <w:rsid w:val="00F1580E"/>
    <w:rsid w:val="00F20D73"/>
    <w:rsid w:val="00F20EA9"/>
    <w:rsid w:val="00F3488F"/>
    <w:rsid w:val="00F3577E"/>
    <w:rsid w:val="00F421F7"/>
    <w:rsid w:val="00F42F36"/>
    <w:rsid w:val="00F44734"/>
    <w:rsid w:val="00F44E23"/>
    <w:rsid w:val="00F55543"/>
    <w:rsid w:val="00F55AF8"/>
    <w:rsid w:val="00F60923"/>
    <w:rsid w:val="00F64E8C"/>
    <w:rsid w:val="00F700B7"/>
    <w:rsid w:val="00F7416C"/>
    <w:rsid w:val="00F75813"/>
    <w:rsid w:val="00F80446"/>
    <w:rsid w:val="00F805D5"/>
    <w:rsid w:val="00F80655"/>
    <w:rsid w:val="00F82E30"/>
    <w:rsid w:val="00F833B3"/>
    <w:rsid w:val="00F83B81"/>
    <w:rsid w:val="00F8692B"/>
    <w:rsid w:val="00F872CC"/>
    <w:rsid w:val="00F87F1F"/>
    <w:rsid w:val="00F90798"/>
    <w:rsid w:val="00F933F4"/>
    <w:rsid w:val="00F94DB6"/>
    <w:rsid w:val="00FA0826"/>
    <w:rsid w:val="00FA1251"/>
    <w:rsid w:val="00FA1A5A"/>
    <w:rsid w:val="00FA2843"/>
    <w:rsid w:val="00FA2946"/>
    <w:rsid w:val="00FA637A"/>
    <w:rsid w:val="00FB4575"/>
    <w:rsid w:val="00FB54F5"/>
    <w:rsid w:val="00FB72C2"/>
    <w:rsid w:val="00FB7CCC"/>
    <w:rsid w:val="00FC5516"/>
    <w:rsid w:val="00FC558A"/>
    <w:rsid w:val="00FC64B7"/>
    <w:rsid w:val="00FD1CD2"/>
    <w:rsid w:val="00FD226C"/>
    <w:rsid w:val="00FD4FEF"/>
    <w:rsid w:val="00FD5885"/>
    <w:rsid w:val="00FE0D1E"/>
    <w:rsid w:val="00FE3218"/>
    <w:rsid w:val="00FE3389"/>
    <w:rsid w:val="00FE383E"/>
    <w:rsid w:val="00FF15FF"/>
    <w:rsid w:val="00FF1A64"/>
    <w:rsid w:val="00FF30F6"/>
    <w:rsid w:val="00FF3BDC"/>
    <w:rsid w:val="00FF40C8"/>
    <w:rsid w:val="00FF6035"/>
    <w:rsid w:val="00FF6567"/>
    <w:rsid w:val="00FF6645"/>
    <w:rsid w:val="00FF7D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D29565"/>
  <w15:docId w15:val="{1E2E2C82-C6C0-4D7A-9E8E-0BB4069C4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en-GB"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447DB"/>
    <w:pPr>
      <w:spacing w:before="60" w:after="60" w:line="340" w:lineRule="atLeast"/>
    </w:pPr>
    <w:rPr>
      <w:rFonts w:ascii="Arial" w:hAnsi="Arial" w:cs="Sendnya"/>
      <w:szCs w:val="22"/>
    </w:rPr>
  </w:style>
  <w:style w:type="paragraph" w:styleId="Heading1">
    <w:name w:val="heading 1"/>
    <w:basedOn w:val="Normal"/>
    <w:next w:val="Normal"/>
    <w:qFormat/>
    <w:rsid w:val="004E368F"/>
    <w:pPr>
      <w:keepNext/>
      <w:numPr>
        <w:numId w:val="1"/>
      </w:numPr>
      <w:tabs>
        <w:tab w:val="clear" w:pos="567"/>
      </w:tabs>
      <w:spacing w:before="340" w:after="120"/>
      <w:ind w:left="851" w:hanging="851"/>
      <w:outlineLvl w:val="0"/>
    </w:pPr>
    <w:rPr>
      <w:b/>
      <w:bCs/>
      <w:kern w:val="28"/>
      <w:sz w:val="24"/>
      <w:szCs w:val="28"/>
    </w:rPr>
  </w:style>
  <w:style w:type="paragraph" w:styleId="Heading2">
    <w:name w:val="heading 2"/>
    <w:basedOn w:val="Normal"/>
    <w:next w:val="Normal"/>
    <w:qFormat/>
    <w:rsid w:val="004E368F"/>
    <w:pPr>
      <w:keepNext/>
      <w:numPr>
        <w:ilvl w:val="1"/>
        <w:numId w:val="1"/>
      </w:numPr>
      <w:spacing w:before="220"/>
      <w:outlineLvl w:val="1"/>
    </w:pPr>
    <w:rPr>
      <w:b/>
      <w:bCs/>
      <w:szCs w:val="26"/>
    </w:rPr>
  </w:style>
  <w:style w:type="paragraph" w:styleId="Heading3">
    <w:name w:val="heading 3"/>
    <w:basedOn w:val="Normal"/>
    <w:next w:val="Normal"/>
    <w:qFormat/>
    <w:rsid w:val="004E368F"/>
    <w:pPr>
      <w:keepNext/>
      <w:numPr>
        <w:ilvl w:val="2"/>
        <w:numId w:val="1"/>
      </w:numPr>
      <w:tabs>
        <w:tab w:val="clear" w:pos="567"/>
      </w:tabs>
      <w:spacing w:before="160"/>
      <w:ind w:left="851" w:hanging="851"/>
      <w:outlineLvl w:val="2"/>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
    <w:name w:val="Annex"/>
    <w:basedOn w:val="Heading2"/>
    <w:next w:val="Normal"/>
    <w:qFormat/>
    <w:rsid w:val="002461FA"/>
    <w:pPr>
      <w:pageBreakBefore/>
      <w:numPr>
        <w:ilvl w:val="0"/>
        <w:numId w:val="2"/>
      </w:numPr>
      <w:tabs>
        <w:tab w:val="left" w:pos="1134"/>
      </w:tabs>
      <w:ind w:left="357" w:hanging="357"/>
    </w:pPr>
    <w:rPr>
      <w:szCs w:val="22"/>
    </w:rPr>
  </w:style>
  <w:style w:type="paragraph" w:customStyle="1" w:styleId="ECBList2">
    <w:name w:val="ECB List 2"/>
    <w:basedOn w:val="ECBHeading3"/>
    <w:rsid w:val="00E234AA"/>
    <w:pPr>
      <w:numPr>
        <w:ilvl w:val="0"/>
        <w:numId w:val="3"/>
      </w:numPr>
      <w:spacing w:before="60"/>
      <w:ind w:left="1134" w:hanging="567"/>
    </w:pPr>
  </w:style>
  <w:style w:type="paragraph" w:customStyle="1" w:styleId="ECBHeading3">
    <w:name w:val="ECB Heading 3"/>
    <w:basedOn w:val="Heading3"/>
    <w:rsid w:val="002461FA"/>
    <w:pPr>
      <w:spacing w:line="340" w:lineRule="exact"/>
    </w:pPr>
    <w:rPr>
      <w:rFonts w:cs="Times New Roman"/>
      <w:szCs w:val="20"/>
    </w:rPr>
  </w:style>
  <w:style w:type="paragraph" w:customStyle="1" w:styleId="ECBList1">
    <w:name w:val="ECB List 1"/>
    <w:basedOn w:val="ECBList2"/>
    <w:rsid w:val="00E234AA"/>
    <w:pPr>
      <w:numPr>
        <w:numId w:val="4"/>
      </w:numPr>
      <w:ind w:left="567" w:hanging="567"/>
    </w:pPr>
  </w:style>
  <w:style w:type="paragraph" w:styleId="Footer">
    <w:name w:val="footer"/>
    <w:basedOn w:val="Normal"/>
    <w:link w:val="FooterChar"/>
    <w:uiPriority w:val="99"/>
    <w:rsid w:val="002461FA"/>
    <w:pPr>
      <w:spacing w:line="200" w:lineRule="atLeast"/>
      <w:jc w:val="right"/>
    </w:pPr>
    <w:rPr>
      <w:noProof/>
      <w:snapToGrid w:val="0"/>
      <w:sz w:val="17"/>
      <w:szCs w:val="16"/>
    </w:rPr>
  </w:style>
  <w:style w:type="character" w:styleId="FootnoteReference">
    <w:name w:val="footnote reference"/>
    <w:uiPriority w:val="99"/>
    <w:semiHidden/>
    <w:rPr>
      <w:vertAlign w:val="superscript"/>
    </w:rPr>
  </w:style>
  <w:style w:type="paragraph" w:styleId="FootnoteText">
    <w:name w:val="footnote text"/>
    <w:basedOn w:val="Normal"/>
    <w:link w:val="FootnoteTextChar"/>
    <w:uiPriority w:val="99"/>
    <w:semiHidden/>
    <w:rsid w:val="00870A94"/>
    <w:pPr>
      <w:keepLines/>
      <w:tabs>
        <w:tab w:val="left" w:pos="284"/>
      </w:tabs>
      <w:spacing w:line="200" w:lineRule="atLeast"/>
      <w:ind w:left="284" w:hanging="284"/>
    </w:pPr>
    <w:rPr>
      <w:sz w:val="18"/>
      <w:szCs w:val="18"/>
    </w:rPr>
  </w:style>
  <w:style w:type="paragraph" w:styleId="Header">
    <w:name w:val="header"/>
    <w:basedOn w:val="Normal"/>
    <w:rsid w:val="00870A94"/>
    <w:pPr>
      <w:spacing w:line="160" w:lineRule="atLeast"/>
      <w:jc w:val="center"/>
    </w:pPr>
    <w:rPr>
      <w:sz w:val="16"/>
      <w:szCs w:val="16"/>
    </w:rPr>
  </w:style>
  <w:style w:type="paragraph" w:styleId="TOC1">
    <w:name w:val="toc 1"/>
    <w:basedOn w:val="Normal"/>
    <w:next w:val="Normal"/>
    <w:semiHidden/>
    <w:rsid w:val="00870A94"/>
    <w:pPr>
      <w:tabs>
        <w:tab w:val="left" w:pos="993"/>
        <w:tab w:val="right" w:pos="9214"/>
      </w:tabs>
      <w:spacing w:line="280" w:lineRule="exact"/>
      <w:ind w:left="993" w:right="566" w:hanging="993"/>
    </w:pPr>
    <w:rPr>
      <w:b/>
      <w:bCs/>
      <w:noProof/>
    </w:rPr>
  </w:style>
  <w:style w:type="paragraph" w:styleId="TOC2">
    <w:name w:val="toc 2"/>
    <w:basedOn w:val="Normal"/>
    <w:next w:val="Normal"/>
    <w:semiHidden/>
    <w:rsid w:val="00870A94"/>
    <w:pPr>
      <w:tabs>
        <w:tab w:val="left" w:pos="993"/>
        <w:tab w:val="right" w:pos="9214"/>
      </w:tabs>
      <w:spacing w:line="280" w:lineRule="exact"/>
      <w:ind w:left="993" w:right="424" w:hanging="993"/>
    </w:pPr>
    <w:rPr>
      <w:noProof/>
    </w:rPr>
  </w:style>
  <w:style w:type="paragraph" w:styleId="TOC3">
    <w:name w:val="toc 3"/>
    <w:basedOn w:val="Normal"/>
    <w:next w:val="Normal"/>
    <w:semiHidden/>
    <w:rsid w:val="00870A94"/>
    <w:pPr>
      <w:tabs>
        <w:tab w:val="right" w:pos="9214"/>
      </w:tabs>
      <w:spacing w:line="280" w:lineRule="exact"/>
      <w:ind w:left="993" w:right="424" w:hanging="993"/>
    </w:pPr>
    <w:rPr>
      <w:i/>
      <w:iCs/>
      <w:noProof/>
    </w:rPr>
  </w:style>
  <w:style w:type="paragraph" w:styleId="BalloonText">
    <w:name w:val="Balloon Text"/>
    <w:basedOn w:val="Normal"/>
    <w:semiHidden/>
    <w:rsid w:val="00110E6C"/>
    <w:rPr>
      <w:rFonts w:ascii="Tahoma" w:hAnsi="Tahoma"/>
      <w:sz w:val="16"/>
      <w:szCs w:val="16"/>
    </w:rPr>
  </w:style>
  <w:style w:type="character" w:customStyle="1" w:styleId="ECBClassification">
    <w:name w:val="ECB Classification"/>
    <w:rsid w:val="002461FA"/>
    <w:rPr>
      <w:rFonts w:ascii="Arial" w:hAnsi="Arial"/>
      <w:b/>
      <w:bCs/>
      <w:caps/>
      <w:sz w:val="20"/>
    </w:rPr>
  </w:style>
  <w:style w:type="character" w:customStyle="1" w:styleId="ECBMarking">
    <w:name w:val="ECB Marking"/>
    <w:rsid w:val="002461FA"/>
    <w:rPr>
      <w:rFonts w:ascii="Arial" w:hAnsi="Arial"/>
      <w:b/>
      <w:bCs/>
      <w:sz w:val="20"/>
    </w:rPr>
  </w:style>
  <w:style w:type="paragraph" w:customStyle="1" w:styleId="ECBBodyText">
    <w:name w:val="ECB Body Text"/>
    <w:basedOn w:val="Normal"/>
    <w:link w:val="ECBBodyTextChar"/>
    <w:qFormat/>
    <w:rsid w:val="002461FA"/>
    <w:pPr>
      <w:spacing w:line="340" w:lineRule="exact"/>
    </w:pPr>
  </w:style>
  <w:style w:type="character" w:customStyle="1" w:styleId="ECBBodyTextChar">
    <w:name w:val="ECB Body Text Char"/>
    <w:link w:val="ECBBodyText"/>
    <w:rsid w:val="002461FA"/>
    <w:rPr>
      <w:rFonts w:ascii="Arial" w:hAnsi="Arial" w:cs="Sendnya"/>
      <w:szCs w:val="22"/>
    </w:rPr>
  </w:style>
  <w:style w:type="paragraph" w:customStyle="1" w:styleId="ECBTitlereference">
    <w:name w:val="ECB Title/ reference"/>
    <w:basedOn w:val="Normal"/>
    <w:rsid w:val="002461FA"/>
    <w:pPr>
      <w:spacing w:before="0" w:after="0" w:line="240" w:lineRule="exact"/>
    </w:pPr>
    <w:rPr>
      <w:rFonts w:cs="Times New Roman"/>
      <w:sz w:val="17"/>
      <w:szCs w:val="20"/>
    </w:rPr>
  </w:style>
  <w:style w:type="paragraph" w:customStyle="1" w:styleId="ECBStatus">
    <w:name w:val="ECB Status"/>
    <w:basedOn w:val="Normal"/>
    <w:qFormat/>
    <w:rsid w:val="002461FA"/>
    <w:pPr>
      <w:spacing w:before="0" w:after="0" w:line="240" w:lineRule="exact"/>
      <w:jc w:val="right"/>
    </w:pPr>
    <w:rPr>
      <w:b/>
    </w:rPr>
  </w:style>
  <w:style w:type="paragraph" w:customStyle="1" w:styleId="ECBReferenceNo">
    <w:name w:val="ECB Reference No."/>
    <w:basedOn w:val="Normal"/>
    <w:rsid w:val="002461FA"/>
    <w:pPr>
      <w:spacing w:before="0" w:after="0" w:line="240" w:lineRule="exact"/>
      <w:jc w:val="right"/>
    </w:pPr>
    <w:rPr>
      <w:rFonts w:cs="Times New Roman"/>
      <w:sz w:val="17"/>
      <w:szCs w:val="20"/>
    </w:rPr>
  </w:style>
  <w:style w:type="paragraph" w:customStyle="1" w:styleId="ECBTitle">
    <w:name w:val="ECB Title"/>
    <w:basedOn w:val="Normal"/>
    <w:rsid w:val="002461FA"/>
    <w:pPr>
      <w:spacing w:line="340" w:lineRule="exact"/>
    </w:pPr>
    <w:rPr>
      <w:rFonts w:cs="Times New Roman"/>
      <w:b/>
      <w:bCs/>
      <w:sz w:val="24"/>
      <w:szCs w:val="20"/>
    </w:rPr>
  </w:style>
  <w:style w:type="paragraph" w:customStyle="1" w:styleId="ECBHeading1">
    <w:name w:val="ECB Heading 1"/>
    <w:basedOn w:val="Heading1"/>
    <w:rsid w:val="002461FA"/>
    <w:pPr>
      <w:spacing w:line="340" w:lineRule="exact"/>
    </w:pPr>
    <w:rPr>
      <w:rFonts w:cs="Times New Roman"/>
      <w:szCs w:val="20"/>
    </w:rPr>
  </w:style>
  <w:style w:type="paragraph" w:customStyle="1" w:styleId="ECBHeading2">
    <w:name w:val="ECB Heading 2"/>
    <w:basedOn w:val="Heading2"/>
    <w:rsid w:val="002461FA"/>
    <w:pPr>
      <w:spacing w:line="340" w:lineRule="exact"/>
    </w:pPr>
    <w:rPr>
      <w:rFonts w:cs="Times New Roman"/>
      <w:szCs w:val="20"/>
    </w:rPr>
  </w:style>
  <w:style w:type="character" w:styleId="CommentReference">
    <w:name w:val="annotation reference"/>
    <w:uiPriority w:val="99"/>
    <w:semiHidden/>
    <w:unhideWhenUsed/>
    <w:rsid w:val="003206FE"/>
    <w:rPr>
      <w:sz w:val="16"/>
      <w:szCs w:val="16"/>
    </w:rPr>
  </w:style>
  <w:style w:type="paragraph" w:styleId="CommentText">
    <w:name w:val="annotation text"/>
    <w:basedOn w:val="Normal"/>
    <w:link w:val="CommentTextChar"/>
    <w:uiPriority w:val="99"/>
    <w:unhideWhenUsed/>
    <w:rsid w:val="003206FE"/>
    <w:pPr>
      <w:spacing w:line="240" w:lineRule="auto"/>
    </w:pPr>
    <w:rPr>
      <w:szCs w:val="20"/>
    </w:rPr>
  </w:style>
  <w:style w:type="character" w:customStyle="1" w:styleId="CommentTextChar">
    <w:name w:val="Comment Text Char"/>
    <w:link w:val="CommentText"/>
    <w:uiPriority w:val="99"/>
    <w:rsid w:val="003206FE"/>
    <w:rPr>
      <w:rFonts w:ascii="Arial" w:hAnsi="Arial" w:cs="Sendnya"/>
    </w:rPr>
  </w:style>
  <w:style w:type="paragraph" w:styleId="CommentSubject">
    <w:name w:val="annotation subject"/>
    <w:basedOn w:val="CommentText"/>
    <w:next w:val="CommentText"/>
    <w:link w:val="CommentSubjectChar"/>
    <w:uiPriority w:val="99"/>
    <w:semiHidden/>
    <w:unhideWhenUsed/>
    <w:rsid w:val="003206FE"/>
    <w:rPr>
      <w:b/>
      <w:bCs/>
    </w:rPr>
  </w:style>
  <w:style w:type="character" w:customStyle="1" w:styleId="CommentSubjectChar">
    <w:name w:val="Comment Subject Char"/>
    <w:link w:val="CommentSubject"/>
    <w:uiPriority w:val="99"/>
    <w:semiHidden/>
    <w:rsid w:val="003206FE"/>
    <w:rPr>
      <w:rFonts w:ascii="Arial" w:hAnsi="Arial" w:cs="Sendnya"/>
      <w:b/>
      <w:bCs/>
    </w:rPr>
  </w:style>
  <w:style w:type="table" w:styleId="TableGrid">
    <w:name w:val="Table Grid"/>
    <w:basedOn w:val="TableNormal"/>
    <w:uiPriority w:val="59"/>
    <w:rsid w:val="00331F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04593"/>
    <w:pPr>
      <w:ind w:left="720"/>
      <w:contextualSpacing/>
    </w:pPr>
  </w:style>
  <w:style w:type="character" w:styleId="Hyperlink">
    <w:name w:val="Hyperlink"/>
    <w:uiPriority w:val="99"/>
    <w:unhideWhenUsed/>
    <w:rsid w:val="001A4197"/>
    <w:rPr>
      <w:color w:val="0000FF"/>
      <w:u w:val="single"/>
    </w:rPr>
  </w:style>
  <w:style w:type="paragraph" w:customStyle="1" w:styleId="StyleLeft">
    <w:name w:val="Style Left"/>
    <w:basedOn w:val="Normal"/>
    <w:rsid w:val="00BB0E7D"/>
    <w:rPr>
      <w:rFonts w:cs="Times New Roman"/>
      <w:szCs w:val="20"/>
    </w:rPr>
  </w:style>
  <w:style w:type="paragraph" w:styleId="Revision">
    <w:name w:val="Revision"/>
    <w:hidden/>
    <w:uiPriority w:val="99"/>
    <w:semiHidden/>
    <w:rsid w:val="00911FAF"/>
    <w:rPr>
      <w:rFonts w:ascii="Arial" w:hAnsi="Arial" w:cs="Sendnya"/>
      <w:szCs w:val="22"/>
    </w:rPr>
  </w:style>
  <w:style w:type="character" w:styleId="BookTitle">
    <w:name w:val="Book Title"/>
    <w:uiPriority w:val="33"/>
    <w:qFormat/>
    <w:rsid w:val="00B5181D"/>
    <w:rPr>
      <w:b/>
      <w:bCs/>
      <w:smallCaps/>
      <w:spacing w:val="5"/>
    </w:rPr>
  </w:style>
  <w:style w:type="paragraph" w:customStyle="1" w:styleId="numberedparagraph">
    <w:name w:val="numbered paragraph"/>
    <w:basedOn w:val="Normal"/>
    <w:qFormat/>
    <w:rsid w:val="000416D4"/>
    <w:pPr>
      <w:numPr>
        <w:numId w:val="5"/>
      </w:numPr>
      <w:spacing w:before="240" w:after="120" w:line="276" w:lineRule="auto"/>
      <w:jc w:val="both"/>
    </w:pPr>
    <w:rPr>
      <w:rFonts w:asciiTheme="minorHAnsi" w:eastAsiaTheme="minorEastAsia" w:hAnsiTheme="minorHAnsi" w:cstheme="minorBidi"/>
      <w:sz w:val="22"/>
      <w:szCs w:val="24"/>
      <w:lang w:eastAsia="en-US"/>
    </w:rPr>
  </w:style>
  <w:style w:type="paragraph" w:customStyle="1" w:styleId="Instructionsberschrift2">
    <w:name w:val="Instructions Überschrift 2"/>
    <w:basedOn w:val="Heading2"/>
    <w:rsid w:val="00BF4A86"/>
    <w:pPr>
      <w:numPr>
        <w:ilvl w:val="0"/>
        <w:numId w:val="6"/>
      </w:numPr>
      <w:spacing w:before="240" w:after="240" w:line="240" w:lineRule="auto"/>
      <w:jc w:val="both"/>
    </w:pPr>
    <w:rPr>
      <w:rFonts w:ascii="Verdana" w:eastAsia="Arial" w:hAnsi="Verdana" w:cs="Arial"/>
      <w:b w:val="0"/>
      <w:bCs w:val="0"/>
      <w:szCs w:val="24"/>
      <w:u w:val="single"/>
      <w:lang w:eastAsia="x-none"/>
    </w:rPr>
  </w:style>
  <w:style w:type="paragraph" w:styleId="Title">
    <w:name w:val="Title"/>
    <w:basedOn w:val="ECBBodyText"/>
    <w:next w:val="Normal"/>
    <w:link w:val="TitleChar"/>
    <w:uiPriority w:val="10"/>
    <w:qFormat/>
    <w:rsid w:val="00FF6645"/>
    <w:pPr>
      <w:numPr>
        <w:numId w:val="7"/>
      </w:numPr>
      <w:spacing w:before="120" w:after="240"/>
      <w:ind w:left="714" w:hanging="357"/>
    </w:pPr>
    <w:rPr>
      <w:rFonts w:eastAsia="Arial"/>
      <w:b/>
      <w:caps/>
      <w:u w:val="single"/>
    </w:rPr>
  </w:style>
  <w:style w:type="character" w:customStyle="1" w:styleId="TitleChar">
    <w:name w:val="Title Char"/>
    <w:basedOn w:val="DefaultParagraphFont"/>
    <w:link w:val="Title"/>
    <w:uiPriority w:val="10"/>
    <w:rsid w:val="00FF6645"/>
    <w:rPr>
      <w:rFonts w:ascii="Arial" w:eastAsia="Arial" w:hAnsi="Arial" w:cs="Sendnya"/>
      <w:b/>
      <w:caps/>
      <w:szCs w:val="22"/>
      <w:u w:val="single"/>
    </w:rPr>
  </w:style>
  <w:style w:type="character" w:customStyle="1" w:styleId="FootnoteTextChar">
    <w:name w:val="Footnote Text Char"/>
    <w:basedOn w:val="DefaultParagraphFont"/>
    <w:link w:val="FootnoteText"/>
    <w:uiPriority w:val="99"/>
    <w:semiHidden/>
    <w:rsid w:val="002A460F"/>
    <w:rPr>
      <w:rFonts w:ascii="Arial" w:hAnsi="Arial" w:cs="Sendnya"/>
      <w:sz w:val="18"/>
      <w:szCs w:val="18"/>
    </w:rPr>
  </w:style>
  <w:style w:type="paragraph" w:customStyle="1" w:styleId="DocTitle">
    <w:name w:val="Doc Title"/>
    <w:basedOn w:val="Normal"/>
    <w:next w:val="Heading1"/>
    <w:rsid w:val="00A25FA2"/>
    <w:pPr>
      <w:tabs>
        <w:tab w:val="left" w:pos="851"/>
        <w:tab w:val="right" w:pos="9356"/>
      </w:tabs>
      <w:spacing w:before="480" w:after="240" w:line="480" w:lineRule="exact"/>
      <w:jc w:val="center"/>
    </w:pPr>
    <w:rPr>
      <w:rFonts w:ascii="Times New Roman" w:hAnsi="Times New Roman"/>
      <w:b/>
      <w:bCs/>
      <w:caps/>
      <w:sz w:val="32"/>
      <w:szCs w:val="32"/>
    </w:rPr>
  </w:style>
  <w:style w:type="character" w:customStyle="1" w:styleId="FooterChar">
    <w:name w:val="Footer Char"/>
    <w:basedOn w:val="DefaultParagraphFont"/>
    <w:link w:val="Footer"/>
    <w:uiPriority w:val="99"/>
    <w:rsid w:val="00A25FA2"/>
    <w:rPr>
      <w:rFonts w:ascii="Arial" w:hAnsi="Arial" w:cs="Sendnya"/>
      <w:noProof/>
      <w:snapToGrid w:val="0"/>
      <w:sz w:val="17"/>
      <w:szCs w:val="16"/>
    </w:rPr>
  </w:style>
  <w:style w:type="character" w:customStyle="1" w:styleId="UnresolvedMention1">
    <w:name w:val="Unresolved Mention1"/>
    <w:basedOn w:val="DefaultParagraphFont"/>
    <w:uiPriority w:val="99"/>
    <w:semiHidden/>
    <w:unhideWhenUsed/>
    <w:rsid w:val="005F7F31"/>
    <w:rPr>
      <w:color w:val="605E5C"/>
      <w:shd w:val="clear" w:color="auto" w:fill="E1DFDD"/>
    </w:rPr>
  </w:style>
  <w:style w:type="character" w:styleId="FollowedHyperlink">
    <w:name w:val="FollowedHyperlink"/>
    <w:basedOn w:val="DefaultParagraphFont"/>
    <w:uiPriority w:val="99"/>
    <w:semiHidden/>
    <w:unhideWhenUsed/>
    <w:rsid w:val="005F7F31"/>
    <w:rPr>
      <w:color w:val="800080" w:themeColor="followedHyperlink"/>
      <w:u w:val="single"/>
    </w:rPr>
  </w:style>
  <w:style w:type="character" w:customStyle="1" w:styleId="ui-provider">
    <w:name w:val="ui-provider"/>
    <w:basedOn w:val="DefaultParagraphFont"/>
    <w:rsid w:val="00707600"/>
  </w:style>
  <w:style w:type="paragraph" w:customStyle="1" w:styleId="Paragraphs">
    <w:name w:val="Paragraphs"/>
    <w:basedOn w:val="Normal"/>
    <w:rsid w:val="00123150"/>
    <w:pPr>
      <w:tabs>
        <w:tab w:val="left" w:pos="567"/>
        <w:tab w:val="left" w:pos="1134"/>
        <w:tab w:val="right" w:pos="9073"/>
      </w:tabs>
      <w:spacing w:before="120" w:after="120" w:line="360" w:lineRule="auto"/>
      <w:jc w:val="both"/>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6316">
      <w:bodyDiv w:val="1"/>
      <w:marLeft w:val="0"/>
      <w:marRight w:val="0"/>
      <w:marTop w:val="0"/>
      <w:marBottom w:val="0"/>
      <w:divBdr>
        <w:top w:val="none" w:sz="0" w:space="0" w:color="auto"/>
        <w:left w:val="none" w:sz="0" w:space="0" w:color="auto"/>
        <w:bottom w:val="none" w:sz="0" w:space="0" w:color="auto"/>
        <w:right w:val="none" w:sz="0" w:space="0" w:color="auto"/>
      </w:divBdr>
    </w:div>
    <w:div w:id="42876410">
      <w:bodyDiv w:val="1"/>
      <w:marLeft w:val="0"/>
      <w:marRight w:val="0"/>
      <w:marTop w:val="0"/>
      <w:marBottom w:val="0"/>
      <w:divBdr>
        <w:top w:val="none" w:sz="0" w:space="0" w:color="auto"/>
        <w:left w:val="none" w:sz="0" w:space="0" w:color="auto"/>
        <w:bottom w:val="none" w:sz="0" w:space="0" w:color="auto"/>
        <w:right w:val="none" w:sz="0" w:space="0" w:color="auto"/>
      </w:divBdr>
    </w:div>
    <w:div w:id="119226183">
      <w:bodyDiv w:val="1"/>
      <w:marLeft w:val="0"/>
      <w:marRight w:val="0"/>
      <w:marTop w:val="0"/>
      <w:marBottom w:val="0"/>
      <w:divBdr>
        <w:top w:val="none" w:sz="0" w:space="0" w:color="auto"/>
        <w:left w:val="none" w:sz="0" w:space="0" w:color="auto"/>
        <w:bottom w:val="none" w:sz="0" w:space="0" w:color="auto"/>
        <w:right w:val="none" w:sz="0" w:space="0" w:color="auto"/>
      </w:divBdr>
    </w:div>
    <w:div w:id="148522706">
      <w:bodyDiv w:val="1"/>
      <w:marLeft w:val="0"/>
      <w:marRight w:val="0"/>
      <w:marTop w:val="0"/>
      <w:marBottom w:val="0"/>
      <w:divBdr>
        <w:top w:val="none" w:sz="0" w:space="0" w:color="auto"/>
        <w:left w:val="none" w:sz="0" w:space="0" w:color="auto"/>
        <w:bottom w:val="none" w:sz="0" w:space="0" w:color="auto"/>
        <w:right w:val="none" w:sz="0" w:space="0" w:color="auto"/>
      </w:divBdr>
    </w:div>
    <w:div w:id="169829828">
      <w:bodyDiv w:val="1"/>
      <w:marLeft w:val="0"/>
      <w:marRight w:val="0"/>
      <w:marTop w:val="0"/>
      <w:marBottom w:val="0"/>
      <w:divBdr>
        <w:top w:val="none" w:sz="0" w:space="0" w:color="auto"/>
        <w:left w:val="none" w:sz="0" w:space="0" w:color="auto"/>
        <w:bottom w:val="none" w:sz="0" w:space="0" w:color="auto"/>
        <w:right w:val="none" w:sz="0" w:space="0" w:color="auto"/>
      </w:divBdr>
    </w:div>
    <w:div w:id="265964028">
      <w:bodyDiv w:val="1"/>
      <w:marLeft w:val="0"/>
      <w:marRight w:val="0"/>
      <w:marTop w:val="0"/>
      <w:marBottom w:val="0"/>
      <w:divBdr>
        <w:top w:val="none" w:sz="0" w:space="0" w:color="auto"/>
        <w:left w:val="none" w:sz="0" w:space="0" w:color="auto"/>
        <w:bottom w:val="none" w:sz="0" w:space="0" w:color="auto"/>
        <w:right w:val="none" w:sz="0" w:space="0" w:color="auto"/>
      </w:divBdr>
    </w:div>
    <w:div w:id="292295836">
      <w:bodyDiv w:val="1"/>
      <w:marLeft w:val="0"/>
      <w:marRight w:val="0"/>
      <w:marTop w:val="0"/>
      <w:marBottom w:val="0"/>
      <w:divBdr>
        <w:top w:val="none" w:sz="0" w:space="0" w:color="auto"/>
        <w:left w:val="none" w:sz="0" w:space="0" w:color="auto"/>
        <w:bottom w:val="none" w:sz="0" w:space="0" w:color="auto"/>
        <w:right w:val="none" w:sz="0" w:space="0" w:color="auto"/>
      </w:divBdr>
    </w:div>
    <w:div w:id="562571443">
      <w:bodyDiv w:val="1"/>
      <w:marLeft w:val="0"/>
      <w:marRight w:val="0"/>
      <w:marTop w:val="0"/>
      <w:marBottom w:val="0"/>
      <w:divBdr>
        <w:top w:val="none" w:sz="0" w:space="0" w:color="auto"/>
        <w:left w:val="none" w:sz="0" w:space="0" w:color="auto"/>
        <w:bottom w:val="none" w:sz="0" w:space="0" w:color="auto"/>
        <w:right w:val="none" w:sz="0" w:space="0" w:color="auto"/>
      </w:divBdr>
    </w:div>
    <w:div w:id="590813848">
      <w:bodyDiv w:val="1"/>
      <w:marLeft w:val="0"/>
      <w:marRight w:val="0"/>
      <w:marTop w:val="0"/>
      <w:marBottom w:val="0"/>
      <w:divBdr>
        <w:top w:val="none" w:sz="0" w:space="0" w:color="auto"/>
        <w:left w:val="none" w:sz="0" w:space="0" w:color="auto"/>
        <w:bottom w:val="none" w:sz="0" w:space="0" w:color="auto"/>
        <w:right w:val="none" w:sz="0" w:space="0" w:color="auto"/>
      </w:divBdr>
    </w:div>
    <w:div w:id="595750168">
      <w:bodyDiv w:val="1"/>
      <w:marLeft w:val="0"/>
      <w:marRight w:val="0"/>
      <w:marTop w:val="0"/>
      <w:marBottom w:val="0"/>
      <w:divBdr>
        <w:top w:val="none" w:sz="0" w:space="0" w:color="auto"/>
        <w:left w:val="none" w:sz="0" w:space="0" w:color="auto"/>
        <w:bottom w:val="none" w:sz="0" w:space="0" w:color="auto"/>
        <w:right w:val="none" w:sz="0" w:space="0" w:color="auto"/>
      </w:divBdr>
    </w:div>
    <w:div w:id="653878903">
      <w:bodyDiv w:val="1"/>
      <w:marLeft w:val="0"/>
      <w:marRight w:val="0"/>
      <w:marTop w:val="0"/>
      <w:marBottom w:val="0"/>
      <w:divBdr>
        <w:top w:val="none" w:sz="0" w:space="0" w:color="auto"/>
        <w:left w:val="none" w:sz="0" w:space="0" w:color="auto"/>
        <w:bottom w:val="none" w:sz="0" w:space="0" w:color="auto"/>
        <w:right w:val="none" w:sz="0" w:space="0" w:color="auto"/>
      </w:divBdr>
    </w:div>
    <w:div w:id="769351273">
      <w:bodyDiv w:val="1"/>
      <w:marLeft w:val="0"/>
      <w:marRight w:val="0"/>
      <w:marTop w:val="0"/>
      <w:marBottom w:val="0"/>
      <w:divBdr>
        <w:top w:val="none" w:sz="0" w:space="0" w:color="auto"/>
        <w:left w:val="none" w:sz="0" w:space="0" w:color="auto"/>
        <w:bottom w:val="none" w:sz="0" w:space="0" w:color="auto"/>
        <w:right w:val="none" w:sz="0" w:space="0" w:color="auto"/>
      </w:divBdr>
    </w:div>
    <w:div w:id="777145045">
      <w:bodyDiv w:val="1"/>
      <w:marLeft w:val="0"/>
      <w:marRight w:val="0"/>
      <w:marTop w:val="0"/>
      <w:marBottom w:val="0"/>
      <w:divBdr>
        <w:top w:val="none" w:sz="0" w:space="0" w:color="auto"/>
        <w:left w:val="none" w:sz="0" w:space="0" w:color="auto"/>
        <w:bottom w:val="none" w:sz="0" w:space="0" w:color="auto"/>
        <w:right w:val="none" w:sz="0" w:space="0" w:color="auto"/>
      </w:divBdr>
    </w:div>
    <w:div w:id="801071226">
      <w:bodyDiv w:val="1"/>
      <w:marLeft w:val="0"/>
      <w:marRight w:val="0"/>
      <w:marTop w:val="0"/>
      <w:marBottom w:val="0"/>
      <w:divBdr>
        <w:top w:val="none" w:sz="0" w:space="0" w:color="auto"/>
        <w:left w:val="none" w:sz="0" w:space="0" w:color="auto"/>
        <w:bottom w:val="none" w:sz="0" w:space="0" w:color="auto"/>
        <w:right w:val="none" w:sz="0" w:space="0" w:color="auto"/>
      </w:divBdr>
    </w:div>
    <w:div w:id="851378512">
      <w:bodyDiv w:val="1"/>
      <w:marLeft w:val="0"/>
      <w:marRight w:val="0"/>
      <w:marTop w:val="0"/>
      <w:marBottom w:val="0"/>
      <w:divBdr>
        <w:top w:val="none" w:sz="0" w:space="0" w:color="auto"/>
        <w:left w:val="none" w:sz="0" w:space="0" w:color="auto"/>
        <w:bottom w:val="none" w:sz="0" w:space="0" w:color="auto"/>
        <w:right w:val="none" w:sz="0" w:space="0" w:color="auto"/>
      </w:divBdr>
    </w:div>
    <w:div w:id="930312962">
      <w:bodyDiv w:val="1"/>
      <w:marLeft w:val="0"/>
      <w:marRight w:val="0"/>
      <w:marTop w:val="0"/>
      <w:marBottom w:val="0"/>
      <w:divBdr>
        <w:top w:val="none" w:sz="0" w:space="0" w:color="auto"/>
        <w:left w:val="none" w:sz="0" w:space="0" w:color="auto"/>
        <w:bottom w:val="none" w:sz="0" w:space="0" w:color="auto"/>
        <w:right w:val="none" w:sz="0" w:space="0" w:color="auto"/>
      </w:divBdr>
    </w:div>
    <w:div w:id="955018231">
      <w:bodyDiv w:val="1"/>
      <w:marLeft w:val="0"/>
      <w:marRight w:val="0"/>
      <w:marTop w:val="0"/>
      <w:marBottom w:val="0"/>
      <w:divBdr>
        <w:top w:val="none" w:sz="0" w:space="0" w:color="auto"/>
        <w:left w:val="none" w:sz="0" w:space="0" w:color="auto"/>
        <w:bottom w:val="none" w:sz="0" w:space="0" w:color="auto"/>
        <w:right w:val="none" w:sz="0" w:space="0" w:color="auto"/>
      </w:divBdr>
    </w:div>
    <w:div w:id="992873306">
      <w:bodyDiv w:val="1"/>
      <w:marLeft w:val="0"/>
      <w:marRight w:val="0"/>
      <w:marTop w:val="0"/>
      <w:marBottom w:val="0"/>
      <w:divBdr>
        <w:top w:val="none" w:sz="0" w:space="0" w:color="auto"/>
        <w:left w:val="none" w:sz="0" w:space="0" w:color="auto"/>
        <w:bottom w:val="none" w:sz="0" w:space="0" w:color="auto"/>
        <w:right w:val="none" w:sz="0" w:space="0" w:color="auto"/>
      </w:divBdr>
    </w:div>
    <w:div w:id="1014265931">
      <w:bodyDiv w:val="1"/>
      <w:marLeft w:val="0"/>
      <w:marRight w:val="0"/>
      <w:marTop w:val="0"/>
      <w:marBottom w:val="0"/>
      <w:divBdr>
        <w:top w:val="none" w:sz="0" w:space="0" w:color="auto"/>
        <w:left w:val="none" w:sz="0" w:space="0" w:color="auto"/>
        <w:bottom w:val="none" w:sz="0" w:space="0" w:color="auto"/>
        <w:right w:val="none" w:sz="0" w:space="0" w:color="auto"/>
      </w:divBdr>
    </w:div>
    <w:div w:id="1049262377">
      <w:bodyDiv w:val="1"/>
      <w:marLeft w:val="0"/>
      <w:marRight w:val="0"/>
      <w:marTop w:val="0"/>
      <w:marBottom w:val="0"/>
      <w:divBdr>
        <w:top w:val="none" w:sz="0" w:space="0" w:color="auto"/>
        <w:left w:val="none" w:sz="0" w:space="0" w:color="auto"/>
        <w:bottom w:val="none" w:sz="0" w:space="0" w:color="auto"/>
        <w:right w:val="none" w:sz="0" w:space="0" w:color="auto"/>
      </w:divBdr>
    </w:div>
    <w:div w:id="1287202830">
      <w:bodyDiv w:val="1"/>
      <w:marLeft w:val="0"/>
      <w:marRight w:val="0"/>
      <w:marTop w:val="0"/>
      <w:marBottom w:val="0"/>
      <w:divBdr>
        <w:top w:val="none" w:sz="0" w:space="0" w:color="auto"/>
        <w:left w:val="none" w:sz="0" w:space="0" w:color="auto"/>
        <w:bottom w:val="none" w:sz="0" w:space="0" w:color="auto"/>
        <w:right w:val="none" w:sz="0" w:space="0" w:color="auto"/>
      </w:divBdr>
    </w:div>
    <w:div w:id="1324628565">
      <w:bodyDiv w:val="1"/>
      <w:marLeft w:val="0"/>
      <w:marRight w:val="0"/>
      <w:marTop w:val="0"/>
      <w:marBottom w:val="0"/>
      <w:divBdr>
        <w:top w:val="none" w:sz="0" w:space="0" w:color="auto"/>
        <w:left w:val="none" w:sz="0" w:space="0" w:color="auto"/>
        <w:bottom w:val="none" w:sz="0" w:space="0" w:color="auto"/>
        <w:right w:val="none" w:sz="0" w:space="0" w:color="auto"/>
      </w:divBdr>
    </w:div>
    <w:div w:id="1409036593">
      <w:bodyDiv w:val="1"/>
      <w:marLeft w:val="0"/>
      <w:marRight w:val="0"/>
      <w:marTop w:val="0"/>
      <w:marBottom w:val="0"/>
      <w:divBdr>
        <w:top w:val="none" w:sz="0" w:space="0" w:color="auto"/>
        <w:left w:val="none" w:sz="0" w:space="0" w:color="auto"/>
        <w:bottom w:val="none" w:sz="0" w:space="0" w:color="auto"/>
        <w:right w:val="none" w:sz="0" w:space="0" w:color="auto"/>
      </w:divBdr>
    </w:div>
    <w:div w:id="1470128767">
      <w:bodyDiv w:val="1"/>
      <w:marLeft w:val="0"/>
      <w:marRight w:val="0"/>
      <w:marTop w:val="0"/>
      <w:marBottom w:val="0"/>
      <w:divBdr>
        <w:top w:val="none" w:sz="0" w:space="0" w:color="auto"/>
        <w:left w:val="none" w:sz="0" w:space="0" w:color="auto"/>
        <w:bottom w:val="none" w:sz="0" w:space="0" w:color="auto"/>
        <w:right w:val="none" w:sz="0" w:space="0" w:color="auto"/>
      </w:divBdr>
      <w:divsChild>
        <w:div w:id="793988717">
          <w:marLeft w:val="446"/>
          <w:marRight w:val="0"/>
          <w:marTop w:val="0"/>
          <w:marBottom w:val="120"/>
          <w:divBdr>
            <w:top w:val="none" w:sz="0" w:space="0" w:color="auto"/>
            <w:left w:val="none" w:sz="0" w:space="0" w:color="auto"/>
            <w:bottom w:val="none" w:sz="0" w:space="0" w:color="auto"/>
            <w:right w:val="none" w:sz="0" w:space="0" w:color="auto"/>
          </w:divBdr>
        </w:div>
      </w:divsChild>
    </w:div>
    <w:div w:id="1485970904">
      <w:bodyDiv w:val="1"/>
      <w:marLeft w:val="0"/>
      <w:marRight w:val="0"/>
      <w:marTop w:val="0"/>
      <w:marBottom w:val="0"/>
      <w:divBdr>
        <w:top w:val="none" w:sz="0" w:space="0" w:color="auto"/>
        <w:left w:val="none" w:sz="0" w:space="0" w:color="auto"/>
        <w:bottom w:val="none" w:sz="0" w:space="0" w:color="auto"/>
        <w:right w:val="none" w:sz="0" w:space="0" w:color="auto"/>
      </w:divBdr>
    </w:div>
    <w:div w:id="1500000403">
      <w:bodyDiv w:val="1"/>
      <w:marLeft w:val="0"/>
      <w:marRight w:val="0"/>
      <w:marTop w:val="0"/>
      <w:marBottom w:val="0"/>
      <w:divBdr>
        <w:top w:val="none" w:sz="0" w:space="0" w:color="auto"/>
        <w:left w:val="none" w:sz="0" w:space="0" w:color="auto"/>
        <w:bottom w:val="none" w:sz="0" w:space="0" w:color="auto"/>
        <w:right w:val="none" w:sz="0" w:space="0" w:color="auto"/>
      </w:divBdr>
    </w:div>
    <w:div w:id="1525829370">
      <w:bodyDiv w:val="1"/>
      <w:marLeft w:val="0"/>
      <w:marRight w:val="0"/>
      <w:marTop w:val="0"/>
      <w:marBottom w:val="0"/>
      <w:divBdr>
        <w:top w:val="none" w:sz="0" w:space="0" w:color="auto"/>
        <w:left w:val="none" w:sz="0" w:space="0" w:color="auto"/>
        <w:bottom w:val="none" w:sz="0" w:space="0" w:color="auto"/>
        <w:right w:val="none" w:sz="0" w:space="0" w:color="auto"/>
      </w:divBdr>
    </w:div>
    <w:div w:id="1631743852">
      <w:bodyDiv w:val="1"/>
      <w:marLeft w:val="0"/>
      <w:marRight w:val="0"/>
      <w:marTop w:val="0"/>
      <w:marBottom w:val="0"/>
      <w:divBdr>
        <w:top w:val="none" w:sz="0" w:space="0" w:color="auto"/>
        <w:left w:val="none" w:sz="0" w:space="0" w:color="auto"/>
        <w:bottom w:val="none" w:sz="0" w:space="0" w:color="auto"/>
        <w:right w:val="none" w:sz="0" w:space="0" w:color="auto"/>
      </w:divBdr>
    </w:div>
    <w:div w:id="1718697242">
      <w:bodyDiv w:val="1"/>
      <w:marLeft w:val="0"/>
      <w:marRight w:val="0"/>
      <w:marTop w:val="0"/>
      <w:marBottom w:val="0"/>
      <w:divBdr>
        <w:top w:val="none" w:sz="0" w:space="0" w:color="auto"/>
        <w:left w:val="none" w:sz="0" w:space="0" w:color="auto"/>
        <w:bottom w:val="none" w:sz="0" w:space="0" w:color="auto"/>
        <w:right w:val="none" w:sz="0" w:space="0" w:color="auto"/>
      </w:divBdr>
    </w:div>
    <w:div w:id="1721400401">
      <w:bodyDiv w:val="1"/>
      <w:marLeft w:val="0"/>
      <w:marRight w:val="0"/>
      <w:marTop w:val="0"/>
      <w:marBottom w:val="0"/>
      <w:divBdr>
        <w:top w:val="none" w:sz="0" w:space="0" w:color="auto"/>
        <w:left w:val="none" w:sz="0" w:space="0" w:color="auto"/>
        <w:bottom w:val="none" w:sz="0" w:space="0" w:color="auto"/>
        <w:right w:val="none" w:sz="0" w:space="0" w:color="auto"/>
      </w:divBdr>
    </w:div>
    <w:div w:id="1725448495">
      <w:bodyDiv w:val="1"/>
      <w:marLeft w:val="0"/>
      <w:marRight w:val="0"/>
      <w:marTop w:val="0"/>
      <w:marBottom w:val="0"/>
      <w:divBdr>
        <w:top w:val="none" w:sz="0" w:space="0" w:color="auto"/>
        <w:left w:val="none" w:sz="0" w:space="0" w:color="auto"/>
        <w:bottom w:val="none" w:sz="0" w:space="0" w:color="auto"/>
        <w:right w:val="none" w:sz="0" w:space="0" w:color="auto"/>
      </w:divBdr>
    </w:div>
    <w:div w:id="1777752859">
      <w:bodyDiv w:val="1"/>
      <w:marLeft w:val="0"/>
      <w:marRight w:val="0"/>
      <w:marTop w:val="0"/>
      <w:marBottom w:val="0"/>
      <w:divBdr>
        <w:top w:val="none" w:sz="0" w:space="0" w:color="auto"/>
        <w:left w:val="none" w:sz="0" w:space="0" w:color="auto"/>
        <w:bottom w:val="none" w:sz="0" w:space="0" w:color="auto"/>
        <w:right w:val="none" w:sz="0" w:space="0" w:color="auto"/>
      </w:divBdr>
    </w:div>
    <w:div w:id="1851869847">
      <w:bodyDiv w:val="1"/>
      <w:marLeft w:val="0"/>
      <w:marRight w:val="0"/>
      <w:marTop w:val="0"/>
      <w:marBottom w:val="0"/>
      <w:divBdr>
        <w:top w:val="none" w:sz="0" w:space="0" w:color="auto"/>
        <w:left w:val="none" w:sz="0" w:space="0" w:color="auto"/>
        <w:bottom w:val="none" w:sz="0" w:space="0" w:color="auto"/>
        <w:right w:val="none" w:sz="0" w:space="0" w:color="auto"/>
      </w:divBdr>
    </w:div>
    <w:div w:id="1875998786">
      <w:bodyDiv w:val="1"/>
      <w:marLeft w:val="0"/>
      <w:marRight w:val="0"/>
      <w:marTop w:val="0"/>
      <w:marBottom w:val="0"/>
      <w:divBdr>
        <w:top w:val="none" w:sz="0" w:space="0" w:color="auto"/>
        <w:left w:val="none" w:sz="0" w:space="0" w:color="auto"/>
        <w:bottom w:val="none" w:sz="0" w:space="0" w:color="auto"/>
        <w:right w:val="none" w:sz="0" w:space="0" w:color="auto"/>
      </w:divBdr>
    </w:div>
    <w:div w:id="1887182134">
      <w:bodyDiv w:val="1"/>
      <w:marLeft w:val="0"/>
      <w:marRight w:val="0"/>
      <w:marTop w:val="0"/>
      <w:marBottom w:val="0"/>
      <w:divBdr>
        <w:top w:val="none" w:sz="0" w:space="0" w:color="auto"/>
        <w:left w:val="none" w:sz="0" w:space="0" w:color="auto"/>
        <w:bottom w:val="none" w:sz="0" w:space="0" w:color="auto"/>
        <w:right w:val="none" w:sz="0" w:space="0" w:color="auto"/>
      </w:divBdr>
    </w:div>
    <w:div w:id="2110659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eiffen\AppData\Roaming\OpenText\OTEdit\EC_darwin\c58059757\Generic%20SS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XMLData TextToDisplay="%DOCUMENTGUID%">{00000000-0000-0000-0000-000000000000}</XMLData>
</file>

<file path=customXml/item2.xml><?xml version="1.0" encoding="utf-8"?>
<XMLData TextToDisplay="%CLASSIFICATIONDATETIME%">08:38 28/08/2019</XMLData>
</file>

<file path=customXml/item3.xml><?xml version="1.0" encoding="utf-8"?>
<XMLData TextToDisplay="%HOSTNAME%">L020785.bdp.pt</XMLData>
</file>

<file path=customXml/item4.xml><?xml version="1.0" encoding="utf-8"?>
<XMLData TextToDisplay="%USERNAME%">DSU065</XMLData>
</file>

<file path=customXml/item5.xml><?xml version="1.0" encoding="utf-8"?>
<XMLData TextToDisplay="RightsWATCHMark">10|BDP-Externo-Restrito|{00000000-0000-0000-0000-000000000000}</XMLData>
</file>

<file path=customXml/item6.xml><?xml version="1.0" encoding="utf-8"?>
<XMLData TextToDisplay="%EMAILADDRESS%">csmarques@bportugal.pt</XMLDat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7AB84D-D5A2-455A-8844-F6AA4C681F89}">
  <ds:schemaRefs/>
</ds:datastoreItem>
</file>

<file path=customXml/itemProps2.xml><?xml version="1.0" encoding="utf-8"?>
<ds:datastoreItem xmlns:ds="http://schemas.openxmlformats.org/officeDocument/2006/customXml" ds:itemID="{5073C0D1-38A1-43B3-9A81-AEFA1DEBB492}">
  <ds:schemaRefs/>
</ds:datastoreItem>
</file>

<file path=customXml/itemProps3.xml><?xml version="1.0" encoding="utf-8"?>
<ds:datastoreItem xmlns:ds="http://schemas.openxmlformats.org/officeDocument/2006/customXml" ds:itemID="{C30C814B-ACD8-498D-9709-6F72976AFD02}">
  <ds:schemaRefs/>
</ds:datastoreItem>
</file>

<file path=customXml/itemProps4.xml><?xml version="1.0" encoding="utf-8"?>
<ds:datastoreItem xmlns:ds="http://schemas.openxmlformats.org/officeDocument/2006/customXml" ds:itemID="{42D784EC-A52B-49DF-B2F3-B293B60CC580}">
  <ds:schemaRefs/>
</ds:datastoreItem>
</file>

<file path=customXml/itemProps5.xml><?xml version="1.0" encoding="utf-8"?>
<ds:datastoreItem xmlns:ds="http://schemas.openxmlformats.org/officeDocument/2006/customXml" ds:itemID="{D46E8F82-B8DE-4826-BFA9-7043F1D45455}">
  <ds:schemaRefs/>
</ds:datastoreItem>
</file>

<file path=customXml/itemProps6.xml><?xml version="1.0" encoding="utf-8"?>
<ds:datastoreItem xmlns:ds="http://schemas.openxmlformats.org/officeDocument/2006/customXml" ds:itemID="{EFEEABE6-C301-40BD-9011-41432FC7F222}">
  <ds:schemaRefs/>
</ds:datastoreItem>
</file>

<file path=customXml/itemProps7.xml><?xml version="1.0" encoding="utf-8"?>
<ds:datastoreItem xmlns:ds="http://schemas.openxmlformats.org/officeDocument/2006/customXml" ds:itemID="{54147875-C33A-45EE-9CE5-B540BB4F9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Generic SSM.dot</Template>
  <TotalTime>342</TotalTime>
  <Pages>26</Pages>
  <Words>31789</Words>
  <Characters>18120</Characters>
  <Application>Microsoft Office Word</Application>
  <DocSecurity>0</DocSecurity>
  <Lines>151</Lines>
  <Paragraphs>99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Generic</vt:lpstr>
      <vt:lpstr>Generic</vt:lpstr>
    </vt:vector>
  </TitlesOfParts>
  <Company>European Central Bank</Company>
  <LinksUpToDate>false</LinksUpToDate>
  <CharactersWithSpaces>49810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dc:title>
  <dc:creator>Gnecchi, Silvia</dc:creator>
  <cp:lastModifiedBy>Solvita Deksne</cp:lastModifiedBy>
  <cp:revision>30</cp:revision>
  <cp:lastPrinted>2019-08-20T09:23:00Z</cp:lastPrinted>
  <dcterms:created xsi:type="dcterms:W3CDTF">2025-10-16T14:57:00Z</dcterms:created>
  <dcterms:modified xsi:type="dcterms:W3CDTF">2026-10-02T07:01:00Z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ightsWATCHMark">
    <vt:lpwstr>10|BDP-Externo-Restrito|{00000000-0000-0000-0000-000000000000}</vt:lpwstr>
  </property>
  <property fmtid="{D5CDD505-2E9C-101B-9397-08002B2CF9AE}" pid="3" name="ClassificationContentMarkingHeaderShapeIds">
    <vt:lpwstr>4e9d0f0f,1a8c77ca,3746b8a7</vt:lpwstr>
  </property>
  <property fmtid="{D5CDD505-2E9C-101B-9397-08002B2CF9AE}" pid="4" name="ClassificationContentMarkingHeaderFontProps">
    <vt:lpwstr>#000000,10,Arial</vt:lpwstr>
  </property>
  <property fmtid="{D5CDD505-2E9C-101B-9397-08002B2CF9AE}" pid="5" name="ClassificationContentMarkingHeaderText">
    <vt:lpwstr>ECB-CONFIDENTIAL</vt:lpwstr>
  </property>
  <property fmtid="{D5CDD505-2E9C-101B-9397-08002B2CF9AE}" pid="6" name="MSIP_Label_894145f4-aec7-4462-867f-61720b9452af_Enabled">
    <vt:lpwstr>true</vt:lpwstr>
  </property>
  <property fmtid="{D5CDD505-2E9C-101B-9397-08002B2CF9AE}" pid="7" name="MSIP_Label_894145f4-aec7-4462-867f-61720b9452af_SetDate">
    <vt:lpwstr>2025-10-15T17:17:29Z</vt:lpwstr>
  </property>
  <property fmtid="{D5CDD505-2E9C-101B-9397-08002B2CF9AE}" pid="8" name="MSIP_Label_894145f4-aec7-4462-867f-61720b9452af_Method">
    <vt:lpwstr>Privileged</vt:lpwstr>
  </property>
  <property fmtid="{D5CDD505-2E9C-101B-9397-08002B2CF9AE}" pid="9" name="MSIP_Label_894145f4-aec7-4462-867f-61720b9452af_Name">
    <vt:lpwstr>ECB-CONFIDENTIAL - Business</vt:lpwstr>
  </property>
  <property fmtid="{D5CDD505-2E9C-101B-9397-08002B2CF9AE}" pid="10" name="MSIP_Label_894145f4-aec7-4462-867f-61720b9452af_SiteId">
    <vt:lpwstr>b84ee435-4816-49d2-8d92-e740dbda4064</vt:lpwstr>
  </property>
  <property fmtid="{D5CDD505-2E9C-101B-9397-08002B2CF9AE}" pid="11" name="MSIP_Label_894145f4-aec7-4462-867f-61720b9452af_ActionId">
    <vt:lpwstr>48c4e0ad-347e-4f13-aa28-5e2f2ebda18c</vt:lpwstr>
  </property>
  <property fmtid="{D5CDD505-2E9C-101B-9397-08002B2CF9AE}" pid="12" name="MSIP_Label_894145f4-aec7-4462-867f-61720b9452af_ContentBits">
    <vt:lpwstr>1</vt:lpwstr>
  </property>
</Properties>
</file>