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017" w:rsidRPr="0025056D" w:rsidRDefault="00B42019" w:rsidP="00EA04B5">
      <w:pPr>
        <w:shd w:val="clear" w:color="auto" w:fill="FFFFFF"/>
        <w:spacing w:after="0" w:line="312" w:lineRule="atLeast"/>
        <w:jc w:val="both"/>
        <w:rPr>
          <w:rFonts w:ascii="Tahoma" w:eastAsia="Times New Roman" w:hAnsi="Tahoma" w:cs="Tahoma"/>
          <w:color w:val="252525"/>
          <w:sz w:val="20"/>
          <w:szCs w:val="20"/>
          <w:lang w:eastAsia="lv-LV"/>
        </w:rPr>
      </w:pPr>
      <w:r w:rsidRPr="0025056D">
        <w:rPr>
          <w:rFonts w:ascii="Tahoma" w:eastAsia="Times New Roman" w:hAnsi="Tahoma" w:cs="Tahoma"/>
          <w:color w:val="252525"/>
          <w:sz w:val="20"/>
          <w:szCs w:val="20"/>
          <w:lang w:bidi="ru-RU"/>
        </w:rPr>
        <w:t>28.05.2018</w:t>
      </w:r>
    </w:p>
    <w:p w:rsidR="00EA04B5" w:rsidRPr="0025056D" w:rsidRDefault="00EA04B5" w:rsidP="00EA04B5">
      <w:pPr>
        <w:shd w:val="clear" w:color="auto" w:fill="FFFFFF"/>
        <w:spacing w:after="0" w:line="312" w:lineRule="atLeast"/>
        <w:jc w:val="both"/>
        <w:rPr>
          <w:rFonts w:ascii="Tahoma" w:eastAsia="Times New Roman" w:hAnsi="Tahoma" w:cs="Tahoma"/>
          <w:color w:val="252525"/>
          <w:sz w:val="20"/>
          <w:szCs w:val="20"/>
          <w:lang w:eastAsia="lv-LV"/>
        </w:rPr>
      </w:pPr>
      <w:r w:rsidRPr="0025056D">
        <w:rPr>
          <w:rFonts w:ascii="Tahoma" w:eastAsia="Times New Roman" w:hAnsi="Tahoma" w:cs="Tahoma"/>
          <w:color w:val="252525"/>
          <w:sz w:val="20"/>
          <w:szCs w:val="20"/>
          <w:lang w:bidi="ru-RU"/>
        </w:rPr>
        <w:t>Информация для СМИ</w:t>
      </w:r>
    </w:p>
    <w:p w:rsidR="00EA04B5" w:rsidRPr="0025056D" w:rsidRDefault="00EA04B5" w:rsidP="00EA04B5">
      <w:pPr>
        <w:pStyle w:val="Nobeigums"/>
        <w:rPr>
          <w:rFonts w:ascii="Tahoma" w:hAnsi="Tahoma" w:cs="Tahoma"/>
          <w:b/>
          <w:bCs/>
          <w:sz w:val="20"/>
          <w:lang w:val="ru-RU"/>
        </w:rPr>
      </w:pPr>
    </w:p>
    <w:p w:rsidR="00664390" w:rsidRPr="0025056D" w:rsidRDefault="00664390" w:rsidP="00664390">
      <w:pPr>
        <w:pStyle w:val="BodyText"/>
        <w:tabs>
          <w:tab w:val="left" w:pos="0"/>
          <w:tab w:val="left" w:pos="1080"/>
        </w:tabs>
        <w:autoSpaceDE w:val="0"/>
        <w:autoSpaceDN w:val="0"/>
        <w:adjustRightInd w:val="0"/>
        <w:ind w:right="-20"/>
        <w:rPr>
          <w:rFonts w:ascii="Tahoma" w:hAnsi="Tahoma" w:cs="Tahoma"/>
          <w:b/>
          <w:sz w:val="20"/>
          <w:szCs w:val="20"/>
          <w:lang w:val="ru-RU" w:eastAsia="lv-LV"/>
        </w:rPr>
      </w:pPr>
    </w:p>
    <w:p w:rsidR="00664390" w:rsidRPr="0025056D" w:rsidRDefault="00664390" w:rsidP="0066439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ahoma" w:hAnsi="Tahoma" w:cs="Tahoma"/>
          <w:b/>
          <w:bCs/>
          <w:color w:val="000000"/>
          <w:sz w:val="28"/>
          <w:szCs w:val="28"/>
        </w:rPr>
      </w:pPr>
      <w:r w:rsidRPr="0025056D">
        <w:rPr>
          <w:rFonts w:ascii="Tahoma" w:eastAsia="Tahoma" w:hAnsi="Tahoma" w:cs="Tahoma"/>
          <w:b/>
          <w:color w:val="000000"/>
          <w:sz w:val="28"/>
          <w:szCs w:val="28"/>
          <w:lang w:bidi="ru-RU"/>
        </w:rPr>
        <w:t>КРФК предупреждает о рискованных инвестиционных услугах, предлагаемых по телефону</w:t>
      </w:r>
    </w:p>
    <w:p w:rsidR="00664390" w:rsidRPr="0025056D" w:rsidRDefault="00664390" w:rsidP="0066439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ahoma" w:hAnsi="Tahoma" w:cs="Tahoma"/>
          <w:b/>
          <w:bCs/>
          <w:color w:val="000000"/>
          <w:sz w:val="24"/>
          <w:szCs w:val="24"/>
        </w:rPr>
      </w:pPr>
    </w:p>
    <w:p w:rsidR="00664390" w:rsidRPr="0025056D" w:rsidRDefault="00664390" w:rsidP="0066439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ahoma" w:hAnsi="Tahoma" w:cs="Tahoma"/>
          <w:b/>
          <w:bCs/>
          <w:color w:val="000000"/>
          <w:sz w:val="24"/>
          <w:szCs w:val="24"/>
        </w:rPr>
      </w:pPr>
      <w:r w:rsidRPr="0025056D">
        <w:rPr>
          <w:rFonts w:ascii="Tahoma" w:eastAsia="Tahoma" w:hAnsi="Tahoma" w:cs="Tahoma"/>
          <w:b/>
          <w:color w:val="000000"/>
          <w:sz w:val="24"/>
          <w:szCs w:val="24"/>
          <w:lang w:bidi="ru-RU"/>
        </w:rPr>
        <w:t xml:space="preserve">В последнее время Комиссия рынка финансов и капитала (КРФК) наблюдает растущее число предложений финансовых услуг в сфере инвестиций, поступающих по телефону, а также получает от населения жалобы на агрессивные попытки продать им сложные финансовые услуги, позволяющие зарабатывать на рынке акций или валют, заключая сделки на интернет-платформах или доверяя свои деньги якобы «профессиональным брокерам». </w:t>
      </w:r>
    </w:p>
    <w:p w:rsidR="00664390" w:rsidRPr="0025056D" w:rsidRDefault="00664390" w:rsidP="0066439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ahoma" w:hAnsi="Tahoma" w:cs="Tahoma"/>
          <w:b/>
          <w:bCs/>
          <w:color w:val="000000"/>
          <w:sz w:val="24"/>
          <w:szCs w:val="24"/>
        </w:rPr>
      </w:pPr>
    </w:p>
    <w:p w:rsidR="00664390" w:rsidRPr="0025056D" w:rsidRDefault="00664390" w:rsidP="0066439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ahoma" w:hAnsi="Tahoma" w:cs="Tahoma"/>
          <w:bCs/>
          <w:color w:val="000000"/>
          <w:sz w:val="24"/>
          <w:szCs w:val="24"/>
        </w:rPr>
      </w:pPr>
      <w:r w:rsidRPr="0025056D">
        <w:rPr>
          <w:rFonts w:ascii="Tahoma" w:eastAsia="Tahoma" w:hAnsi="Tahoma" w:cs="Tahoma"/>
          <w:color w:val="000000"/>
          <w:sz w:val="24"/>
          <w:szCs w:val="24"/>
          <w:lang w:bidi="ru-RU"/>
        </w:rPr>
        <w:t>КРФК призывает население проявлять осторожность и не доверять обещаниям легкой прибыли на финансовых рынках, исходящим от подозрительных и не лицензированных в Латвии поставщиков услуг. В большинстве случаев жители, воспользовавшиеся такими предложениями, полностью теряют вложенные средства.</w:t>
      </w:r>
    </w:p>
    <w:p w:rsidR="00664390" w:rsidRPr="00AA5CA3" w:rsidRDefault="00664390" w:rsidP="0066439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ahoma" w:hAnsi="Tahoma" w:cs="Tahoma"/>
          <w:bCs/>
          <w:color w:val="000000"/>
          <w:sz w:val="12"/>
          <w:szCs w:val="24"/>
        </w:rPr>
      </w:pPr>
    </w:p>
    <w:p w:rsidR="00664390" w:rsidRPr="0025056D" w:rsidRDefault="00664390" w:rsidP="0066439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center"/>
        <w:rPr>
          <w:rFonts w:ascii="Tahoma" w:hAnsi="Tahoma" w:cs="Tahoma"/>
          <w:bCs/>
          <w:color w:val="000000"/>
          <w:sz w:val="32"/>
          <w:szCs w:val="32"/>
        </w:rPr>
      </w:pPr>
      <w:r w:rsidRPr="0025056D">
        <w:rPr>
          <w:rFonts w:ascii="Tahoma" w:eastAsia="Tahoma" w:hAnsi="Tahoma" w:cs="Tahoma"/>
          <w:color w:val="000000"/>
          <w:sz w:val="32"/>
          <w:szCs w:val="32"/>
          <w:lang w:bidi="ru-RU"/>
        </w:rPr>
        <w:t>Мифы и правда о «профессиональных брокерах»</w:t>
      </w:r>
    </w:p>
    <w:p w:rsidR="00664390" w:rsidRPr="0025056D" w:rsidRDefault="004C75F8" w:rsidP="0066439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ahoma" w:hAnsi="Tahoma" w:cs="Tahoma"/>
          <w:bCs/>
          <w:color w:val="000000"/>
          <w:sz w:val="24"/>
          <w:szCs w:val="24"/>
        </w:rPr>
      </w:pPr>
      <w:r w:rsidRPr="004C75F8">
        <w:rPr>
          <w:noProof/>
          <w:lang w:val="lv-LV" w:eastAsia="lv-LV"/>
        </w:rPr>
        <w:drawing>
          <wp:inline distT="0" distB="0" distL="0" distR="0" wp14:anchorId="0C7FA276" wp14:editId="178830BB">
            <wp:extent cx="6518786" cy="1943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15305" cy="1942062"/>
                    </a:xfrm>
                    <a:prstGeom prst="rect">
                      <a:avLst/>
                    </a:prstGeom>
                    <a:noFill/>
                    <a:ln>
                      <a:noFill/>
                    </a:ln>
                  </pic:spPr>
                </pic:pic>
              </a:graphicData>
            </a:graphic>
          </wp:inline>
        </w:drawing>
      </w:r>
    </w:p>
    <w:p w:rsidR="00AA5CA3" w:rsidRPr="00AA5CA3" w:rsidRDefault="00AA5CA3" w:rsidP="0066439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ahoma" w:eastAsia="Tahoma" w:hAnsi="Tahoma" w:cs="Tahoma"/>
          <w:color w:val="000000"/>
          <w:sz w:val="12"/>
          <w:szCs w:val="24"/>
          <w:lang w:val="lv-LV" w:bidi="ru-RU"/>
        </w:rPr>
      </w:pPr>
    </w:p>
    <w:p w:rsidR="00664390" w:rsidRPr="0025056D" w:rsidRDefault="00664390" w:rsidP="0066439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ahoma" w:hAnsi="Tahoma" w:cs="Tahoma"/>
          <w:bCs/>
          <w:color w:val="000000"/>
          <w:sz w:val="24"/>
          <w:szCs w:val="24"/>
        </w:rPr>
      </w:pPr>
      <w:r w:rsidRPr="0025056D">
        <w:rPr>
          <w:rFonts w:ascii="Tahoma" w:eastAsia="Tahoma" w:hAnsi="Tahoma" w:cs="Tahoma"/>
          <w:color w:val="000000"/>
          <w:sz w:val="24"/>
          <w:szCs w:val="24"/>
          <w:lang w:bidi="ru-RU"/>
        </w:rPr>
        <w:t xml:space="preserve">Мы рекомендуем всем, кому поступил такой звонок, прекратить разговор, не вступать в дискуссии и отказаться от нежелательных предложений, а также, если это позволяют функции телефона, заблокировать телефонный номер, </w:t>
      </w:r>
      <w:r w:rsidRPr="0025056D">
        <w:rPr>
          <w:rFonts w:ascii="Helv" w:eastAsia="Helv" w:hAnsi="Helv" w:cs="Helv"/>
          <w:color w:val="000000"/>
          <w:sz w:val="24"/>
          <w:szCs w:val="24"/>
          <w:lang w:bidi="ru-RU"/>
        </w:rPr>
        <w:t>чтобы избежать</w:t>
      </w:r>
      <w:r w:rsidRPr="0025056D">
        <w:rPr>
          <w:rFonts w:ascii="Tahoma" w:eastAsia="Tahoma" w:hAnsi="Tahoma" w:cs="Tahoma"/>
          <w:color w:val="000000"/>
          <w:sz w:val="24"/>
          <w:szCs w:val="24"/>
          <w:lang w:bidi="ru-RU"/>
        </w:rPr>
        <w:t xml:space="preserve"> повторных звонков. Кроме того, КРФК отмечает, что одному человеку могут звонить несколько раз с разных телефонных номеров. В случае повторных звонков инвесторов могут уговаривать, убеждать принять участие и попробовать или угрожать необходимостью внести дополнительные средства, чтобы вернуть вложенную сумму. В таких случаях мы настоятельно рекомендуем обращаться в Государственную полицию.</w:t>
      </w:r>
    </w:p>
    <w:p w:rsidR="00664390" w:rsidRPr="0025056D" w:rsidRDefault="00664390" w:rsidP="00AA5CA3">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b/>
          <w:color w:val="000000"/>
          <w:sz w:val="24"/>
          <w:szCs w:val="20"/>
        </w:rPr>
      </w:pPr>
      <w:r w:rsidRPr="0025056D">
        <w:rPr>
          <w:rFonts w:ascii="Helv" w:eastAsia="Helv" w:hAnsi="Helv" w:cs="Helv"/>
          <w:b/>
          <w:color w:val="000000"/>
          <w:sz w:val="24"/>
          <w:szCs w:val="20"/>
          <w:lang w:bidi="ru-RU"/>
        </w:rPr>
        <w:lastRenderedPageBreak/>
        <w:t>КРФК подчеркивает:</w:t>
      </w:r>
    </w:p>
    <w:p w:rsidR="00664390" w:rsidRPr="0025056D" w:rsidRDefault="00664390" w:rsidP="00664390">
      <w:pPr>
        <w:pStyle w:val="ListParagraph"/>
        <w:numPr>
          <w:ilvl w:val="0"/>
          <w:numId w:val="2"/>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Helv" w:hAnsi="Helv" w:cs="Helv"/>
          <w:color w:val="000000"/>
          <w:sz w:val="24"/>
          <w:szCs w:val="20"/>
          <w:lang w:val="ru-RU"/>
        </w:rPr>
      </w:pPr>
      <w:r w:rsidRPr="0025056D">
        <w:rPr>
          <w:rFonts w:ascii="Helv" w:eastAsia="Helv" w:hAnsi="Helv" w:cs="Helv"/>
          <w:color w:val="000000"/>
          <w:sz w:val="24"/>
          <w:szCs w:val="20"/>
          <w:lang w:val="ru-RU" w:bidi="ru-RU"/>
        </w:rPr>
        <w:t>не все предприятия, работающие в Интернете, получили разрешение на свою деятельность, т. е. предложение инвестиционных услуг; они могут быть зарегистрированы только для выполнения некоторых действий, а часть из них незаконно (без соответствующего разрешения) продает рискованные или несуществующие услуги легковерным инвесторам. Прежде чем заключить сделку с так называемым инвестиционным брокером, убедитесь, что у него есть право предлагать инвестиционные услуги на территории Латвии;</w:t>
      </w:r>
    </w:p>
    <w:p w:rsidR="00664390" w:rsidRPr="0025056D" w:rsidRDefault="00664390" w:rsidP="00664390">
      <w:pPr>
        <w:pStyle w:val="ListParagraph"/>
        <w:numPr>
          <w:ilvl w:val="0"/>
          <w:numId w:val="2"/>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Helv" w:hAnsi="Helv" w:cs="Helv"/>
          <w:color w:val="000000"/>
          <w:sz w:val="24"/>
          <w:szCs w:val="20"/>
          <w:lang w:val="ru-RU"/>
        </w:rPr>
      </w:pPr>
      <w:r w:rsidRPr="0025056D">
        <w:rPr>
          <w:rFonts w:ascii="Helv" w:eastAsia="Helv" w:hAnsi="Helv" w:cs="Helv"/>
          <w:color w:val="000000"/>
          <w:sz w:val="24"/>
          <w:szCs w:val="20"/>
          <w:lang w:val="ru-RU" w:bidi="ru-RU"/>
        </w:rPr>
        <w:t>если инвестиционное предложение выглядит слишком многообещающим, скорее всего, оно не соответствует действительности. Не верьте утверждениям, что инвестиция сразу принесет вам сказочную прибыль или обладает гигантским потенциалом. Такие заявления чаще всего указывают на инвестиции, сопряженные с повышенным риском, или возможное мошенничество;</w:t>
      </w:r>
    </w:p>
    <w:p w:rsidR="00664390" w:rsidRPr="0025056D" w:rsidRDefault="00664390" w:rsidP="00664390">
      <w:pPr>
        <w:pStyle w:val="ListParagraph"/>
        <w:numPr>
          <w:ilvl w:val="0"/>
          <w:numId w:val="2"/>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Helv" w:hAnsi="Helv" w:cs="Helv"/>
          <w:color w:val="000000"/>
          <w:sz w:val="24"/>
          <w:szCs w:val="20"/>
          <w:lang w:val="ru-RU"/>
        </w:rPr>
      </w:pPr>
      <w:r w:rsidRPr="0025056D">
        <w:rPr>
          <w:rFonts w:ascii="Helv" w:eastAsia="Helv" w:hAnsi="Helv" w:cs="Helv"/>
          <w:color w:val="000000"/>
          <w:sz w:val="24"/>
          <w:szCs w:val="20"/>
          <w:lang w:val="ru-RU" w:bidi="ru-RU"/>
        </w:rPr>
        <w:t>подумайте, достаточно ли ваших знаний и опыта в области финансовых рынков для того, чтобы составить представление о предлагаемых вам инвестициях с учетом факторов риска и прибыли;</w:t>
      </w:r>
    </w:p>
    <w:p w:rsidR="00664390" w:rsidRPr="0025056D" w:rsidRDefault="00664390" w:rsidP="00664390">
      <w:pPr>
        <w:pStyle w:val="ListParagraph"/>
        <w:numPr>
          <w:ilvl w:val="0"/>
          <w:numId w:val="2"/>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Helv" w:hAnsi="Helv" w:cs="Helv"/>
          <w:color w:val="000000"/>
          <w:sz w:val="24"/>
          <w:szCs w:val="20"/>
          <w:lang w:val="ru-RU"/>
        </w:rPr>
      </w:pPr>
      <w:r w:rsidRPr="0025056D">
        <w:rPr>
          <w:rFonts w:ascii="Helv" w:eastAsia="Helv" w:hAnsi="Helv" w:cs="Helv"/>
          <w:color w:val="000000"/>
          <w:sz w:val="24"/>
          <w:szCs w:val="20"/>
          <w:lang w:val="ru-RU" w:bidi="ru-RU"/>
        </w:rPr>
        <w:t>не доверяйте «бесплатным деньгам», т. е. обещаниям «вернуть 10 %» и «вплоть до 500 евро при открытии счета» – это один из приемов заманивания инвесторов;</w:t>
      </w:r>
    </w:p>
    <w:p w:rsidR="00664390" w:rsidRPr="0025056D" w:rsidRDefault="00664390" w:rsidP="00664390">
      <w:pPr>
        <w:pStyle w:val="ListParagraph"/>
        <w:numPr>
          <w:ilvl w:val="0"/>
          <w:numId w:val="2"/>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Helv" w:hAnsi="Helv" w:cs="Helv"/>
          <w:color w:val="000000"/>
          <w:sz w:val="24"/>
          <w:szCs w:val="20"/>
          <w:lang w:val="ru-RU"/>
        </w:rPr>
      </w:pPr>
      <w:r w:rsidRPr="0025056D">
        <w:rPr>
          <w:rFonts w:ascii="Helv" w:eastAsia="Helv" w:hAnsi="Helv" w:cs="Helv"/>
          <w:color w:val="000000"/>
          <w:sz w:val="24"/>
          <w:szCs w:val="20"/>
          <w:lang w:val="ru-RU" w:bidi="ru-RU"/>
        </w:rPr>
        <w:t>не сообщайте данные своей платежной карты или других платежных инструментов. После этого со счета без вашего согласия могут быть перечислены деньги, вернуть их будет трудно или даже невозможно.</w:t>
      </w:r>
    </w:p>
    <w:p w:rsidR="00664390" w:rsidRPr="0025056D" w:rsidRDefault="00664390" w:rsidP="0066439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ahoma" w:hAnsi="Tahoma" w:cs="Tahoma"/>
          <w:b/>
          <w:bCs/>
          <w:color w:val="000000"/>
          <w:sz w:val="24"/>
          <w:szCs w:val="24"/>
        </w:rPr>
      </w:pPr>
    </w:p>
    <w:p w:rsidR="00664390" w:rsidRPr="0025056D" w:rsidRDefault="00664390" w:rsidP="0066439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ahoma" w:hAnsi="Tahoma" w:cs="Tahoma"/>
          <w:color w:val="000000"/>
          <w:sz w:val="24"/>
          <w:szCs w:val="24"/>
        </w:rPr>
      </w:pPr>
      <w:r w:rsidRPr="0025056D">
        <w:rPr>
          <w:rFonts w:ascii="Tahoma" w:eastAsia="Tahoma" w:hAnsi="Tahoma" w:cs="Tahoma"/>
          <w:b/>
          <w:color w:val="000000"/>
          <w:sz w:val="24"/>
          <w:szCs w:val="24"/>
          <w:lang w:bidi="ru-RU"/>
        </w:rPr>
        <w:t>КРФК рекомендует инвесторам, не имеющим профессиональной подготовки в области финансовых услуг, однако желающим делать инвестиции, обратиться в свой банк или инвестиционное брокерское общество, которое получило лицензию КРФК или разрешение на деятельность в Латвии.</w:t>
      </w:r>
      <w:r w:rsidRPr="0025056D">
        <w:rPr>
          <w:rFonts w:ascii="Tahoma" w:eastAsia="Tahoma" w:hAnsi="Tahoma" w:cs="Tahoma"/>
          <w:color w:val="000000"/>
          <w:sz w:val="24"/>
          <w:szCs w:val="24"/>
          <w:lang w:bidi="ru-RU"/>
        </w:rPr>
        <w:t xml:space="preserve"> Такие поставщики услуг обязаны сообщать инвесторам о возможных рисках и составлять предложение, соответствующее профилю риска клиента. </w:t>
      </w:r>
      <w:r w:rsidRPr="0025056D">
        <w:rPr>
          <w:rFonts w:ascii="Tahoma" w:eastAsia="Tahoma" w:hAnsi="Tahoma" w:cs="Tahoma"/>
          <w:b/>
          <w:color w:val="000000"/>
          <w:sz w:val="24"/>
          <w:szCs w:val="24"/>
          <w:lang w:bidi="ru-RU"/>
        </w:rPr>
        <w:t>Если клиент пользуется инвестиционными услугами, которые оказывают такие поставщики,</w:t>
      </w:r>
      <w:r w:rsidR="0025056D">
        <w:rPr>
          <w:rFonts w:ascii="Tahoma" w:eastAsia="Tahoma" w:hAnsi="Tahoma" w:cs="Tahoma"/>
          <w:b/>
          <w:color w:val="000000"/>
          <w:sz w:val="24"/>
          <w:szCs w:val="24"/>
          <w:lang w:val="lv-LV" w:bidi="ru-RU"/>
        </w:rPr>
        <w:t xml:space="preserve"> </w:t>
      </w:r>
      <w:r w:rsidRPr="0025056D">
        <w:rPr>
          <w:rFonts w:ascii="Tahoma" w:eastAsia="Tahoma" w:hAnsi="Tahoma" w:cs="Tahoma"/>
          <w:b/>
          <w:color w:val="000000"/>
          <w:sz w:val="24"/>
          <w:szCs w:val="24"/>
          <w:lang w:bidi="ru-RU"/>
        </w:rPr>
        <w:t xml:space="preserve">его права защищены законом. </w:t>
      </w:r>
    </w:p>
    <w:p w:rsidR="00664390" w:rsidRPr="0025056D" w:rsidRDefault="00664390" w:rsidP="0066439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ahoma" w:hAnsi="Tahoma" w:cs="Tahoma"/>
          <w:color w:val="000000"/>
          <w:sz w:val="24"/>
          <w:szCs w:val="24"/>
        </w:rPr>
      </w:pPr>
    </w:p>
    <w:p w:rsidR="00664390" w:rsidRPr="0025056D" w:rsidRDefault="00664390" w:rsidP="0066439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ahoma" w:hAnsi="Tahoma" w:cs="Tahoma"/>
          <w:color w:val="000000"/>
          <w:sz w:val="24"/>
          <w:szCs w:val="24"/>
        </w:rPr>
      </w:pPr>
      <w:r w:rsidRPr="0025056D">
        <w:rPr>
          <w:rFonts w:ascii="Tahoma" w:eastAsia="Tahoma" w:hAnsi="Tahoma" w:cs="Tahoma"/>
          <w:color w:val="000000"/>
          <w:sz w:val="24"/>
          <w:szCs w:val="24"/>
          <w:lang w:bidi="ru-RU"/>
        </w:rPr>
        <w:t xml:space="preserve">Информация о лицензированных в Латвии поставщиках инвестиционных услуг опубликована на веб-сайте КРФК по адресу </w:t>
      </w:r>
      <w:hyperlink r:id="rId9" w:history="1">
        <w:r w:rsidRPr="0025056D">
          <w:rPr>
            <w:rStyle w:val="Hyperlink"/>
            <w:rFonts w:ascii="Tahoma" w:eastAsia="Tahoma" w:hAnsi="Tahoma" w:cs="Tahoma"/>
            <w:sz w:val="24"/>
            <w:szCs w:val="24"/>
            <w:lang w:bidi="ru-RU"/>
          </w:rPr>
          <w:t>http://www.fktk.lv/lv/tirgus-dalibnieki/finansu-instrumentu-tirgus/ieguldijumu-pakalpojumu-sniedz.html</w:t>
        </w:r>
      </w:hyperlink>
      <w:r w:rsidRPr="0025056D">
        <w:rPr>
          <w:rFonts w:ascii="Tahoma" w:eastAsia="Tahoma" w:hAnsi="Tahoma" w:cs="Tahoma"/>
          <w:color w:val="000000"/>
          <w:sz w:val="24"/>
          <w:szCs w:val="24"/>
          <w:lang w:bidi="ru-RU"/>
        </w:rPr>
        <w:t xml:space="preserve">, в свою очередь, </w:t>
      </w:r>
      <w:r w:rsidRPr="0025056D">
        <w:rPr>
          <w:rFonts w:ascii="Tahoma" w:eastAsia="Tahoma" w:hAnsi="Tahoma" w:cs="Tahoma"/>
          <w:color w:val="000000"/>
          <w:sz w:val="24"/>
          <w:szCs w:val="24"/>
          <w:shd w:val="clear" w:color="auto" w:fill="FFFFFF"/>
          <w:lang w:bidi="ru-RU"/>
        </w:rPr>
        <w:t xml:space="preserve">информация о поставщиках инвестиционных услуг из других </w:t>
      </w:r>
      <w:r w:rsidR="006D69D7">
        <w:rPr>
          <w:rFonts w:ascii="Tahoma" w:eastAsia="Tahoma" w:hAnsi="Tahoma" w:cs="Tahoma"/>
          <w:color w:val="000000"/>
          <w:sz w:val="24"/>
          <w:szCs w:val="24"/>
          <w:shd w:val="clear" w:color="auto" w:fill="FFFFFF"/>
          <w:lang w:bidi="ru-RU"/>
        </w:rPr>
        <w:t xml:space="preserve">Европейских </w:t>
      </w:r>
      <w:r w:rsidRPr="0025056D">
        <w:rPr>
          <w:rFonts w:ascii="Tahoma" w:eastAsia="Tahoma" w:hAnsi="Tahoma" w:cs="Tahoma"/>
          <w:color w:val="000000"/>
          <w:sz w:val="24"/>
          <w:szCs w:val="24"/>
          <w:shd w:val="clear" w:color="auto" w:fill="FFFFFF"/>
          <w:lang w:bidi="ru-RU"/>
        </w:rPr>
        <w:t xml:space="preserve">стран-участниц, которым разрешено оказывать услуги в Латвии, – по адресу </w:t>
      </w:r>
      <w:hyperlink r:id="rId10" w:history="1">
        <w:r w:rsidRPr="0025056D">
          <w:rPr>
            <w:rStyle w:val="Hyperlink"/>
            <w:rFonts w:ascii="Tahoma" w:eastAsia="Tahoma" w:hAnsi="Tahoma" w:cs="Tahoma"/>
            <w:sz w:val="24"/>
            <w:szCs w:val="24"/>
            <w:shd w:val="clear" w:color="auto" w:fill="FFFFFF"/>
            <w:lang w:bidi="ru-RU"/>
          </w:rPr>
          <w:t>http://www.fktk.lv/lv/tirgus-dalibnieki/finansu-instrumentu-tirgus/pakalpojumu-sniedzeji-no-eez/dibinasanas-briviba.html</w:t>
        </w:r>
      </w:hyperlink>
      <w:r w:rsidRPr="0025056D">
        <w:rPr>
          <w:rFonts w:ascii="Tahoma" w:eastAsia="Tahoma" w:hAnsi="Tahoma" w:cs="Tahoma"/>
          <w:color w:val="000000"/>
          <w:sz w:val="24"/>
          <w:szCs w:val="24"/>
          <w:shd w:val="clear" w:color="auto" w:fill="FFFFFF"/>
          <w:lang w:bidi="ru-RU"/>
        </w:rPr>
        <w:t>.</w:t>
      </w:r>
    </w:p>
    <w:p w:rsidR="00664390" w:rsidRPr="0025056D" w:rsidRDefault="00664390" w:rsidP="0066439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ahoma" w:hAnsi="Tahoma" w:cs="Tahoma"/>
          <w:color w:val="000000"/>
          <w:sz w:val="24"/>
          <w:szCs w:val="24"/>
        </w:rPr>
      </w:pPr>
    </w:p>
    <w:p w:rsidR="00664390" w:rsidRPr="0025056D" w:rsidRDefault="00664390" w:rsidP="00664390">
      <w:pPr>
        <w:spacing w:line="240" w:lineRule="auto"/>
        <w:jc w:val="both"/>
        <w:rPr>
          <w:rFonts w:ascii="Tahoma" w:hAnsi="Tahoma" w:cs="Tahoma"/>
          <w:color w:val="000000"/>
          <w:sz w:val="24"/>
          <w:szCs w:val="24"/>
        </w:rPr>
      </w:pPr>
      <w:r w:rsidRPr="0025056D">
        <w:rPr>
          <w:rFonts w:ascii="Tahoma" w:eastAsia="Tahoma" w:hAnsi="Tahoma" w:cs="Tahoma"/>
          <w:color w:val="000000"/>
          <w:sz w:val="24"/>
          <w:szCs w:val="24"/>
          <w:lang w:bidi="ru-RU"/>
        </w:rPr>
        <w:lastRenderedPageBreak/>
        <w:t xml:space="preserve">Согласно наблюдениям Европейского надзорного органа рынка ценных бумаг (англ. ESMA) и КРФК, в последние годы по всему Европейскому союзу стремительно растет объем </w:t>
      </w:r>
      <w:r w:rsidRPr="0025056D">
        <w:rPr>
          <w:rFonts w:ascii="Tahoma" w:eastAsia="Tahoma" w:hAnsi="Tahoma" w:cs="Tahoma"/>
          <w:b/>
          <w:color w:val="000000"/>
          <w:sz w:val="24"/>
          <w:szCs w:val="24"/>
          <w:lang w:bidi="ru-RU"/>
        </w:rPr>
        <w:t>торговли</w:t>
      </w:r>
      <w:r w:rsidRPr="0025056D">
        <w:rPr>
          <w:rFonts w:ascii="Tahoma" w:eastAsia="Tahoma" w:hAnsi="Tahoma" w:cs="Tahoma"/>
          <w:color w:val="000000"/>
          <w:sz w:val="24"/>
          <w:szCs w:val="24"/>
          <w:lang w:bidi="ru-RU"/>
        </w:rPr>
        <w:t>, распространения или продажи</w:t>
      </w:r>
      <w:r w:rsidRPr="0025056D">
        <w:rPr>
          <w:rFonts w:ascii="Tahoma" w:eastAsia="Tahoma" w:hAnsi="Tahoma" w:cs="Tahoma"/>
          <w:b/>
          <w:color w:val="000000"/>
          <w:sz w:val="24"/>
          <w:szCs w:val="24"/>
          <w:lang w:bidi="ru-RU"/>
        </w:rPr>
        <w:t xml:space="preserve"> договоров на разницу цен (CFD)</w:t>
      </w:r>
      <w:r w:rsidRPr="0025056D">
        <w:rPr>
          <w:rFonts w:ascii="Tahoma" w:eastAsia="Tahoma" w:hAnsi="Tahoma" w:cs="Tahoma"/>
          <w:color w:val="000000"/>
          <w:sz w:val="24"/>
          <w:szCs w:val="24"/>
          <w:lang w:bidi="ru-RU"/>
        </w:rPr>
        <w:t xml:space="preserve"> непрофессиональным инвесторам, особенно со стороны нелицензированных участников рынка, чья деятельность большей частью зарегистрирована за пределами ЕС. </w:t>
      </w:r>
      <w:r w:rsidRPr="0025056D">
        <w:rPr>
          <w:rFonts w:ascii="Tahoma" w:eastAsia="Tahoma" w:hAnsi="Tahoma" w:cs="Tahoma"/>
          <w:b/>
          <w:color w:val="000000"/>
          <w:sz w:val="24"/>
          <w:szCs w:val="24"/>
          <w:lang w:bidi="ru-RU"/>
        </w:rPr>
        <w:t xml:space="preserve">CFD являются рискованными и сложными финансовыми услугами, </w:t>
      </w:r>
      <w:r w:rsidRPr="0025056D">
        <w:rPr>
          <w:rFonts w:ascii="Tahoma" w:eastAsia="Tahoma" w:hAnsi="Tahoma" w:cs="Tahoma"/>
          <w:color w:val="000000"/>
          <w:sz w:val="24"/>
          <w:szCs w:val="24"/>
          <w:lang w:bidi="ru-RU"/>
        </w:rPr>
        <w:t xml:space="preserve">подходящими только для лиц, которые обладают соответствующим опытом и знаниями, и часто продаются в спекулятивных целях. </w:t>
      </w:r>
    </w:p>
    <w:p w:rsidR="00664390" w:rsidRPr="0025056D" w:rsidRDefault="00664390" w:rsidP="00664390">
      <w:pPr>
        <w:spacing w:line="240" w:lineRule="auto"/>
        <w:jc w:val="both"/>
        <w:rPr>
          <w:rFonts w:ascii="Tahoma" w:hAnsi="Tahoma" w:cs="Tahoma"/>
          <w:color w:val="000000"/>
          <w:sz w:val="24"/>
          <w:szCs w:val="24"/>
        </w:rPr>
      </w:pPr>
      <w:r w:rsidRPr="0025056D">
        <w:rPr>
          <w:rFonts w:ascii="Tahoma" w:eastAsia="Tahoma" w:hAnsi="Tahoma" w:cs="Tahoma"/>
          <w:color w:val="000000"/>
          <w:sz w:val="24"/>
          <w:szCs w:val="24"/>
          <w:lang w:bidi="ru-RU"/>
        </w:rPr>
        <w:t xml:space="preserve">ESMA и КРФК заметили, что </w:t>
      </w:r>
      <w:r w:rsidRPr="0025056D">
        <w:rPr>
          <w:rFonts w:ascii="Tahoma" w:eastAsia="Tahoma" w:hAnsi="Tahoma" w:cs="Tahoma"/>
          <w:b/>
          <w:color w:val="000000"/>
          <w:sz w:val="24"/>
          <w:szCs w:val="24"/>
          <w:lang w:bidi="ru-RU"/>
        </w:rPr>
        <w:t xml:space="preserve">предложение бинарных опционов </w:t>
      </w:r>
      <w:r w:rsidRPr="0025056D">
        <w:rPr>
          <w:rFonts w:ascii="Tahoma" w:eastAsia="Tahoma" w:hAnsi="Tahoma" w:cs="Tahoma"/>
          <w:color w:val="000000"/>
          <w:sz w:val="24"/>
          <w:szCs w:val="24"/>
          <w:lang w:bidi="ru-RU"/>
        </w:rPr>
        <w:t>непрофессиональным инвесторам все чаще характеризуется агрессивными торговыми приемами, а также недвусмысленной нехваткой информации о данной услуге, ввиду чего инвесторы не могут осознать риски, связанные с этими сложными финансовыми услугами</w:t>
      </w:r>
      <w:r w:rsidRPr="0025056D">
        <w:rPr>
          <w:lang w:bidi="ru-RU"/>
        </w:rPr>
        <w:t xml:space="preserve">, </w:t>
      </w:r>
      <w:r w:rsidRPr="0025056D">
        <w:rPr>
          <w:rFonts w:ascii="Tahoma" w:eastAsia="Tahoma" w:hAnsi="Tahoma" w:cs="Tahoma"/>
          <w:color w:val="000000"/>
          <w:sz w:val="24"/>
          <w:szCs w:val="24"/>
          <w:lang w:bidi="ru-RU"/>
        </w:rPr>
        <w:t>и могут необдуманно вступить в такие сделки.</w:t>
      </w:r>
    </w:p>
    <w:p w:rsidR="00664390" w:rsidRPr="0025056D" w:rsidRDefault="00664390" w:rsidP="00664390">
      <w:pPr>
        <w:spacing w:line="240" w:lineRule="auto"/>
        <w:jc w:val="both"/>
        <w:rPr>
          <w:rFonts w:ascii="Tahoma" w:hAnsi="Tahoma" w:cs="Tahoma"/>
          <w:color w:val="000000"/>
          <w:sz w:val="24"/>
          <w:szCs w:val="24"/>
        </w:rPr>
      </w:pPr>
      <w:r w:rsidRPr="0025056D">
        <w:rPr>
          <w:rFonts w:ascii="Tahoma" w:eastAsia="Tahoma" w:hAnsi="Tahoma" w:cs="Tahoma"/>
          <w:color w:val="000000"/>
          <w:sz w:val="24"/>
          <w:szCs w:val="24"/>
          <w:lang w:bidi="ru-RU"/>
        </w:rPr>
        <w:t>ESMA и КРФК предупреждают о росте количества непрофессиональных инвесторов, соглашающихся на эти услуги удаленно и впоследствии теряющих вложенные деньги. Кроме того, опасения обусловлены множеством жалоб со стороны инвесторов, проживающих в Европейском союзе, которые уже понесли существенные убытки от сделок с CFD.</w:t>
      </w:r>
    </w:p>
    <w:p w:rsidR="00B42019" w:rsidRPr="0025056D" w:rsidRDefault="00664390" w:rsidP="000C31E0">
      <w:pPr>
        <w:spacing w:line="240" w:lineRule="auto"/>
        <w:jc w:val="both"/>
        <w:rPr>
          <w:rFonts w:ascii="Tahoma" w:hAnsi="Tahoma" w:cs="Tahoma"/>
          <w:b/>
          <w:sz w:val="24"/>
          <w:szCs w:val="24"/>
        </w:rPr>
      </w:pPr>
      <w:r w:rsidRPr="0025056D">
        <w:rPr>
          <w:rFonts w:ascii="Tahoma" w:eastAsia="Tahoma" w:hAnsi="Tahoma" w:cs="Tahoma"/>
          <w:b/>
          <w:sz w:val="24"/>
          <w:szCs w:val="24"/>
          <w:lang w:bidi="ru-RU"/>
        </w:rPr>
        <w:t xml:space="preserve">КРФК призывает инвесторов воздерживаться от заключения сделок с </w:t>
      </w:r>
      <w:r w:rsidR="006D69D7">
        <w:rPr>
          <w:rFonts w:ascii="Tahoma" w:eastAsia="Tahoma" w:hAnsi="Tahoma" w:cs="Tahoma"/>
          <w:b/>
          <w:sz w:val="24"/>
          <w:szCs w:val="24"/>
          <w:lang w:bidi="ru-RU"/>
        </w:rPr>
        <w:t xml:space="preserve">подозрительными </w:t>
      </w:r>
      <w:r w:rsidRPr="0025056D">
        <w:rPr>
          <w:rFonts w:ascii="Tahoma" w:eastAsia="Tahoma" w:hAnsi="Tahoma" w:cs="Tahoma"/>
          <w:b/>
          <w:sz w:val="24"/>
          <w:szCs w:val="24"/>
          <w:lang w:bidi="ru-RU"/>
        </w:rPr>
        <w:t xml:space="preserve">поставщиками услуг, а также </w:t>
      </w:r>
      <w:r w:rsidR="006D69D7">
        <w:rPr>
          <w:rFonts w:ascii="Tahoma" w:eastAsia="Tahoma" w:hAnsi="Tahoma" w:cs="Tahoma"/>
          <w:b/>
          <w:sz w:val="24"/>
          <w:szCs w:val="24"/>
          <w:lang w:bidi="ru-RU"/>
        </w:rPr>
        <w:t>от ис</w:t>
      </w:r>
      <w:r w:rsidRPr="0025056D">
        <w:rPr>
          <w:rFonts w:ascii="Tahoma" w:eastAsia="Tahoma" w:hAnsi="Tahoma" w:cs="Tahoma"/>
          <w:b/>
          <w:sz w:val="24"/>
          <w:szCs w:val="24"/>
          <w:lang w:bidi="ru-RU"/>
        </w:rPr>
        <w:t>пользования инвестиционны</w:t>
      </w:r>
      <w:r w:rsidR="006D69D7">
        <w:rPr>
          <w:rFonts w:ascii="Tahoma" w:eastAsia="Tahoma" w:hAnsi="Tahoma" w:cs="Tahoma"/>
          <w:b/>
          <w:sz w:val="24"/>
          <w:szCs w:val="24"/>
          <w:lang w:bidi="ru-RU"/>
        </w:rPr>
        <w:t>х</w:t>
      </w:r>
      <w:r w:rsidRPr="0025056D">
        <w:rPr>
          <w:rFonts w:ascii="Tahoma" w:eastAsia="Tahoma" w:hAnsi="Tahoma" w:cs="Tahoma"/>
          <w:b/>
          <w:sz w:val="24"/>
          <w:szCs w:val="24"/>
          <w:lang w:bidi="ru-RU"/>
        </w:rPr>
        <w:t xml:space="preserve"> услуг, если нет ясного представления о рисках и подробная информация, которая позволила бы инвестору в них разобраться, не предоставляется, а именно, в предложении подчеркивается только выгода и дальнейшие возможности</w:t>
      </w:r>
      <w:r w:rsidR="006D69D7">
        <w:rPr>
          <w:rFonts w:ascii="Tahoma" w:eastAsia="Tahoma" w:hAnsi="Tahoma" w:cs="Tahoma"/>
          <w:b/>
          <w:sz w:val="24"/>
          <w:szCs w:val="24"/>
          <w:lang w:bidi="ru-RU"/>
        </w:rPr>
        <w:t xml:space="preserve"> инвестиции</w:t>
      </w:r>
      <w:r w:rsidRPr="0025056D">
        <w:rPr>
          <w:rFonts w:ascii="Tahoma" w:eastAsia="Tahoma" w:hAnsi="Tahoma" w:cs="Tahoma"/>
          <w:b/>
          <w:sz w:val="24"/>
          <w:szCs w:val="24"/>
          <w:lang w:bidi="ru-RU"/>
        </w:rPr>
        <w:t xml:space="preserve">. </w:t>
      </w:r>
    </w:p>
    <w:p w:rsidR="000C31E0" w:rsidRPr="0025056D" w:rsidRDefault="000C31E0" w:rsidP="000C31E0">
      <w:pPr>
        <w:spacing w:line="240" w:lineRule="auto"/>
        <w:jc w:val="both"/>
        <w:rPr>
          <w:rFonts w:ascii="Tahoma" w:eastAsia="Times New Roman" w:hAnsi="Tahoma" w:cs="Tahoma"/>
          <w:sz w:val="20"/>
          <w:szCs w:val="20"/>
          <w:lang w:eastAsia="lv-LV"/>
        </w:rPr>
      </w:pPr>
    </w:p>
    <w:p w:rsidR="00B93027" w:rsidRPr="0025056D" w:rsidRDefault="00B93027" w:rsidP="00486E96">
      <w:pPr>
        <w:spacing w:after="0" w:line="240" w:lineRule="auto"/>
        <w:jc w:val="both"/>
        <w:rPr>
          <w:rFonts w:ascii="Tahoma" w:hAnsi="Tahoma" w:cs="Tahoma"/>
          <w:color w:val="000000" w:themeColor="text1"/>
        </w:rPr>
      </w:pPr>
      <w:bookmarkStart w:id="0" w:name="_GoBack"/>
      <w:bookmarkEnd w:id="0"/>
    </w:p>
    <w:sectPr w:rsidR="00B93027" w:rsidRPr="0025056D" w:rsidSect="00E564C0">
      <w:headerReference w:type="default" r:id="rId11"/>
      <w:pgSz w:w="11906" w:h="16838"/>
      <w:pgMar w:top="1134" w:right="850" w:bottom="1134" w:left="1701" w:header="1171"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3AE" w:rsidRDefault="00B743AE">
      <w:pPr>
        <w:spacing w:after="0" w:line="240" w:lineRule="auto"/>
      </w:pPr>
      <w:r>
        <w:separator/>
      </w:r>
    </w:p>
  </w:endnote>
  <w:endnote w:type="continuationSeparator" w:id="0">
    <w:p w:rsidR="00B743AE" w:rsidRDefault="00B74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3AE" w:rsidRDefault="00B743AE">
      <w:pPr>
        <w:spacing w:after="0" w:line="240" w:lineRule="auto"/>
      </w:pPr>
      <w:r>
        <w:separator/>
      </w:r>
    </w:p>
  </w:footnote>
  <w:footnote w:type="continuationSeparator" w:id="0">
    <w:p w:rsidR="00B743AE" w:rsidRDefault="00B743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675"/>
    </w:tblGrid>
    <w:tr w:rsidR="00FE6F14" w:rsidRPr="00B24B75" w:rsidTr="00C77F8F">
      <w:tc>
        <w:tcPr>
          <w:tcW w:w="5670" w:type="dxa"/>
        </w:tcPr>
        <w:p w:rsidR="00A04A72" w:rsidRDefault="0088615D" w:rsidP="00A04A72">
          <w:pPr>
            <w:pStyle w:val="Header"/>
          </w:pPr>
          <w:r w:rsidRPr="00476062">
            <w:rPr>
              <w:rFonts w:ascii="Times New Roman" w:eastAsia="Times New Roman" w:hAnsi="Times New Roman" w:cs="Times New Roman"/>
              <w:noProof/>
              <w:color w:val="252525"/>
              <w:sz w:val="18"/>
              <w:szCs w:val="18"/>
              <w:lang w:val="lv-LV" w:eastAsia="lv-LV"/>
            </w:rPr>
            <mc:AlternateContent>
              <mc:Choice Requires="wps">
                <w:drawing>
                  <wp:anchor distT="0" distB="0" distL="114300" distR="114300" simplePos="0" relativeHeight="251659264" behindDoc="0" locked="0" layoutInCell="1" allowOverlap="1" wp14:anchorId="72A4E6E2" wp14:editId="3B3A5022">
                    <wp:simplePos x="0" y="0"/>
                    <wp:positionH relativeFrom="margin">
                      <wp:posOffset>3060812</wp:posOffset>
                    </wp:positionH>
                    <wp:positionV relativeFrom="page">
                      <wp:posOffset>461645</wp:posOffset>
                    </wp:positionV>
                    <wp:extent cx="2748971" cy="0"/>
                    <wp:effectExtent l="0" t="0" r="32385"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2748971" cy="0"/>
                            </a:xfrm>
                            <a:prstGeom prst="line">
                              <a:avLst/>
                            </a:prstGeom>
                            <a:ln w="3175">
                              <a:solidFill>
                                <a:schemeClr val="bg2">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D116B6"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41pt,36.35pt" to="457.4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" strokecolor="#938953 [1614]" strokeweight=".25pt">
                    <w10:wrap anchorx="margin" anchory="page"/>
                  </v:line>
                </w:pict>
              </mc:Fallback>
            </mc:AlternateContent>
          </w:r>
          <w:r>
            <w:rPr>
              <w:noProof/>
              <w:lang w:val="lv-LV" w:eastAsia="lv-LV"/>
            </w:rPr>
            <w:drawing>
              <wp:inline distT="0" distB="0" distL="0" distR="0" wp14:anchorId="4720EEB6" wp14:editId="55728519">
                <wp:extent cx="1436983" cy="515281"/>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tk-ofic-logo land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9050" cy="526780"/>
                        </a:xfrm>
                        <a:prstGeom prst="rect">
                          <a:avLst/>
                        </a:prstGeom>
                      </pic:spPr>
                    </pic:pic>
                  </a:graphicData>
                </a:graphic>
              </wp:inline>
            </w:drawing>
          </w:r>
        </w:p>
      </w:tc>
      <w:tc>
        <w:tcPr>
          <w:tcW w:w="3675" w:type="dxa"/>
        </w:tcPr>
        <w:p w:rsidR="00A04A72" w:rsidRPr="00F60F4A" w:rsidRDefault="0088615D" w:rsidP="00C77F8F">
          <w:pPr>
            <w:pStyle w:val="Header"/>
            <w:jc w:val="right"/>
            <w:rPr>
              <w:rFonts w:ascii="Times New Roman" w:hAnsi="Times New Roman" w:cs="Times New Roman"/>
              <w:color w:val="948A54" w:themeColor="background2" w:themeShade="80"/>
              <w:sz w:val="17"/>
              <w:szCs w:val="17"/>
            </w:rPr>
          </w:pPr>
          <w:r w:rsidRPr="00FE6F14">
            <w:rPr>
              <w:rFonts w:ascii="Times New Roman" w:eastAsia="Times New Roman" w:hAnsi="Times New Roman" w:cs="Times New Roman"/>
              <w:color w:val="948A54" w:themeColor="background2" w:themeShade="80"/>
              <w:sz w:val="17"/>
              <w:szCs w:val="17"/>
              <w:lang w:bidi="ru-RU"/>
            </w:rPr>
            <w:t>ул. Кунгу, 1, г. Рига, LV-1050,</w:t>
          </w:r>
        </w:p>
        <w:p w:rsidR="00A04A72" w:rsidRPr="00F60F4A" w:rsidRDefault="0088615D" w:rsidP="00C77F8F">
          <w:pPr>
            <w:pStyle w:val="Header"/>
            <w:jc w:val="right"/>
            <w:rPr>
              <w:rFonts w:ascii="Times New Roman" w:hAnsi="Times New Roman" w:cs="Times New Roman"/>
              <w:color w:val="948A54" w:themeColor="background2" w:themeShade="80"/>
              <w:sz w:val="17"/>
              <w:szCs w:val="17"/>
            </w:rPr>
          </w:pPr>
          <w:r w:rsidRPr="00FE6F14">
            <w:rPr>
              <w:rFonts w:ascii="Times New Roman" w:eastAsia="Times New Roman" w:hAnsi="Times New Roman" w:cs="Times New Roman"/>
              <w:color w:val="948A54" w:themeColor="background2" w:themeShade="80"/>
              <w:sz w:val="17"/>
              <w:szCs w:val="17"/>
              <w:lang w:bidi="ru-RU"/>
            </w:rPr>
            <w:t xml:space="preserve"> тел.: +371 67774800,</w:t>
          </w:r>
        </w:p>
        <w:p w:rsidR="00A04A72" w:rsidRPr="0025056D" w:rsidRDefault="0088615D" w:rsidP="007E2672">
          <w:pPr>
            <w:pStyle w:val="Header"/>
            <w:jc w:val="right"/>
            <w:rPr>
              <w:rFonts w:ascii="Times New Roman" w:hAnsi="Times New Roman" w:cs="Times New Roman"/>
              <w:color w:val="948A54" w:themeColor="background2" w:themeShade="80"/>
              <w:sz w:val="17"/>
              <w:szCs w:val="17"/>
            </w:rPr>
          </w:pPr>
          <w:r w:rsidRPr="00FE6F14">
            <w:rPr>
              <w:rFonts w:ascii="Times New Roman" w:eastAsia="Times New Roman" w:hAnsi="Times New Roman" w:cs="Times New Roman"/>
              <w:color w:val="948A54" w:themeColor="background2" w:themeShade="80"/>
              <w:sz w:val="17"/>
              <w:szCs w:val="17"/>
              <w:lang w:bidi="ru-RU"/>
            </w:rPr>
            <w:t xml:space="preserve"> эл. почта: </w:t>
          </w:r>
          <w:hyperlink r:id="rId2" w:history="1">
            <w:r w:rsidRPr="00FE6F14">
              <w:rPr>
                <w:rStyle w:val="Hyperlink"/>
                <w:rFonts w:ascii="Times New Roman" w:eastAsia="Times New Roman" w:hAnsi="Times New Roman" w:cs="Times New Roman"/>
                <w:color w:val="948A54" w:themeColor="background2" w:themeShade="80"/>
                <w:sz w:val="17"/>
                <w:szCs w:val="17"/>
                <w:lang w:bidi="ru-RU"/>
              </w:rPr>
              <w:t>fktk@fktk.lv</w:t>
            </w:r>
          </w:hyperlink>
          <w:r w:rsidRPr="00FE6F14">
            <w:rPr>
              <w:rFonts w:ascii="Times New Roman" w:eastAsia="Times New Roman" w:hAnsi="Times New Roman" w:cs="Times New Roman"/>
              <w:color w:val="948A54" w:themeColor="background2" w:themeShade="80"/>
              <w:sz w:val="17"/>
              <w:szCs w:val="17"/>
              <w:lang w:bidi="ru-RU"/>
            </w:rPr>
            <w:t xml:space="preserve"> </w:t>
          </w:r>
        </w:p>
      </w:tc>
    </w:tr>
  </w:tbl>
  <w:p w:rsidR="002213C4" w:rsidRPr="007E2672" w:rsidRDefault="0088615D" w:rsidP="007E2672">
    <w:pPr>
      <w:pStyle w:val="Header"/>
      <w:tabs>
        <w:tab w:val="clear" w:pos="9355"/>
        <w:tab w:val="right" w:pos="9214"/>
      </w:tabs>
      <w:ind w:right="142"/>
      <w:jc w:val="right"/>
      <w:rPr>
        <w:rFonts w:ascii="Arial Narrow" w:hAnsi="Arial Narrow" w:cs="Times New Roman"/>
        <w:color w:val="252525"/>
        <w:sz w:val="18"/>
        <w:szCs w:val="18"/>
        <w:shd w:val="clear" w:color="auto" w:fill="FFFFFF"/>
        <w:lang w:val="lv-LV"/>
      </w:rPr>
    </w:pPr>
    <w:r>
      <w:rPr>
        <w:noProof/>
        <w:lang w:val="lv-LV" w:eastAsia="lv-LV"/>
      </w:rPr>
      <mc:AlternateContent>
        <mc:Choice Requires="wps">
          <w:drawing>
            <wp:anchor distT="0" distB="0" distL="114300" distR="114300" simplePos="0" relativeHeight="251660288" behindDoc="0" locked="0" layoutInCell="1" allowOverlap="1" wp14:anchorId="2568E6C7" wp14:editId="446A19D7">
              <wp:simplePos x="0" y="0"/>
              <wp:positionH relativeFrom="page">
                <wp:posOffset>136566</wp:posOffset>
              </wp:positionH>
              <wp:positionV relativeFrom="paragraph">
                <wp:posOffset>-486674</wp:posOffset>
              </wp:positionV>
              <wp:extent cx="940394" cy="490901"/>
              <wp:effectExtent l="0" t="0" r="0" b="4445"/>
              <wp:wrapNone/>
              <wp:docPr id="8" name="Прямоугольник 8"/>
              <wp:cNvGraphicFramePr/>
              <a:graphic xmlns:a="http://schemas.openxmlformats.org/drawingml/2006/main">
                <a:graphicData uri="http://schemas.microsoft.com/office/word/2010/wordprocessingShape">
                  <wps:wsp>
                    <wps:cNvSpPr/>
                    <wps:spPr>
                      <a:xfrm>
                        <a:off x="0" y="0"/>
                        <a:ext cx="940394" cy="490901"/>
                      </a:xfrm>
                      <a:prstGeom prst="rect">
                        <a:avLst/>
                      </a:prstGeom>
                      <a:gradFill flip="none" rotWithShape="1">
                        <a:gsLst>
                          <a:gs pos="0">
                            <a:srgbClr val="365B98">
                              <a:shade val="30000"/>
                              <a:satMod val="115000"/>
                              <a:alpha val="0"/>
                              <a:lumMod val="0"/>
                              <a:lumOff val="100000"/>
                            </a:srgbClr>
                          </a:gs>
                          <a:gs pos="100000">
                            <a:srgbClr val="002F87"/>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FAD543" id="Прямоугольник 8" o:spid="_x0000_s1026" style="position:absolute;margin-left:10.75pt;margin-top:-38.3pt;width:74.05pt;height:38.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" stroked="f" strokeweight="2pt">
              <v:fill opacity="0" color2="#002f87" rotate="t" angle="90" focus="100%" type="gradient"/>
              <w10:wrap anchorx="page"/>
            </v:rect>
          </w:pict>
        </mc:Fallback>
      </mc:AlternateContent>
    </w:r>
    <w:r w:rsidRPr="00F60F4A">
      <w:rPr>
        <w:lang w:bidi="ru-RU"/>
      </w:rPr>
      <w:tab/>
    </w:r>
    <w:r w:rsidRPr="007E2672">
      <w:rPr>
        <w:rFonts w:ascii="Arial Narrow" w:eastAsia="Arial Narrow" w:hAnsi="Arial Narrow" w:cs="Times New Roman"/>
        <w:color w:val="948A54" w:themeColor="background2" w:themeShade="80"/>
        <w:sz w:val="16"/>
        <w:szCs w:val="20"/>
        <w:lang w:bidi="ru-RU"/>
      </w:rPr>
      <w:t>WWW.FKTK.LV, WWW.KLIENTUSKOLA.LV, TWITTER.COM/FKTK_LV</w:t>
    </w:r>
  </w:p>
  <w:p w:rsidR="00A04A72" w:rsidRPr="007E2672" w:rsidRDefault="00B743AE" w:rsidP="002213C4">
    <w:pPr>
      <w:pStyle w:val="Header"/>
      <w:tabs>
        <w:tab w:val="clear" w:pos="9355"/>
      </w:tabs>
      <w:rPr>
        <w:lang w:val="lv-LV"/>
      </w:rPr>
    </w:pPr>
  </w:p>
  <w:p w:rsidR="002213C4" w:rsidRPr="00F60F4A" w:rsidRDefault="00B743AE" w:rsidP="002213C4">
    <w:pPr>
      <w:pStyle w:val="Header"/>
      <w:tabs>
        <w:tab w:val="clear" w:pos="9355"/>
      </w:tabs>
    </w:pPr>
  </w:p>
  <w:p w:rsidR="00A462BA" w:rsidRPr="00F60F4A" w:rsidRDefault="00B743AE" w:rsidP="00444019">
    <w:pPr>
      <w:pStyle w:val="Footer"/>
      <w:jc w:val="center"/>
      <w:rPr>
        <w:rFonts w:ascii="Times New Roman" w:hAnsi="Times New Roman" w:cs="Times New Roman"/>
        <w:sz w:val="17"/>
        <w:szCs w:val="17"/>
      </w:rPr>
    </w:pPr>
  </w:p>
  <w:p w:rsidR="00532677" w:rsidRPr="00F60F4A" w:rsidRDefault="00B743AE" w:rsidP="00444019">
    <w:pPr>
      <w:pStyle w:val="Footer"/>
      <w:jc w:val="center"/>
      <w:rPr>
        <w:rFonts w:ascii="Times New Roman" w:hAnsi="Times New Roman" w:cs="Times New Roman"/>
        <w:sz w:val="17"/>
        <w:szCs w:val="17"/>
      </w:rPr>
    </w:pPr>
  </w:p>
  <w:p w:rsidR="00815F87" w:rsidRPr="00F60F4A" w:rsidRDefault="00B743AE" w:rsidP="00444019">
    <w:pPr>
      <w:pStyle w:val="Footer"/>
      <w:jc w:val="center"/>
      <w:rPr>
        <w:rFonts w:ascii="Times New Roman" w:hAnsi="Times New Roman" w:cs="Times New Roman"/>
        <w:sz w:val="17"/>
        <w:szCs w:val="17"/>
      </w:rPr>
    </w:pPr>
  </w:p>
  <w:p w:rsidR="00A04A72" w:rsidRPr="00F60F4A" w:rsidRDefault="00B743AE" w:rsidP="00444019">
    <w:pPr>
      <w:pStyle w:val="Footer"/>
      <w:jc w:val="center"/>
      <w:rPr>
        <w:rFonts w:ascii="Times New Roman" w:hAnsi="Times New Roman" w:cs="Times New Roman"/>
        <w:sz w:val="17"/>
        <w:szCs w:val="17"/>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E245D"/>
    <w:multiLevelType w:val="hybridMultilevel"/>
    <w:tmpl w:val="F37A2CD2"/>
    <w:lvl w:ilvl="0" w:tplc="D3EC951C">
      <w:numFmt w:val="bullet"/>
      <w:lvlText w:val="-"/>
      <w:lvlJc w:val="left"/>
      <w:pPr>
        <w:ind w:left="720" w:hanging="360"/>
      </w:pPr>
      <w:rPr>
        <w:rFonts w:ascii="Helv" w:eastAsiaTheme="minorHAnsi" w:hAnsi="Helv" w:cs="Helv"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875723"/>
    <w:multiLevelType w:val="hybridMultilevel"/>
    <w:tmpl w:val="5B148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4B5"/>
    <w:rsid w:val="00080B60"/>
    <w:rsid w:val="00086373"/>
    <w:rsid w:val="000C31E0"/>
    <w:rsid w:val="000E0B42"/>
    <w:rsid w:val="001A4873"/>
    <w:rsid w:val="0025056D"/>
    <w:rsid w:val="00265E4D"/>
    <w:rsid w:val="003514E6"/>
    <w:rsid w:val="003A1E78"/>
    <w:rsid w:val="00416044"/>
    <w:rsid w:val="0041762C"/>
    <w:rsid w:val="00437C6F"/>
    <w:rsid w:val="00486E96"/>
    <w:rsid w:val="00496AFE"/>
    <w:rsid w:val="004B1474"/>
    <w:rsid w:val="004C75F8"/>
    <w:rsid w:val="004E1017"/>
    <w:rsid w:val="004F5440"/>
    <w:rsid w:val="00511437"/>
    <w:rsid w:val="00581DAA"/>
    <w:rsid w:val="005A547B"/>
    <w:rsid w:val="005A677F"/>
    <w:rsid w:val="005D4C70"/>
    <w:rsid w:val="005F187C"/>
    <w:rsid w:val="00664390"/>
    <w:rsid w:val="006C3498"/>
    <w:rsid w:val="006D69D7"/>
    <w:rsid w:val="0072525D"/>
    <w:rsid w:val="007B787B"/>
    <w:rsid w:val="007D44F4"/>
    <w:rsid w:val="0085765D"/>
    <w:rsid w:val="00872570"/>
    <w:rsid w:val="0088615D"/>
    <w:rsid w:val="009268A7"/>
    <w:rsid w:val="00AA5660"/>
    <w:rsid w:val="00AA5CA3"/>
    <w:rsid w:val="00AD6185"/>
    <w:rsid w:val="00B11D4F"/>
    <w:rsid w:val="00B11DCF"/>
    <w:rsid w:val="00B24B75"/>
    <w:rsid w:val="00B42019"/>
    <w:rsid w:val="00B743AE"/>
    <w:rsid w:val="00B93027"/>
    <w:rsid w:val="00D740BD"/>
    <w:rsid w:val="00DE0B59"/>
    <w:rsid w:val="00DE3933"/>
    <w:rsid w:val="00E05E2C"/>
    <w:rsid w:val="00E42DEF"/>
    <w:rsid w:val="00E54C9F"/>
    <w:rsid w:val="00EA04B5"/>
    <w:rsid w:val="00ED78C4"/>
    <w:rsid w:val="00F60F4A"/>
    <w:rsid w:val="00F61A2C"/>
    <w:rsid w:val="00F90C2E"/>
    <w:rsid w:val="00FC5E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BF58E"/>
  <w15:docId w15:val="{8F28DB38-CFDB-4D3D-AAF3-E611E129B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4B5"/>
    <w:pPr>
      <w:spacing w:after="160" w:line="259" w:lineRule="auto"/>
    </w:pPr>
  </w:style>
  <w:style w:type="paragraph" w:styleId="Heading1">
    <w:name w:val="heading 1"/>
    <w:basedOn w:val="Normal"/>
    <w:next w:val="Normal"/>
    <w:link w:val="Heading1Char"/>
    <w:uiPriority w:val="9"/>
    <w:qFormat/>
    <w:rsid w:val="005A54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04B5"/>
    <w:pPr>
      <w:tabs>
        <w:tab w:val="center" w:pos="4677"/>
        <w:tab w:val="right" w:pos="9355"/>
      </w:tabs>
      <w:spacing w:after="0" w:line="240" w:lineRule="auto"/>
    </w:pPr>
  </w:style>
  <w:style w:type="character" w:customStyle="1" w:styleId="HeaderChar">
    <w:name w:val="Header Char"/>
    <w:basedOn w:val="DefaultParagraphFont"/>
    <w:link w:val="Header"/>
    <w:uiPriority w:val="99"/>
    <w:rsid w:val="00EA04B5"/>
    <w:rPr>
      <w:lang w:val="ru-RU"/>
    </w:rPr>
  </w:style>
  <w:style w:type="paragraph" w:styleId="Footer">
    <w:name w:val="footer"/>
    <w:basedOn w:val="Normal"/>
    <w:link w:val="FooterChar"/>
    <w:uiPriority w:val="99"/>
    <w:unhideWhenUsed/>
    <w:rsid w:val="00EA04B5"/>
    <w:pPr>
      <w:tabs>
        <w:tab w:val="center" w:pos="4677"/>
        <w:tab w:val="right" w:pos="9355"/>
      </w:tabs>
      <w:spacing w:after="0" w:line="240" w:lineRule="auto"/>
    </w:pPr>
  </w:style>
  <w:style w:type="character" w:customStyle="1" w:styleId="FooterChar">
    <w:name w:val="Footer Char"/>
    <w:basedOn w:val="DefaultParagraphFont"/>
    <w:link w:val="Footer"/>
    <w:uiPriority w:val="99"/>
    <w:rsid w:val="00EA04B5"/>
    <w:rPr>
      <w:lang w:val="ru-RU"/>
    </w:rPr>
  </w:style>
  <w:style w:type="character" w:styleId="Hyperlink">
    <w:name w:val="Hyperlink"/>
    <w:basedOn w:val="DefaultParagraphFont"/>
    <w:uiPriority w:val="99"/>
    <w:unhideWhenUsed/>
    <w:rsid w:val="00EA04B5"/>
    <w:rPr>
      <w:color w:val="0000FF" w:themeColor="hyperlink"/>
      <w:u w:val="single"/>
    </w:rPr>
  </w:style>
  <w:style w:type="table" w:styleId="TableGrid">
    <w:name w:val="Table Grid"/>
    <w:basedOn w:val="TableNormal"/>
    <w:uiPriority w:val="39"/>
    <w:rsid w:val="00EA0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A04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4B5"/>
    <w:rPr>
      <w:rFonts w:ascii="Tahoma" w:hAnsi="Tahoma" w:cs="Tahoma"/>
      <w:sz w:val="16"/>
      <w:szCs w:val="16"/>
      <w:lang w:val="ru-RU"/>
    </w:rPr>
  </w:style>
  <w:style w:type="paragraph" w:customStyle="1" w:styleId="Nobeigums">
    <w:name w:val="Nobeigums"/>
    <w:basedOn w:val="Normal"/>
    <w:rsid w:val="00EA04B5"/>
    <w:pPr>
      <w:spacing w:after="0" w:line="240" w:lineRule="auto"/>
    </w:pPr>
    <w:rPr>
      <w:rFonts w:ascii="Times New Roman" w:eastAsia="Times New Roman" w:hAnsi="Times New Roman" w:cs="Times New Roman"/>
      <w:sz w:val="24"/>
      <w:szCs w:val="20"/>
      <w:lang w:val="en-US"/>
    </w:rPr>
  </w:style>
  <w:style w:type="paragraph" w:styleId="BodyText">
    <w:name w:val="Body Text"/>
    <w:basedOn w:val="Normal"/>
    <w:link w:val="BodyTextChar"/>
    <w:rsid w:val="00EA04B5"/>
    <w:pPr>
      <w:spacing w:after="0" w:line="240" w:lineRule="auto"/>
      <w:ind w:right="425"/>
      <w:jc w:val="both"/>
    </w:pPr>
    <w:rPr>
      <w:rFonts w:ascii="Times New Roman" w:eastAsia="Times New Roman" w:hAnsi="Times New Roman" w:cs="Times New Roman"/>
      <w:sz w:val="24"/>
      <w:szCs w:val="24"/>
      <w:lang w:val="lv-LV"/>
    </w:rPr>
  </w:style>
  <w:style w:type="character" w:customStyle="1" w:styleId="BodyTextChar">
    <w:name w:val="Body Text Char"/>
    <w:basedOn w:val="DefaultParagraphFont"/>
    <w:link w:val="BodyText"/>
    <w:rsid w:val="00EA04B5"/>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A547B"/>
    <w:rPr>
      <w:rFonts w:asciiTheme="majorHAnsi" w:eastAsiaTheme="majorEastAsia" w:hAnsiTheme="majorHAnsi" w:cstheme="majorBidi"/>
      <w:b/>
      <w:bCs/>
      <w:color w:val="365F91" w:themeColor="accent1" w:themeShade="BF"/>
      <w:sz w:val="28"/>
      <w:szCs w:val="28"/>
      <w:lang w:val="ru-RU"/>
    </w:rPr>
  </w:style>
  <w:style w:type="paragraph" w:styleId="ListParagraph">
    <w:name w:val="List Paragraph"/>
    <w:basedOn w:val="Normal"/>
    <w:uiPriority w:val="34"/>
    <w:rsid w:val="00664390"/>
    <w:pPr>
      <w:spacing w:after="200" w:line="276" w:lineRule="auto"/>
      <w:ind w:left="720"/>
      <w:contextualSpacing/>
    </w:pPr>
    <w:rPr>
      <w:lang w:val="lv-LV"/>
    </w:rPr>
  </w:style>
  <w:style w:type="character" w:styleId="CommentReference">
    <w:name w:val="annotation reference"/>
    <w:basedOn w:val="DefaultParagraphFont"/>
    <w:uiPriority w:val="99"/>
    <w:semiHidden/>
    <w:unhideWhenUsed/>
    <w:rsid w:val="006D69D7"/>
    <w:rPr>
      <w:sz w:val="16"/>
      <w:szCs w:val="16"/>
    </w:rPr>
  </w:style>
  <w:style w:type="paragraph" w:styleId="CommentText">
    <w:name w:val="annotation text"/>
    <w:basedOn w:val="Normal"/>
    <w:link w:val="CommentTextChar"/>
    <w:uiPriority w:val="99"/>
    <w:semiHidden/>
    <w:unhideWhenUsed/>
    <w:rsid w:val="006D69D7"/>
    <w:pPr>
      <w:spacing w:line="240" w:lineRule="auto"/>
    </w:pPr>
    <w:rPr>
      <w:sz w:val="20"/>
      <w:szCs w:val="20"/>
    </w:rPr>
  </w:style>
  <w:style w:type="character" w:customStyle="1" w:styleId="CommentTextChar">
    <w:name w:val="Comment Text Char"/>
    <w:basedOn w:val="DefaultParagraphFont"/>
    <w:link w:val="CommentText"/>
    <w:uiPriority w:val="99"/>
    <w:semiHidden/>
    <w:rsid w:val="006D69D7"/>
    <w:rPr>
      <w:sz w:val="20"/>
      <w:szCs w:val="20"/>
    </w:rPr>
  </w:style>
  <w:style w:type="paragraph" w:styleId="CommentSubject">
    <w:name w:val="annotation subject"/>
    <w:basedOn w:val="CommentText"/>
    <w:next w:val="CommentText"/>
    <w:link w:val="CommentSubjectChar"/>
    <w:uiPriority w:val="99"/>
    <w:semiHidden/>
    <w:unhideWhenUsed/>
    <w:rsid w:val="006D69D7"/>
    <w:rPr>
      <w:b/>
      <w:bCs/>
    </w:rPr>
  </w:style>
  <w:style w:type="character" w:customStyle="1" w:styleId="CommentSubjectChar">
    <w:name w:val="Comment Subject Char"/>
    <w:basedOn w:val="CommentTextChar"/>
    <w:link w:val="CommentSubject"/>
    <w:uiPriority w:val="99"/>
    <w:semiHidden/>
    <w:rsid w:val="006D69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4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fktk.lv/lv/tirgus-dalibnieki/finansu-instrumentu-tirgus/pakalpojumu-sniedzeji-no-eez/dibinasanas-briviba.html" TargetMode="External"/><Relationship Id="rId4" Type="http://schemas.openxmlformats.org/officeDocument/2006/relationships/settings" Target="settings.xml"/><Relationship Id="rId9" Type="http://schemas.openxmlformats.org/officeDocument/2006/relationships/hyperlink" Target="http://www.fktk.lv/lv/tirgus-dalibnieki/finansu-instrumentu-tirgus/ieguldijumu-pakalpojumu-sniedz.html"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fktk@fktk.lv"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A517C-4867-4CAD-ABF3-2626A6AF4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3654</Words>
  <Characters>2083</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Agnese Licite</dc:creator>
  <cp:lastModifiedBy>Kristine Tjarve</cp:lastModifiedBy>
  <cp:revision>2</cp:revision>
  <dcterms:created xsi:type="dcterms:W3CDTF">2020-03-24T08:53:00Z</dcterms:created>
  <dcterms:modified xsi:type="dcterms:W3CDTF">2020-03-24T08:53:00Z</dcterms:modified>
</cp:coreProperties>
</file>